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Machine Guarding</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01-000001-000000-DAN-HSE-PRC-000039</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Purpose</w:t>
            </w:r>
          </w:hyperlink>
        </w:p>
        <w:p>
          <w:pPr>
            <w:spacing w:after="40" w:line="259"/>
            <w:ind w:left="0"/>
          </w:pPr>
          <w:hyperlink w:anchor="_DanToc9001" w:history="1">
            <w:r>
              <w:rPr>
                <w:rFonts w:ascii="Tahoma" w:hAnsi="Tahoma" w:cs="Tahoma"/>
                <w:b/>
                <w:color w:val="542A12"/>
                <w:sz w:val="20"/>
              </w:rPr>
              <w:t xml:space="preserve">2. Scope</w:t>
            </w:r>
          </w:hyperlink>
        </w:p>
        <w:p>
          <w:pPr>
            <w:spacing w:after="40" w:line="259"/>
            <w:ind w:left="0"/>
          </w:pPr>
          <w:hyperlink w:anchor="_DanToc9002" w:history="1">
            <w:r>
              <w:rPr>
                <w:rFonts w:ascii="Tahoma" w:hAnsi="Tahoma" w:cs="Tahoma"/>
                <w:b/>
                <w:color w:val="542A12"/>
                <w:sz w:val="20"/>
              </w:rPr>
              <w:t xml:space="preserve">3. References</w:t>
            </w:r>
          </w:hyperlink>
        </w:p>
        <w:p>
          <w:pPr>
            <w:spacing w:after="40" w:line="259"/>
            <w:ind w:left="0"/>
          </w:pPr>
          <w:hyperlink w:anchor="_DanToc9003" w:history="1">
            <w:r>
              <w:rPr>
                <w:rFonts w:ascii="Tahoma" w:hAnsi="Tahoma" w:cs="Tahoma"/>
                <w:b/>
                <w:color w:val="542A12"/>
                <w:sz w:val="20"/>
              </w:rPr>
              <w:t xml:space="preserve">4. Definitions</w:t>
            </w:r>
          </w:hyperlink>
        </w:p>
        <w:p>
          <w:pPr>
            <w:spacing w:after="40" w:line="259"/>
            <w:ind w:left="0"/>
          </w:pPr>
          <w:hyperlink w:anchor="_DanToc9004" w:history="1">
            <w:r>
              <w:rPr>
                <w:rFonts w:ascii="Tahoma" w:hAnsi="Tahoma" w:cs="Tahoma"/>
                <w:b/>
                <w:color w:val="542A12"/>
                <w:sz w:val="20"/>
              </w:rPr>
              <w:t xml:space="preserve">5. Deliverables</w:t>
            </w:r>
          </w:hyperlink>
        </w:p>
        <w:p>
          <w:pPr>
            <w:spacing w:after="40" w:line="259"/>
            <w:ind w:left="0"/>
          </w:pPr>
          <w:hyperlink w:anchor="_DanToc9005" w:history="1">
            <w:r>
              <w:rPr>
                <w:rFonts w:ascii="Tahoma" w:hAnsi="Tahoma" w:cs="Tahoma"/>
                <w:b/>
                <w:color w:val="542A12"/>
                <w:sz w:val="20"/>
              </w:rPr>
              <w:t xml:space="preserve">6. Hazard / Risk Assessment</w:t>
            </w:r>
          </w:hyperlink>
        </w:p>
        <w:p>
          <w:pPr>
            <w:spacing w:after="40" w:line="259"/>
            <w:ind w:left="0"/>
          </w:pPr>
          <w:hyperlink w:anchor="_DanToc9006" w:history="1">
            <w:r>
              <w:rPr>
                <w:rFonts w:ascii="Tahoma" w:hAnsi="Tahoma" w:cs="Tahoma"/>
                <w:b/>
                <w:color w:val="542A12"/>
                <w:sz w:val="20"/>
              </w:rPr>
              <w:t xml:space="preserve">7. General Requirements for Machinery Guards</w:t>
            </w:r>
          </w:hyperlink>
        </w:p>
        <w:p>
          <w:pPr>
            <w:spacing w:after="40" w:line="259"/>
            <w:ind w:left="0"/>
          </w:pPr>
          <w:hyperlink w:anchor="_DanToc9007" w:history="1">
            <w:r>
              <w:rPr>
                <w:rFonts w:ascii="Tahoma" w:hAnsi="Tahoma" w:cs="Tahoma"/>
                <w:b/>
                <w:color w:val="542A12"/>
                <w:sz w:val="20"/>
              </w:rPr>
              <w:t xml:space="preserve">8. Types of Guards</w:t>
            </w:r>
          </w:hyperlink>
        </w:p>
        <w:p>
          <w:pPr>
            <w:spacing w:after="40" w:line="259"/>
            <w:ind w:left="0"/>
          </w:pPr>
          <w:hyperlink w:anchor="_DanToc9008" w:history="1">
            <w:r>
              <w:rPr>
                <w:rFonts w:ascii="Tahoma" w:hAnsi="Tahoma" w:cs="Tahoma"/>
                <w:b/>
                <w:color w:val="542A12"/>
                <w:sz w:val="20"/>
              </w:rPr>
              <w:t xml:space="preserve">9. Guard Placement</w:t>
            </w:r>
          </w:hyperlink>
        </w:p>
        <w:p>
          <w:pPr>
            <w:spacing w:after="40" w:line="259"/>
            <w:ind w:left="0"/>
          </w:pPr>
          <w:hyperlink w:anchor="_DanToc9009" w:history="1">
            <w:r>
              <w:rPr>
                <w:rFonts w:ascii="Tahoma" w:hAnsi="Tahoma" w:cs="Tahoma"/>
                <w:b/>
                <w:color w:val="542A12"/>
                <w:sz w:val="20"/>
              </w:rPr>
              <w:t xml:space="preserve">10. Maintenance, Records and Related Documents</w:t>
            </w:r>
          </w:hyperlink>
        </w:p>
        <w:p>
          <w:pPr>
            <w:spacing w:after="40" w:line="259"/>
            <w:ind w:left="0"/>
          </w:pPr>
          <w:hyperlink w:anchor="_DanToc9010" w:history="1">
            <w:r>
              <w:rPr>
                <w:rFonts w:ascii="Tahoma" w:hAnsi="Tahoma" w:cs="Tahoma"/>
                <w:b/>
                <w:color w:val="542A12"/>
                <w:sz w:val="20"/>
              </w:rPr>
              <w:t xml:space="preserve">Figures and Illustrations</w:t>
            </w:r>
          </w:hyperlink>
        </w:p>
        <w:p>
          <w:pPr>
            <w:spacing w:after="40" w:line="259"/>
            <w:ind w:left="0"/>
          </w:pPr>
          <w:hyperlink w:anchor="_DanToc9011"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1. Purpose</w:t>
      </w:r>
      <w:bookmarkEnd w:id="9000"/>
    </w:p>
    <w:p>
      <w:pPr>
        <w:spacing w:after="120" w:line="276"/>
        <w:jc w:val="both"/>
      </w:pPr>
      <w:r>
        <w:rPr>
          <w:rFonts w:ascii="Tahoma" w:cs="Tahoma" w:eastAsia="Tahoma" w:hAnsi="Tahoma"/>
          <w:sz w:val="20"/>
          <w:szCs w:val="20"/>
        </w:rPr>
        <w:t xml:space="preserve">This document describes the minimum requirements for machine safety guards protecting personnel against the dangers of moving parts that could cause injury.</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See the Hand Tools and Power Tools chapter for additional guarding requirements.</w:t>
      </w:r>
    </w:p>
    <w:p>
      <w:pPr>
        <w:pStyle w:val="Heading1"/>
      </w:pPr>
      <w:bookmarkStart w:id="9001" w:name="_DanToc9001"/>
      <w:r>
        <w:t xml:space="preserve">2. Scope</w:t>
      </w:r>
      <w:bookmarkEnd w:id="9001"/>
    </w:p>
    <w:p>
      <w:pPr>
        <w:spacing w:after="120" w:line="276"/>
        <w:jc w:val="both"/>
      </w:pPr>
      <w:r>
        <w:rPr>
          <w:rFonts w:ascii="Tahoma" w:cs="Tahoma" w:eastAsia="Tahoma" w:hAnsi="Tahoma"/>
          <w:sz w:val="20"/>
          <w:szCs w:val="20"/>
        </w:rPr>
        <w:t xml:space="preserve">This document applies to all machinery and equipment with moving, rotating, ejecting or reaching parts used on DAN projects, and to the selection, placement and maintenance of their guards.</w:t>
      </w:r>
    </w:p>
    <w:p>
      <w:pPr>
        <w:pStyle w:val="Heading1"/>
      </w:pPr>
      <w:bookmarkStart w:id="9002" w:name="_DanToc9002"/>
      <w:r>
        <w:t xml:space="preserve">3. References</w:t>
      </w:r>
      <w:bookmarkEnd w:id="9002"/>
    </w:p>
    <w:p>
      <w:pPr>
        <w:pStyle w:val="ListParagraph"/>
        <w:numPr>
          <w:ilvl w:val="0"/>
          <w:numId w:val="2"/>
        </w:numPr>
        <w:spacing w:after="60" w:line="268"/>
        <w:jc w:val="both"/>
      </w:pPr>
      <w:r>
        <w:rPr>
          <w:rFonts w:ascii="Tahoma" w:cs="Tahoma" w:eastAsia="Tahoma" w:hAnsi="Tahoma"/>
          <w:sz w:val="20"/>
          <w:szCs w:val="20"/>
        </w:rPr>
        <w:t xml:space="preserve">29 CFR 1910 Subpart O — Machinery and Machine Guarding; ANSI B11.19 — Performance Criteria for Safeguarding</w:t>
      </w:r>
    </w:p>
    <w:p>
      <w:pPr>
        <w:pStyle w:val="ListParagraph"/>
        <w:numPr>
          <w:ilvl w:val="0"/>
          <w:numId w:val="2"/>
        </w:numPr>
        <w:spacing w:after="60" w:line="268"/>
        <w:jc w:val="both"/>
      </w:pPr>
      <w:r>
        <w:rPr>
          <w:rFonts w:ascii="Tahoma" w:cs="Tahoma" w:eastAsia="Tahoma" w:hAnsi="Tahoma"/>
          <w:sz w:val="20"/>
          <w:szCs w:val="20"/>
        </w:rPr>
        <w:t xml:space="preserve">ISO 13857 — Safety distances to prevent hazard zones being reached by upper and lower limbs; CSA Z432</w:t>
      </w:r>
    </w:p>
    <w:p>
      <w:pPr>
        <w:pStyle w:val="ListParagraph"/>
        <w:numPr>
          <w:ilvl w:val="0"/>
          <w:numId w:val="2"/>
        </w:numPr>
        <w:spacing w:after="60" w:line="268"/>
        <w:jc w:val="both"/>
      </w:pPr>
      <w:r>
        <w:rPr>
          <w:rFonts w:ascii="Tahoma" w:cs="Tahoma" w:eastAsia="Tahoma" w:hAnsi="Tahoma"/>
          <w:sz w:val="20"/>
          <w:szCs w:val="20"/>
        </w:rPr>
        <w:t xml:space="preserve">DCSM — Hand Tools and Power Tools; DCSM — Lockout / Tagout</w:t>
      </w:r>
    </w:p>
    <w:p>
      <w:pPr>
        <w:pStyle w:val="Heading1"/>
      </w:pPr>
      <w:bookmarkStart w:id="9003" w:name="_DanToc9003"/>
      <w:r>
        <w:t xml:space="preserve">4. Definitions</w:t>
      </w:r>
      <w:bookmarkEnd w:id="900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Point of Operation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area of a machine where work is performed on the material.</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Fixed Guard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stationary guard removable only with a tool and only when the machine is not operating.</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Interlocking Guard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movable guard interconnected with the control system so the machine cannot operate unless the guard is in place.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Danger Zone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Any zone in or around machinery in which a person is exposed to a risk of injury.</w:t>
            </w:r>
          </w:p>
        </w:tc>
      </w:tr>
    </w:tbl>
    <w:p>
      <w:pPr>
        <w:pStyle w:val="Heading1"/>
      </w:pPr>
      <w:bookmarkStart w:id="9004" w:name="_DanToc9004"/>
      <w:r>
        <w:t xml:space="preserve">5. Deliverables</w:t>
      </w:r>
      <w:bookmarkEnd w:id="9004"/>
    </w:p>
    <w:p>
      <w:pPr>
        <w:pStyle w:val="ListParagraph"/>
        <w:numPr>
          <w:ilvl w:val="0"/>
          <w:numId w:val="2"/>
        </w:numPr>
        <w:spacing w:after="60" w:line="268"/>
        <w:jc w:val="both"/>
      </w:pPr>
      <w:r>
        <w:rPr>
          <w:rFonts w:ascii="Tahoma" w:cs="Tahoma" w:eastAsia="Tahoma" w:hAnsi="Tahoma"/>
          <w:sz w:val="20"/>
          <w:szCs w:val="20"/>
        </w:rPr>
        <w:t xml:space="preserve">Machine Guarding Preparations and Procedures</w:t>
      </w:r>
    </w:p>
    <w:p>
      <w:pPr>
        <w:pStyle w:val="ListParagraph"/>
        <w:numPr>
          <w:ilvl w:val="0"/>
          <w:numId w:val="2"/>
        </w:numPr>
        <w:spacing w:after="60" w:line="268"/>
        <w:jc w:val="both"/>
      </w:pPr>
      <w:r>
        <w:rPr>
          <w:rFonts w:ascii="Tahoma" w:cs="Tahoma" w:eastAsia="Tahoma" w:hAnsi="Tahoma"/>
          <w:sz w:val="20"/>
          <w:szCs w:val="20"/>
        </w:rPr>
        <w:t xml:space="preserve">Guarding hazard/risk assessment</w:t>
      </w:r>
    </w:p>
    <w:p>
      <w:pPr>
        <w:pStyle w:val="Heading1"/>
      </w:pPr>
      <w:bookmarkStart w:id="9005" w:name="_DanToc9005"/>
      <w:r>
        <w:t xml:space="preserve">6. Hazard / Risk Assessment</w:t>
      </w:r>
      <w:bookmarkEnd w:id="9005"/>
    </w:p>
    <w:p>
      <w:pPr>
        <w:spacing w:after="120" w:line="276"/>
        <w:jc w:val="both"/>
      </w:pPr>
      <w:r>
        <w:rPr>
          <w:rFonts w:ascii="Tahoma" w:cs="Tahoma" w:eastAsia="Tahoma" w:hAnsi="Tahoma"/>
          <w:sz w:val="20"/>
          <w:szCs w:val="20"/>
        </w:rPr>
        <w:t xml:space="preserve">When assessing machinery and equipment for mechanical hazards requiring guards, consider parts with moving components reachable by people, equipment that can eject objects with sufficient force to harm, parts that can reach people (booms/arms), and mobile equipment such as forklifts, pallet jacks and earthmoving equipment. Common mechanical hazards and associated risks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Hazard</w:t>
            </w:r>
          </w:p>
        </w:tc>
        <w:tc>
          <w:tcPr>
            <w:tcW w:type="dxa" w:w="46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Risk</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Rotating shafts, pulleys, sprockets, gears</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Entanglement</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Hard surfaces moving together</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Crushing</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Scissor action / shear (cutting) action</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Severing</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Sharp edge (moving or stationary)</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Cutting or puncturing</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Cable or hose connections, trailing leads</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Slips, trips and falls</w:t>
            </w:r>
          </w:p>
        </w:tc>
      </w:tr>
    </w:tbl>
    <w:p>
      <w:pPr>
        <w:pStyle w:val="Heading1"/>
      </w:pPr>
      <w:bookmarkStart w:id="9006" w:name="_DanToc9006"/>
      <w:r>
        <w:t xml:space="preserve">7. General Requirements for Machinery Guards</w:t>
      </w:r>
      <w:bookmarkEnd w:id="9006"/>
    </w:p>
    <w:p>
      <w:pPr>
        <w:pStyle w:val="ListParagraph"/>
        <w:numPr>
          <w:ilvl w:val="0"/>
          <w:numId w:val="2"/>
        </w:numPr>
        <w:spacing w:after="60" w:line="268"/>
        <w:jc w:val="both"/>
      </w:pPr>
      <w:r>
        <w:rPr>
          <w:rFonts w:ascii="Tahoma" w:cs="Tahoma" w:eastAsia="Tahoma" w:hAnsi="Tahoma"/>
          <w:sz w:val="20"/>
          <w:szCs w:val="20"/>
        </w:rPr>
        <w:t xml:space="preserve">Moving machinery parts shall be guarded where located 8.2 ft (2.5 m) or less above the floor or working surface — including flywheels, shafts, pulleys and belt/chain drives.</w:t>
      </w:r>
    </w:p>
    <w:p>
      <w:pPr>
        <w:pStyle w:val="ListParagraph"/>
        <w:numPr>
          <w:ilvl w:val="0"/>
          <w:numId w:val="2"/>
        </w:numPr>
        <w:spacing w:after="60" w:line="268"/>
        <w:jc w:val="both"/>
      </w:pPr>
      <w:r>
        <w:rPr>
          <w:rFonts w:ascii="Tahoma" w:cs="Tahoma" w:eastAsia="Tahoma" w:hAnsi="Tahoma"/>
          <w:sz w:val="20"/>
          <w:szCs w:val="20"/>
        </w:rPr>
        <w:t xml:space="preserve">Guards shall be installed before the equipment arrives on-site and maintained in position during operation; guards removed for maintenance or repair shall be reinstalled before the equipment is returned to service.</w:t>
      </w:r>
    </w:p>
    <w:p>
      <w:pPr>
        <w:pStyle w:val="ListParagraph"/>
        <w:numPr>
          <w:ilvl w:val="0"/>
          <w:numId w:val="2"/>
        </w:numPr>
        <w:spacing w:after="60" w:line="268"/>
        <w:jc w:val="both"/>
      </w:pPr>
      <w:r>
        <w:rPr>
          <w:rFonts w:ascii="Tahoma" w:cs="Tahoma" w:eastAsia="Tahoma" w:hAnsi="Tahoma"/>
          <w:sz w:val="20"/>
          <w:szCs w:val="20"/>
        </w:rPr>
        <w:t xml:space="preserve">Guards shall be constructed so that no part of the body can contact the moving surface, with openings no larger than 0.5 in (1.3 cm), and shall be strong enough to contain a failure of the rotating part being guarded.</w:t>
      </w:r>
    </w:p>
    <w:p>
      <w:pPr>
        <w:pStyle w:val="ListParagraph"/>
        <w:numPr>
          <w:ilvl w:val="0"/>
          <w:numId w:val="2"/>
        </w:numPr>
        <w:spacing w:after="60" w:line="268"/>
        <w:jc w:val="both"/>
      </w:pPr>
      <w:r>
        <w:rPr>
          <w:rFonts w:ascii="Tahoma" w:cs="Tahoma" w:eastAsia="Tahoma" w:hAnsi="Tahoma"/>
          <w:sz w:val="20"/>
          <w:szCs w:val="20"/>
        </w:rPr>
        <w:t xml:space="preserve">Guards shall be non-combustible and shall not create a potential source of ignition; shafting under bench machines shall be enclosed by stationary casing as the location requires.</w:t>
      </w:r>
    </w:p>
    <w:p>
      <w:pPr>
        <w:pStyle w:val="Heading1"/>
      </w:pPr>
      <w:bookmarkStart w:id="9007" w:name="_DanToc9007"/>
      <w:r>
        <w:t xml:space="preserve">8. Types of Guards</w:t>
      </w:r>
      <w:bookmarkEnd w:id="9007"/>
    </w:p>
    <w:p>
      <w:pPr>
        <w:keepNext/>
        <w:spacing w:after="80" w:before="160"/>
      </w:pPr>
      <w:r>
        <w:rPr>
          <w:rFonts w:ascii="Tahoma" w:cs="Tahoma" w:eastAsia="Tahoma" w:hAnsi="Tahoma"/>
          <w:b/>
          <w:bCs/>
          <w:color w:val="B5692B"/>
          <w:sz w:val="20"/>
          <w:szCs w:val="20"/>
        </w:rPr>
        <w:t xml:space="preserve">8.1  Fixed Guards</w:t>
      </w:r>
    </w:p>
    <w:p>
      <w:pPr>
        <w:pStyle w:val="ListParagraph"/>
        <w:numPr>
          <w:ilvl w:val="0"/>
          <w:numId w:val="2"/>
        </w:numPr>
        <w:spacing w:after="60" w:line="268"/>
        <w:jc w:val="both"/>
      </w:pPr>
      <w:r>
        <w:rPr>
          <w:rFonts w:ascii="Tahoma" w:cs="Tahoma" w:eastAsia="Tahoma" w:hAnsi="Tahoma"/>
          <w:sz w:val="20"/>
          <w:szCs w:val="20"/>
        </w:rPr>
        <w:t xml:space="preserve">Stationary guards that prevent contact between moving parts and any part of the body; they protect only when correctly fixed in position and can be opened, removed or adjusted only with a tool and when the machine is not operating.</w:t>
      </w:r>
    </w:p>
    <w:p>
      <w:pPr>
        <w:keepNext/>
        <w:spacing w:after="80" w:before="160"/>
      </w:pPr>
      <w:r>
        <w:rPr>
          <w:rFonts w:ascii="Tahoma" w:cs="Tahoma" w:eastAsia="Tahoma" w:hAnsi="Tahoma"/>
          <w:b/>
          <w:bCs/>
          <w:color w:val="B5692B"/>
          <w:sz w:val="20"/>
          <w:szCs w:val="20"/>
        </w:rPr>
        <w:t xml:space="preserve">8.2  Interlocking (Barrier) Guards</w:t>
      </w:r>
    </w:p>
    <w:p>
      <w:pPr>
        <w:pStyle w:val="ListParagraph"/>
        <w:numPr>
          <w:ilvl w:val="0"/>
          <w:numId w:val="2"/>
        </w:numPr>
        <w:spacing w:after="60" w:line="268"/>
        <w:jc w:val="both"/>
      </w:pPr>
      <w:r>
        <w:rPr>
          <w:rFonts w:ascii="Tahoma" w:cs="Tahoma" w:eastAsia="Tahoma" w:hAnsi="Tahoma"/>
          <w:sz w:val="20"/>
          <w:szCs w:val="20"/>
        </w:rPr>
        <w:t xml:space="preserve">Also known as movable/enclosure guards; they prevent the machine from operating unless the guard is in place, with the moving part interconnected to the control system (electrical, mechanical, hydraulic or pneumatic).</w:t>
      </w:r>
    </w:p>
    <w:p>
      <w:pPr>
        <w:keepNext/>
        <w:spacing w:after="80" w:before="160"/>
      </w:pPr>
      <w:r>
        <w:rPr>
          <w:rFonts w:ascii="Tahoma" w:cs="Tahoma" w:eastAsia="Tahoma" w:hAnsi="Tahoma"/>
          <w:b/>
          <w:bCs/>
          <w:color w:val="B5692B"/>
          <w:sz w:val="20"/>
          <w:szCs w:val="20"/>
        </w:rPr>
        <w:t xml:space="preserve">8.3  Self-Adjusting (Automatic) Guards</w:t>
      </w:r>
    </w:p>
    <w:p>
      <w:pPr>
        <w:pStyle w:val="ListParagraph"/>
        <w:numPr>
          <w:ilvl w:val="0"/>
          <w:numId w:val="2"/>
        </w:numPr>
        <w:spacing w:after="60" w:line="268"/>
        <w:jc w:val="both"/>
      </w:pPr>
      <w:r>
        <w:rPr>
          <w:rFonts w:ascii="Tahoma" w:cs="Tahoma" w:eastAsia="Tahoma" w:hAnsi="Tahoma"/>
          <w:sz w:val="20"/>
          <w:szCs w:val="20"/>
        </w:rPr>
        <w:t xml:space="preserve">Also known as push-away guards; they move automatically into position as the machine cycle starts and are appropriate only on slow machines.</w:t>
      </w:r>
    </w:p>
    <w:p>
      <w:pPr>
        <w:keepNext/>
        <w:spacing w:after="80" w:before="160"/>
      </w:pPr>
      <w:r>
        <w:rPr>
          <w:rFonts w:ascii="Tahoma" w:cs="Tahoma" w:eastAsia="Tahoma" w:hAnsi="Tahoma"/>
          <w:b/>
          <w:bCs/>
          <w:color w:val="B5692B"/>
          <w:sz w:val="20"/>
          <w:szCs w:val="20"/>
        </w:rPr>
        <w:t xml:space="preserve">8.4  Point-of-Operation Guards</w:t>
      </w:r>
    </w:p>
    <w:p>
      <w:pPr>
        <w:pStyle w:val="ListParagraph"/>
        <w:numPr>
          <w:ilvl w:val="0"/>
          <w:numId w:val="2"/>
        </w:numPr>
        <w:spacing w:after="60" w:line="268"/>
        <w:jc w:val="both"/>
      </w:pPr>
      <w:r>
        <w:rPr>
          <w:rFonts w:ascii="Tahoma" w:cs="Tahoma" w:eastAsia="Tahoma" w:hAnsi="Tahoma"/>
          <w:sz w:val="20"/>
          <w:szCs w:val="20"/>
        </w:rPr>
        <w:t xml:space="preserve">Prevent hands or fingers reaching through, over, under or around the guard; they shall be fastened to the equipment so they are not easily removed by the Operator. All rotating saw blades, grinding wheels and cut-off wheels shall be guarded while in use.</w:t>
      </w:r>
    </w:p>
    <w:p>
      <w:pPr>
        <w:pStyle w:val="Heading1"/>
      </w:pPr>
      <w:bookmarkStart w:id="9008" w:name="_DanToc9008"/>
      <w:r>
        <w:t xml:space="preserve">9. Guard Placement</w:t>
      </w:r>
      <w:bookmarkEnd w:id="9008"/>
    </w:p>
    <w:p>
      <w:pPr>
        <w:keepNext/>
        <w:spacing w:after="80" w:before="160"/>
      </w:pPr>
      <w:r>
        <w:rPr>
          <w:rFonts w:ascii="Tahoma" w:cs="Tahoma" w:eastAsia="Tahoma" w:hAnsi="Tahoma"/>
          <w:b/>
          <w:bCs/>
          <w:color w:val="B5692B"/>
          <w:sz w:val="20"/>
          <w:szCs w:val="20"/>
        </w:rPr>
        <w:t xml:space="preserve">9.1  Reach Clearances</w:t>
      </w:r>
    </w:p>
    <w:p>
      <w:pPr>
        <w:spacing w:after="120" w:line="276"/>
        <w:jc w:val="both"/>
      </w:pPr>
      <w:r>
        <w:rPr>
          <w:rFonts w:ascii="Tahoma" w:cs="Tahoma" w:eastAsia="Tahoma" w:hAnsi="Tahoma"/>
          <w:sz w:val="20"/>
          <w:szCs w:val="20"/>
        </w:rPr>
        <w:t xml:space="preserve">The design and positioning of guards shall provide, as a minimum, the following clearance distances to the danger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Reach</w:t>
            </w:r>
          </w:p>
        </w:tc>
        <w:tc>
          <w:tcPr>
            <w:tcW w:type="dxa" w:w="62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Minimum Distance to the Danger Point</w:t>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Arm reach</w:t>
            </w:r>
          </w:p>
        </w:tc>
        <w:tc>
          <w:tcPr>
            <w:tcW w:type="dxa" w:w="6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850 mm from under-arm to fingertip</w:t>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Elbow reach</w:t>
            </w:r>
          </w:p>
        </w:tc>
        <w:tc>
          <w:tcPr>
            <w:tcW w:type="dxa" w:w="6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550 mm from the inside elbow to fingertip</w:t>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Wrist reach</w:t>
            </w:r>
          </w:p>
        </w:tc>
        <w:tc>
          <w:tcPr>
            <w:tcW w:type="dxa" w:w="6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230 mm from wrist to tip of middle finger</w:t>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Finger reach</w:t>
            </w:r>
          </w:p>
        </w:tc>
        <w:tc>
          <w:tcPr>
            <w:tcW w:type="dxa" w:w="6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130 mm</w:t>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Vertical reach</w:t>
            </w:r>
          </w:p>
        </w:tc>
        <w:tc>
          <w:tcPr>
            <w:tcW w:type="dxa" w:w="6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2,500 mm maximum when standing on toes</w:t>
            </w:r>
          </w:p>
        </w:tc>
      </w:tr>
    </w:tbl>
    <w:p>
      <w:pPr>
        <w:keepNext/>
        <w:spacing w:after="80" w:before="160"/>
      </w:pPr>
      <w:r>
        <w:rPr>
          <w:rFonts w:ascii="Tahoma" w:cs="Tahoma" w:eastAsia="Tahoma" w:hAnsi="Tahoma"/>
          <w:b/>
          <w:bCs/>
          <w:color w:val="B5692B"/>
          <w:sz w:val="20"/>
          <w:szCs w:val="20"/>
        </w:rPr>
        <w:t xml:space="preserve">9.2  Mesh Size</w:t>
      </w:r>
    </w:p>
    <w:p>
      <w:pPr>
        <w:spacing w:after="120" w:line="276"/>
        <w:jc w:val="both"/>
      </w:pPr>
      <w:r>
        <w:rPr>
          <w:rFonts w:ascii="Tahoma" w:cs="Tahoma" w:eastAsia="Tahoma" w:hAnsi="Tahoma"/>
          <w:sz w:val="20"/>
          <w:szCs w:val="20"/>
        </w:rPr>
        <w:t xml:space="preserve">The size of mesh or other openings in the guard and the distance of the guard from the danger point may be selected from the following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Mesh / opening size</w:t>
            </w:r>
          </w:p>
        </w:tc>
        <w:tc>
          <w:tcPr>
            <w:tcW w:type="dxa" w:w="57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Required distance of guard from danger point</w:t>
            </w:r>
          </w:p>
        </w:tc>
      </w:tr>
      <w:tr>
        <w:tc>
          <w:tcPr>
            <w:tcW w:type="dxa" w:w="3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Up to and including 9 mm</w:t>
            </w:r>
          </w:p>
        </w:tc>
        <w:tc>
          <w:tcPr>
            <w:tcW w:type="dxa" w:w="5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Distance virtually the same (guard may be close to the danger point)</w:t>
            </w:r>
          </w:p>
        </w:tc>
      </w:tr>
      <w:tr>
        <w:tc>
          <w:tcPr>
            <w:tcW w:type="dxa" w:w="3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Over 9 mm but less than 40 mm</w:t>
            </w:r>
          </w:p>
        </w:tc>
        <w:tc>
          <w:tcPr>
            <w:tcW w:type="dxa" w:w="5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Guard at least 200 mm from the danger point</w:t>
            </w:r>
          </w:p>
        </w:tc>
      </w:tr>
      <w:tr>
        <w:tc>
          <w:tcPr>
            <w:tcW w:type="dxa" w:w="3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All types of guard</w:t>
            </w:r>
          </w:p>
        </w:tc>
        <w:tc>
          <w:tcPr>
            <w:tcW w:type="dxa" w:w="5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Distance between the bottom opening and floor not to exceed 250 mm</w:t>
            </w:r>
          </w:p>
        </w:tc>
      </w:tr>
    </w:tbl>
    <w:p>
      <w:pPr>
        <w:keepNext/>
        <w:spacing w:after="80" w:before="160"/>
      </w:pPr>
      <w:r>
        <w:rPr>
          <w:rFonts w:ascii="Tahoma" w:cs="Tahoma" w:eastAsia="Tahoma" w:hAnsi="Tahoma"/>
          <w:b/>
          <w:bCs/>
          <w:color w:val="B5692B"/>
          <w:sz w:val="20"/>
          <w:szCs w:val="20"/>
        </w:rPr>
        <w:t xml:space="preserve">9.3  Reaching Over and Down</w:t>
      </w:r>
    </w:p>
    <w:p>
      <w:pPr>
        <w:pStyle w:val="ListParagraph"/>
        <w:numPr>
          <w:ilvl w:val="0"/>
          <w:numId w:val="2"/>
        </w:numPr>
        <w:spacing w:after="60" w:line="268"/>
        <w:jc w:val="both"/>
      </w:pPr>
      <w:r>
        <w:rPr>
          <w:rFonts w:ascii="Tahoma" w:cs="Tahoma" w:eastAsia="Tahoma" w:hAnsi="Tahoma"/>
          <w:sz w:val="20"/>
          <w:szCs w:val="20"/>
        </w:rPr>
        <w:t xml:space="preserve">The adequate height of a barrier depends on three factors: the height of the danger point from the floor, the height of the barrier, and the horizontal distance maintained between the edge of the barrier and the danger point (per ISO 13857).</w:t>
      </w:r>
    </w:p>
    <w:p>
      <w:pPr>
        <w:pStyle w:val="ListParagraph"/>
        <w:numPr>
          <w:ilvl w:val="0"/>
          <w:numId w:val="2"/>
        </w:numPr>
        <w:spacing w:after="60" w:line="268"/>
        <w:jc w:val="both"/>
      </w:pPr>
      <w:r>
        <w:rPr>
          <w:rFonts w:ascii="Tahoma" w:cs="Tahoma" w:eastAsia="Tahoma" w:hAnsi="Tahoma"/>
          <w:sz w:val="20"/>
          <w:szCs w:val="20"/>
        </w:rPr>
        <w:t xml:space="preserve">Guards or protective structures less than 39 in (1,000 mm) high are not sufficient on their own for any application, as they do not adequately restrict body movement; structures less than 55 in (1,400 mm) high shall not be used in high-risk applications without additional safety measures.</w:t>
      </w:r>
    </w:p>
    <w:p>
      <w:pPr>
        <w:pStyle w:val="Heading1"/>
      </w:pPr>
      <w:bookmarkStart w:id="9009" w:name="_DanToc9009"/>
      <w:r>
        <w:t xml:space="preserve">10. Maintenance, Records and Related Documents</w:t>
      </w:r>
      <w:bookmarkEnd w:id="9009"/>
    </w:p>
    <w:p>
      <w:pPr>
        <w:spacing w:after="120" w:line="276"/>
        <w:jc w:val="both"/>
      </w:pPr>
      <w:r>
        <w:rPr>
          <w:rFonts w:ascii="Tahoma" w:cs="Tahoma" w:eastAsia="Tahoma" w:hAnsi="Tahoma"/>
          <w:sz w:val="20"/>
          <w:szCs w:val="20"/>
        </w:rPr>
        <w:t xml:space="preserve">Guards shall be inspected as part of routine equipment checks; damaged or missing guards shall be reported and the machine removed from service until the guard is restored. Energy shall be isolated under the Lockout/Tagout chapter before a guard is removed for maintenance. Guarding assessments and inspection records shall be maintained on-site and archived at project close.</w:t>
      </w:r>
    </w:p>
    <w:p>
      <w:pPr>
        <w:pStyle w:val="ListParagraph"/>
        <w:numPr>
          <w:ilvl w:val="0"/>
          <w:numId w:val="2"/>
        </w:numPr>
        <w:spacing w:after="60" w:line="268"/>
        <w:jc w:val="both"/>
      </w:pPr>
      <w:r>
        <w:rPr>
          <w:rFonts w:ascii="Tahoma" w:cs="Tahoma" w:eastAsia="Tahoma" w:hAnsi="Tahoma"/>
          <w:sz w:val="20"/>
          <w:szCs w:val="20"/>
        </w:rPr>
        <w:t xml:space="preserve">DCSM — Hand Tools and Power Tools</w:t>
      </w:r>
    </w:p>
    <w:p>
      <w:pPr>
        <w:pStyle w:val="ListParagraph"/>
        <w:numPr>
          <w:ilvl w:val="0"/>
          <w:numId w:val="2"/>
        </w:numPr>
        <w:spacing w:after="60" w:line="268"/>
        <w:jc w:val="both"/>
      </w:pPr>
      <w:r>
        <w:rPr>
          <w:rFonts w:ascii="Tahoma" w:cs="Tahoma" w:eastAsia="Tahoma" w:hAnsi="Tahoma"/>
          <w:sz w:val="20"/>
          <w:szCs w:val="20"/>
        </w:rPr>
        <w:t xml:space="preserve">DCSM — Lockout / Tagout</w:t>
      </w:r>
    </w:p>
    <w:p>
      <w:pPr>
        <w:pStyle w:val="ListParagraph"/>
        <w:numPr>
          <w:ilvl w:val="0"/>
          <w:numId w:val="2"/>
        </w:numPr>
        <w:spacing w:after="60" w:line="268"/>
        <w:jc w:val="both"/>
      </w:pPr>
      <w:r>
        <w:rPr>
          <w:rFonts w:ascii="Tahoma" w:cs="Tahoma" w:eastAsia="Tahoma" w:hAnsi="Tahoma"/>
          <w:sz w:val="20"/>
          <w:szCs w:val="20"/>
        </w:rPr>
        <w:t xml:space="preserve">DCSM — Motor Vehicles and Equipment</w:t>
      </w:r>
    </w:p>
    <w:p>
      <w:pPr>
        <w:pStyle w:val="Heading1"/>
      </w:pPr>
      <w:bookmarkStart w:id="9010" w:name="_DanToc9010"/>
      <w:r>
        <w:t xml:space="preserve">Figures and Illustrations</w:t>
      </w:r>
      <w:bookmarkEnd w:id="9010"/>
    </w:p>
    <w:p>
      <w:pPr>
        <w:keepNext/>
        <w:spacing w:after="40" w:before="140"/>
        <w:jc w:val="center"/>
      </w:pPr>
      <w:r>
        <w:drawing>
          <wp:inline distT="0" distB="0" distL="0" distR="0">
            <wp:extent cx="1228725" cy="9525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28725" cy="952500"/>
                    </a:xfrm>
                    <a:prstGeom prst="rect">
                      <a:avLst/>
                    </a:prstGeom>
                  </pic:spPr>
                </pic:pic>
              </a:graphicData>
            </a:graphic>
          </wp:inline>
        </w:drawing>
      </w:r>
    </w:p>
    <w:p>
      <w:pPr>
        <w:keepNext/>
        <w:spacing w:after="40" w:before="140"/>
        <w:jc w:val="center"/>
      </w:pPr>
      <w:r>
        <w:drawing>
          <wp:inline distT="0" distB="0" distL="0" distR="0">
            <wp:extent cx="4095750" cy="1200150"/>
            <wp:effectExtent t="0" r="0" b="0" l="0"/>
            <wp:docPr id="1" name="Figure 39-1 Mesh Openings Visual" descr="Figure 39-1 Mesh Openings Visual" title="Figure 39-1 Mesh Openings 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120015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39-1 Mesh Openings Visual</w:t>
      </w:r>
    </w:p>
    <w:p>
      <w:pPr>
        <w:keepNext/>
        <w:spacing w:after="40" w:before="140"/>
        <w:jc w:val="center"/>
      </w:pPr>
      <w:r>
        <w:drawing>
          <wp:inline distT="0" distB="0" distL="0" distR="0">
            <wp:extent cx="4095750" cy="3190875"/>
            <wp:effectExtent t="0" r="0" b="0" l="0"/>
            <wp:docPr id="1" name="Figure 39-2 Over and Down Safe Reach Visual" descr="Figure 39-2 Over and Down Safe Reach Visual" title="Figure 39-2 Over and Down Safe Reach 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319087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39-2 Over and Down Safe Reach Visual</w:t>
      </w:r>
    </w:p>
    <w:p>
      <w:pPr>
        <w:pStyle w:val="Heading1"/>
      </w:pPr>
      <w:bookmarkStart w:id="9011" w:name="_DanToc9011"/>
      <w:r>
        <w:t xml:space="preserve">Revision History</w:t>
      </w:r>
      <w:bookmarkEnd w:id="901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(01-000001-000000-DAN-{discipline}-{type}-{seq}).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Machine Guarding</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01-000001-000000-DAN-HSE-PRC-000039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image" Target="media/ba69f291adaa2d18c8b8e7401653a9721b3f9098.png"/><Relationship Id="rId11" Type="http://schemas.openxmlformats.org/officeDocument/2006/relationships/image" Target="media/44280b3c1178367ef1a3445c4146a156269e645d.jpg"/><Relationship Id="rId12" Type="http://schemas.openxmlformats.org/officeDocument/2006/relationships/image" Target="media/7bdd75b38046c7007cf00f679bf07d38cda11c3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Guarding</dc:title>
  <dc:creator>DAN HSSE Management System</dc:creator>
  <cp:lastModifiedBy>Un-named</cp:lastModifiedBy>
  <cp:revision>1</cp:revision>
  <dcterms:created xsi:type="dcterms:W3CDTF">2026-06-27T22:37:38.757Z</dcterms:created>
  <dcterms:modified xsi:type="dcterms:W3CDTF">2026-06-27T22:37:38.757Z</dcterms:modified>
</cp:coreProperties>
</file>

<file path=docProps/custom.xml><?xml version="1.0" encoding="utf-8"?>
<Properties xmlns="http://schemas.openxmlformats.org/officeDocument/2006/custom-properties" xmlns:vt="http://schemas.openxmlformats.org/officeDocument/2006/docPropsVTypes"/>
</file>