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Automated External Defibrillator (AED)</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01-000001-000000-DAN-HSE-PRC-000015</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Deliverables</w:t>
            </w:r>
          </w:hyperlink>
        </w:p>
        <w:p>
          <w:pPr>
            <w:spacing w:after="40" w:line="259"/>
            <w:ind w:left="0"/>
          </w:pPr>
          <w:hyperlink w:anchor="_DanToc9004" w:history="1">
            <w:r>
              <w:rPr>
                <w:rFonts w:ascii="Tahoma" w:hAnsi="Tahoma" w:cs="Tahoma"/>
                <w:b/>
                <w:color w:val="542A12"/>
                <w:sz w:val="20"/>
              </w:rPr>
              <w:t xml:space="preserve">5. Procedure</w:t>
            </w:r>
          </w:hyperlink>
        </w:p>
        <w:p>
          <w:pPr>
            <w:spacing w:after="40" w:line="259"/>
            <w:ind w:left="360"/>
          </w:pPr>
          <w:hyperlink w:anchor="_DanToc9005" w:history="1">
            <w:r>
              <w:rPr>
                <w:rFonts w:ascii="Tahoma" w:hAnsi="Tahoma" w:cs="Tahoma"/>
                <w:color w:val="444444"/>
                <w:sz w:val="19"/>
              </w:rPr>
              <w:t xml:space="preserve">5.1 Links to Emergency Medical Services</w:t>
            </w:r>
          </w:hyperlink>
        </w:p>
        <w:p>
          <w:pPr>
            <w:spacing w:after="40" w:line="259"/>
            <w:ind w:left="360"/>
          </w:pPr>
          <w:hyperlink w:anchor="_DanToc9006" w:history="1">
            <w:r>
              <w:rPr>
                <w:rFonts w:ascii="Tahoma" w:hAnsi="Tahoma" w:cs="Tahoma"/>
                <w:color w:val="444444"/>
                <w:sz w:val="19"/>
              </w:rPr>
              <w:t xml:space="preserve">5.2 Equipment and Maintenance</w:t>
            </w:r>
          </w:hyperlink>
        </w:p>
        <w:p>
          <w:pPr>
            <w:spacing w:after="40" w:line="259"/>
            <w:ind w:left="360"/>
          </w:pPr>
          <w:hyperlink w:anchor="_DanToc9007" w:history="1">
            <w:r>
              <w:rPr>
                <w:rFonts w:ascii="Tahoma" w:hAnsi="Tahoma" w:cs="Tahoma"/>
                <w:color w:val="444444"/>
                <w:sz w:val="19"/>
              </w:rPr>
              <w:t xml:space="preserve">5.3 Placement / Location</w:t>
            </w:r>
          </w:hyperlink>
        </w:p>
        <w:p>
          <w:pPr>
            <w:spacing w:after="40" w:line="259"/>
            <w:ind w:left="360"/>
          </w:pPr>
          <w:hyperlink w:anchor="_DanToc9008" w:history="1">
            <w:r>
              <w:rPr>
                <w:rFonts w:ascii="Tahoma" w:hAnsi="Tahoma" w:cs="Tahoma"/>
                <w:color w:val="444444"/>
                <w:sz w:val="19"/>
              </w:rPr>
              <w:t xml:space="preserve">5.4 Indications and Use</w:t>
            </w:r>
          </w:hyperlink>
        </w:p>
        <w:p>
          <w:pPr>
            <w:spacing w:after="40" w:line="259"/>
            <w:ind w:left="360"/>
          </w:pPr>
          <w:hyperlink w:anchor="_DanToc9009" w:history="1">
            <w:r>
              <w:rPr>
                <w:rFonts w:ascii="Tahoma" w:hAnsi="Tahoma" w:cs="Tahoma"/>
                <w:color w:val="444444"/>
                <w:sz w:val="19"/>
              </w:rPr>
              <w:t xml:space="preserve">5.5 Follow-Up Actions</w:t>
            </w:r>
          </w:hyperlink>
        </w:p>
        <w:p>
          <w:pPr>
            <w:spacing w:after="40" w:line="259"/>
            <w:ind w:left="0"/>
          </w:pPr>
          <w:hyperlink w:anchor="_DanToc9010" w:history="1">
            <w:r>
              <w:rPr>
                <w:rFonts w:ascii="Tahoma" w:hAnsi="Tahoma" w:cs="Tahoma"/>
                <w:b/>
                <w:color w:val="542A12"/>
                <w:sz w:val="20"/>
              </w:rPr>
              <w:t xml:space="preserve">6. Training</w:t>
            </w:r>
          </w:hyperlink>
        </w:p>
        <w:p>
          <w:pPr>
            <w:spacing w:after="40" w:line="259"/>
            <w:ind w:left="0"/>
          </w:pPr>
          <w:hyperlink w:anchor="_DanToc9011" w:history="1">
            <w:r>
              <w:rPr>
                <w:rFonts w:ascii="Tahoma" w:hAnsi="Tahoma" w:cs="Tahoma"/>
                <w:b/>
                <w:color w:val="542A12"/>
                <w:sz w:val="20"/>
              </w:rPr>
              <w:t xml:space="preserve">7. Records and Quality Assurance</w:t>
            </w:r>
          </w:hyperlink>
        </w:p>
        <w:p>
          <w:pPr>
            <w:spacing w:after="40" w:line="259"/>
            <w:ind w:left="0"/>
          </w:pPr>
          <w:hyperlink w:anchor="_DanToc9012" w:history="1">
            <w:r>
              <w:rPr>
                <w:rFonts w:ascii="Tahoma" w:hAnsi="Tahoma" w:cs="Tahoma"/>
                <w:b/>
                <w:color w:val="542A12"/>
                <w:sz w:val="20"/>
              </w:rPr>
              <w:t xml:space="preserve">8. Related Documents</w:t>
            </w:r>
          </w:hyperlink>
        </w:p>
        <w:p>
          <w:pPr>
            <w:spacing w:after="40" w:line="259"/>
            <w:ind w:left="0"/>
          </w:pPr>
          <w:hyperlink w:anchor="_DanToc9013" w:history="1">
            <w:r>
              <w:rPr>
                <w:rFonts w:ascii="Tahoma" w:hAnsi="Tahoma" w:cs="Tahoma"/>
                <w:b/>
                <w:color w:val="542A12"/>
                <w:sz w:val="20"/>
              </w:rPr>
              <w:t xml:space="preserve">Figures and Illustrations</w:t>
            </w:r>
          </w:hyperlink>
        </w:p>
        <w:p>
          <w:pPr>
            <w:spacing w:after="40" w:line="259"/>
            <w:ind w:left="0"/>
          </w:pPr>
          <w:hyperlink w:anchor="_DanToc9014"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provides guidelines for an action plan to respond to the medical emergency of sudden cardiac arrest using an Automated External Defibrillator (AED) — a lightweight, portable device that delivers an electric shock through the chest to the heart, stopping an irregular rhythm and allowing a normal rhythm to resume. AEDs form part of the CONTRACTOR Emergency Preparedness and Response Plan.</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DAN project sites operating an AED programme and to the trained personnel authorised to use the device.</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DCSM — Emergency Planning and Response</w:t>
      </w:r>
    </w:p>
    <w:p>
      <w:pPr>
        <w:pStyle w:val="ListParagraph"/>
        <w:numPr>
          <w:ilvl w:val="0"/>
          <w:numId w:val="2"/>
        </w:numPr>
        <w:spacing w:after="60" w:line="268"/>
        <w:jc w:val="both"/>
      </w:pPr>
      <w:r>
        <w:rPr>
          <w:rFonts w:ascii="Tahoma" w:cs="Tahoma" w:eastAsia="Tahoma" w:hAnsi="Tahoma"/>
          <w:sz w:val="20"/>
          <w:szCs w:val="20"/>
        </w:rPr>
        <w:t xml:space="preserve">DCSM — First Aid</w:t>
      </w:r>
    </w:p>
    <w:p>
      <w:pPr>
        <w:pStyle w:val="ListParagraph"/>
        <w:numPr>
          <w:ilvl w:val="0"/>
          <w:numId w:val="2"/>
        </w:numPr>
        <w:spacing w:after="60" w:line="268"/>
        <w:jc w:val="both"/>
      </w:pPr>
      <w:r>
        <w:rPr>
          <w:rFonts w:ascii="Tahoma" w:cs="Tahoma" w:eastAsia="Tahoma" w:hAnsi="Tahoma"/>
          <w:sz w:val="20"/>
          <w:szCs w:val="20"/>
        </w:rPr>
        <w:t xml:space="preserve">KSA AED regulations and EMS requirements</w:t>
      </w:r>
    </w:p>
    <w:p>
      <w:pPr>
        <w:pStyle w:val="Heading1"/>
      </w:pPr>
      <w:bookmarkStart w:id="9003" w:name="_DanToc9003"/>
      <w:r>
        <w:t xml:space="preserve">4. Deliverables</w:t>
      </w:r>
      <w:bookmarkEnd w:id="9003"/>
    </w:p>
    <w:p>
      <w:pPr>
        <w:pStyle w:val="ListParagraph"/>
        <w:numPr>
          <w:ilvl w:val="0"/>
          <w:numId w:val="2"/>
        </w:numPr>
        <w:spacing w:after="60" w:line="268"/>
        <w:jc w:val="both"/>
      </w:pPr>
      <w:r>
        <w:rPr>
          <w:rFonts w:ascii="Tahoma" w:cs="Tahoma" w:eastAsia="Tahoma" w:hAnsi="Tahoma"/>
          <w:sz w:val="20"/>
          <w:szCs w:val="20"/>
        </w:rPr>
        <w:t xml:space="preserve">Provide AED(s) as required.</w:t>
      </w:r>
    </w:p>
    <w:p>
      <w:pPr>
        <w:pStyle w:val="ListParagraph"/>
        <w:numPr>
          <w:ilvl w:val="0"/>
          <w:numId w:val="2"/>
        </w:numPr>
        <w:spacing w:after="60" w:line="268"/>
        <w:jc w:val="both"/>
      </w:pPr>
      <w:r>
        <w:rPr>
          <w:rFonts w:ascii="Tahoma" w:cs="Tahoma" w:eastAsia="Tahoma" w:hAnsi="Tahoma"/>
          <w:sz w:val="20"/>
          <w:szCs w:val="20"/>
        </w:rPr>
        <w:t xml:space="preserve">Prepare and implement an action plan.</w:t>
      </w:r>
    </w:p>
    <w:p>
      <w:pPr>
        <w:pStyle w:val="ListParagraph"/>
        <w:numPr>
          <w:ilvl w:val="0"/>
          <w:numId w:val="2"/>
        </w:numPr>
        <w:spacing w:after="60" w:line="268"/>
        <w:jc w:val="both"/>
      </w:pPr>
      <w:r>
        <w:rPr>
          <w:rFonts w:ascii="Tahoma" w:cs="Tahoma" w:eastAsia="Tahoma" w:hAnsi="Tahoma"/>
          <w:sz w:val="20"/>
          <w:szCs w:val="20"/>
        </w:rPr>
        <w:t xml:space="preserve">Train the necessary staff.</w:t>
      </w:r>
    </w:p>
    <w:p>
      <w:pPr>
        <w:pStyle w:val="ListParagraph"/>
        <w:numPr>
          <w:ilvl w:val="0"/>
          <w:numId w:val="2"/>
        </w:numPr>
        <w:spacing w:after="60" w:line="268"/>
        <w:jc w:val="both"/>
      </w:pPr>
      <w:r>
        <w:rPr>
          <w:rFonts w:ascii="Tahoma" w:cs="Tahoma" w:eastAsia="Tahoma" w:hAnsi="Tahoma"/>
          <w:sz w:val="20"/>
          <w:szCs w:val="20"/>
        </w:rPr>
        <w:t xml:space="preserve">Maintain the records and documentation related to the AED programme.</w:t>
      </w:r>
    </w:p>
    <w:p>
      <w:pPr>
        <w:pStyle w:val="Heading1"/>
      </w:pPr>
      <w:bookmarkStart w:id="9004" w:name="_DanToc9004"/>
      <w:r>
        <w:t xml:space="preserve">5. Procedure</w:t>
      </w:r>
      <w:bookmarkEnd w:id="9004"/>
    </w:p>
    <w:p>
      <w:pPr>
        <w:spacing w:after="120" w:line="276"/>
        <w:jc w:val="both"/>
      </w:pPr>
      <w:r>
        <w:rPr>
          <w:rFonts w:ascii="Tahoma" w:cs="Tahoma" w:eastAsia="Tahoma" w:hAnsi="Tahoma"/>
          <w:sz w:val="20"/>
          <w:szCs w:val="20"/>
        </w:rPr>
        <w:t xml:space="preserve">The AED may only be used by trained personnel on a patient who is unconscious, not breathing and shows no signs of circulation. Immediate treatment is essential for cardiac-arrest survival; the CONTRACTOR shall implement a “chain of survival”:</w:t>
      </w:r>
    </w:p>
    <w:p>
      <w:pPr>
        <w:pStyle w:val="ListParagraph"/>
        <w:numPr>
          <w:ilvl w:val="0"/>
          <w:numId w:val="2"/>
        </w:numPr>
        <w:spacing w:after="60" w:line="268"/>
        <w:jc w:val="both"/>
      </w:pPr>
      <w:r>
        <w:rPr>
          <w:rFonts w:ascii="Tahoma" w:cs="Tahoma" w:eastAsia="Tahoma" w:hAnsi="Tahoma"/>
          <w:sz w:val="20"/>
          <w:szCs w:val="20"/>
        </w:rPr>
        <w:t xml:space="preserve">Early recognition of the emergency and activation of Emergency Medical Services (EMS);</w:t>
      </w:r>
    </w:p>
    <w:p>
      <w:pPr>
        <w:pStyle w:val="ListParagraph"/>
        <w:numPr>
          <w:ilvl w:val="0"/>
          <w:numId w:val="2"/>
        </w:numPr>
        <w:spacing w:after="60" w:line="268"/>
        <w:jc w:val="both"/>
      </w:pPr>
      <w:r>
        <w:rPr>
          <w:rFonts w:ascii="Tahoma" w:cs="Tahoma" w:eastAsia="Tahoma" w:hAnsi="Tahoma"/>
          <w:sz w:val="20"/>
          <w:szCs w:val="20"/>
        </w:rPr>
        <w:t xml:space="preserve">Early bystander Cardiopulmonary Resuscitation (CPR);</w:t>
      </w:r>
    </w:p>
    <w:p>
      <w:pPr>
        <w:pStyle w:val="ListParagraph"/>
        <w:numPr>
          <w:ilvl w:val="0"/>
          <w:numId w:val="2"/>
        </w:numPr>
        <w:spacing w:after="60" w:line="268"/>
        <w:jc w:val="both"/>
      </w:pPr>
      <w:r>
        <w:rPr>
          <w:rFonts w:ascii="Tahoma" w:cs="Tahoma" w:eastAsia="Tahoma" w:hAnsi="Tahoma"/>
          <w:sz w:val="20"/>
          <w:szCs w:val="20"/>
        </w:rPr>
        <w:t xml:space="preserve">Early defibrillation when indicated;</w:t>
      </w:r>
    </w:p>
    <w:p>
      <w:pPr>
        <w:pStyle w:val="ListParagraph"/>
        <w:numPr>
          <w:ilvl w:val="0"/>
          <w:numId w:val="2"/>
        </w:numPr>
        <w:spacing w:after="60" w:line="268"/>
        <w:jc w:val="both"/>
      </w:pPr>
      <w:r>
        <w:rPr>
          <w:rFonts w:ascii="Tahoma" w:cs="Tahoma" w:eastAsia="Tahoma" w:hAnsi="Tahoma"/>
          <w:sz w:val="20"/>
          <w:szCs w:val="20"/>
        </w:rPr>
        <w:t xml:space="preserve">Early advanced life support and post-resuscitation care by healthcare providers.</w:t>
      </w:r>
    </w:p>
    <w:p>
      <w:pPr>
        <w:pStyle w:val="Heading2"/>
      </w:pPr>
      <w:bookmarkStart w:id="9005" w:name="_DanToc9005"/>
      <w:r>
        <w:t xml:space="preserve">5.1 Links to Emergency Medical Services</w:t>
      </w:r>
      <w:bookmarkEnd w:id="9005"/>
    </w:p>
    <w:p>
      <w:pPr>
        <w:spacing w:after="120" w:line="276"/>
        <w:jc w:val="both"/>
      </w:pPr>
      <w:r>
        <w:rPr>
          <w:rFonts w:ascii="Tahoma" w:cs="Tahoma" w:eastAsia="Tahoma" w:hAnsi="Tahoma"/>
          <w:sz w:val="20"/>
          <w:szCs w:val="20"/>
        </w:rPr>
        <w:t xml:space="preserve">Specific communication links shall be established. To activate the EMS system, use the emergency contact numbers listed in the project-site Emergency Preparedness and Response Plan.</w:t>
      </w:r>
    </w:p>
    <w:p>
      <w:pPr>
        <w:pStyle w:val="Heading2"/>
      </w:pPr>
      <w:bookmarkStart w:id="9006" w:name="_DanToc9006"/>
      <w:r>
        <w:t xml:space="preserve">5.2 Equipment and Maintenance</w:t>
      </w:r>
      <w:bookmarkEnd w:id="9006"/>
    </w:p>
    <w:p>
      <w:pPr>
        <w:spacing w:after="120" w:line="276"/>
        <w:jc w:val="both"/>
      </w:pPr>
      <w:r>
        <w:rPr>
          <w:rFonts w:ascii="Tahoma" w:cs="Tahoma" w:eastAsia="Tahoma" w:hAnsi="Tahoma"/>
          <w:sz w:val="20"/>
          <w:szCs w:val="20"/>
        </w:rPr>
        <w:t xml:space="preserve">The minimum AED equipment includes the AED with carrying case, one set of disposable electrode pads, medical-grade disposable gloves, rescue-breathing masks, gauze pads, hand sanitiser and antibacterial soap. The AED shall be maintained to ensure continued readiness, following the manufacturer’s guidelines.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AEDs perform automatic daily self-testing. Regular monthly visual inspections and completion of the monthly checklist provide uniform inspections project-wide.</w:t>
      </w:r>
    </w:p>
    <w:p>
      <w:pPr>
        <w:pStyle w:val="Heading2"/>
      </w:pPr>
      <w:bookmarkStart w:id="9007" w:name="_DanToc9007"/>
      <w:r>
        <w:t xml:space="preserve">5.3 Placement / Location</w:t>
      </w:r>
      <w:bookmarkEnd w:id="9007"/>
    </w:p>
    <w:p>
      <w:pPr>
        <w:spacing w:after="120" w:line="276"/>
        <w:jc w:val="both"/>
      </w:pPr>
      <w:r>
        <w:rPr>
          <w:rFonts w:ascii="Tahoma" w:cs="Tahoma" w:eastAsia="Tahoma" w:hAnsi="Tahoma"/>
          <w:sz w:val="20"/>
          <w:szCs w:val="20"/>
        </w:rPr>
        <w:t xml:space="preserve">Determine AED placement so that response arrival is no more than 3 minutes from the time of collapse where possible, prioritising locations with historically higher rates of cardiac events, higher personnel volumes and at-risk populations, and installing AEDs in secure but easily accessible locations.</w:t>
      </w:r>
    </w:p>
    <w:p>
      <w:pPr>
        <w:pStyle w:val="Heading2"/>
      </w:pPr>
      <w:bookmarkStart w:id="9008" w:name="_DanToc9008"/>
      <w:r>
        <w:t xml:space="preserve">5.4 Indications and Use</w:t>
      </w:r>
      <w:bookmarkEnd w:id="9008"/>
    </w:p>
    <w:p>
      <w:pPr>
        <w:pStyle w:val="ListParagraph"/>
        <w:numPr>
          <w:ilvl w:val="0"/>
          <w:numId w:val="2"/>
        </w:numPr>
        <w:spacing w:after="60" w:line="268"/>
        <w:jc w:val="both"/>
      </w:pPr>
      <w:r>
        <w:rPr>
          <w:rFonts w:ascii="Tahoma" w:cs="Tahoma" w:eastAsia="Tahoma" w:hAnsi="Tahoma"/>
          <w:sz w:val="20"/>
          <w:szCs w:val="20"/>
        </w:rPr>
        <w:t xml:space="preserve">Only trained personnel are authorised to use the AED.</w:t>
      </w:r>
    </w:p>
    <w:p>
      <w:pPr>
        <w:pStyle w:val="ListParagraph"/>
        <w:numPr>
          <w:ilvl w:val="0"/>
          <w:numId w:val="2"/>
        </w:numPr>
        <w:spacing w:after="60" w:line="268"/>
        <w:jc w:val="both"/>
      </w:pPr>
      <w:r>
        <w:rPr>
          <w:rFonts w:ascii="Tahoma" w:cs="Tahoma" w:eastAsia="Tahoma" w:hAnsi="Tahoma"/>
          <w:sz w:val="20"/>
          <w:szCs w:val="20"/>
        </w:rPr>
        <w:t xml:space="preserve">All personnel on a site with an AED programme shall, as a minimum, be educated on the instructions for its use and sign the consent form (indicating consent or refusal).</w:t>
      </w:r>
    </w:p>
    <w:p>
      <w:pPr>
        <w:pStyle w:val="Heading2"/>
      </w:pPr>
      <w:bookmarkStart w:id="9009" w:name="_DanToc9009"/>
      <w:r>
        <w:t xml:space="preserve">5.5 Follow-Up Actions</w:t>
      </w:r>
      <w:bookmarkEnd w:id="9009"/>
    </w:p>
    <w:p>
      <w:pPr>
        <w:keepNext/>
        <w:spacing w:after="80" w:before="160"/>
      </w:pPr>
      <w:r>
        <w:rPr>
          <w:rFonts w:ascii="Tahoma" w:cs="Tahoma" w:eastAsia="Tahoma" w:hAnsi="Tahoma"/>
          <w:b/>
          <w:bCs/>
          <w:color w:val="B5692B"/>
          <w:sz w:val="20"/>
          <w:szCs w:val="20"/>
        </w:rPr>
        <w:t xml:space="preserve">5.5.1 Sanitation and Clean-Up</w:t>
      </w:r>
    </w:p>
    <w:p>
      <w:pPr>
        <w:pStyle w:val="ListParagraph"/>
        <w:numPr>
          <w:ilvl w:val="0"/>
          <w:numId w:val="2"/>
        </w:numPr>
        <w:spacing w:after="60" w:line="268"/>
        <w:jc w:val="both"/>
      </w:pPr>
      <w:r>
        <w:rPr>
          <w:rFonts w:ascii="Tahoma" w:cs="Tahoma" w:eastAsia="Tahoma" w:hAnsi="Tahoma"/>
          <w:sz w:val="20"/>
          <w:szCs w:val="20"/>
        </w:rPr>
        <w:t xml:space="preserve">Thoroughly wash hands with non-abrasive soap and water after removing soiled gloves;</w:t>
      </w:r>
    </w:p>
    <w:p>
      <w:pPr>
        <w:pStyle w:val="ListParagraph"/>
        <w:numPr>
          <w:ilvl w:val="0"/>
          <w:numId w:val="2"/>
        </w:numPr>
        <w:spacing w:after="60" w:line="268"/>
        <w:jc w:val="both"/>
      </w:pPr>
      <w:r>
        <w:rPr>
          <w:rFonts w:ascii="Tahoma" w:cs="Tahoma" w:eastAsia="Tahoma" w:hAnsi="Tahoma"/>
          <w:sz w:val="20"/>
          <w:szCs w:val="20"/>
        </w:rPr>
        <w:t xml:space="preserve">Dispose of all gloves, masks and infectious material in an appropriate receptacle (per KSA bio-hazardous-waste laws);</w:t>
      </w:r>
    </w:p>
    <w:p>
      <w:pPr>
        <w:pStyle w:val="ListParagraph"/>
        <w:numPr>
          <w:ilvl w:val="0"/>
          <w:numId w:val="2"/>
        </w:numPr>
        <w:spacing w:after="60" w:line="268"/>
        <w:jc w:val="both"/>
      </w:pPr>
      <w:r>
        <w:rPr>
          <w:rFonts w:ascii="Tahoma" w:cs="Tahoma" w:eastAsia="Tahoma" w:hAnsi="Tahoma"/>
          <w:sz w:val="20"/>
          <w:szCs w:val="20"/>
        </w:rPr>
        <w:t xml:space="preserve">Follow the manufacturer’s cleaning recommendations using the proper cleaning agent.</w:t>
      </w:r>
    </w:p>
    <w:p>
      <w:pPr>
        <w:keepNext/>
        <w:spacing w:after="80" w:before="160"/>
      </w:pPr>
      <w:r>
        <w:rPr>
          <w:rFonts w:ascii="Tahoma" w:cs="Tahoma" w:eastAsia="Tahoma" w:hAnsi="Tahoma"/>
          <w:b/>
          <w:bCs/>
          <w:color w:val="B5692B"/>
          <w:sz w:val="20"/>
          <w:szCs w:val="20"/>
        </w:rPr>
        <w:t xml:space="preserve">5.5.2 Reporting, Record-Keeping and Equipment Check</w:t>
      </w:r>
    </w:p>
    <w:p>
      <w:pPr>
        <w:pStyle w:val="ListParagraph"/>
        <w:numPr>
          <w:ilvl w:val="0"/>
          <w:numId w:val="2"/>
        </w:numPr>
        <w:spacing w:after="60" w:line="268"/>
        <w:jc w:val="both"/>
      </w:pPr>
      <w:r>
        <w:rPr>
          <w:rFonts w:ascii="Tahoma" w:cs="Tahoma" w:eastAsia="Tahoma" w:hAnsi="Tahoma"/>
          <w:sz w:val="20"/>
          <w:szCs w:val="20"/>
        </w:rPr>
        <w:t xml:space="preserve">Immediately notify local emergency responders, the AED Coordinator, the Sponsoring Physician and the Medical Services Administrator of any AED use;</w:t>
      </w:r>
    </w:p>
    <w:p>
      <w:pPr>
        <w:pStyle w:val="ListParagraph"/>
        <w:numPr>
          <w:ilvl w:val="0"/>
          <w:numId w:val="2"/>
        </w:numPr>
        <w:spacing w:after="60" w:line="268"/>
        <w:jc w:val="both"/>
      </w:pPr>
      <w:r>
        <w:rPr>
          <w:rFonts w:ascii="Tahoma" w:cs="Tahoma" w:eastAsia="Tahoma" w:hAnsi="Tahoma"/>
          <w:sz w:val="20"/>
          <w:szCs w:val="20"/>
        </w:rPr>
        <w:t xml:space="preserve">Download the Event Summary from the PC data card (where software is available) and send it to the Sponsoring Physician and the governing EMS authority for analysis;</w:t>
      </w:r>
    </w:p>
    <w:p>
      <w:pPr>
        <w:pStyle w:val="ListParagraph"/>
        <w:numPr>
          <w:ilvl w:val="0"/>
          <w:numId w:val="2"/>
        </w:numPr>
        <w:spacing w:after="60" w:line="268"/>
        <w:jc w:val="both"/>
      </w:pPr>
      <w:r>
        <w:rPr>
          <w:rFonts w:ascii="Tahoma" w:cs="Tahoma" w:eastAsia="Tahoma" w:hAnsi="Tahoma"/>
          <w:sz w:val="20"/>
          <w:szCs w:val="20"/>
        </w:rPr>
        <w:t xml:space="preserve">The AED Coordinator conducts an incident debriefing with the involved operators;</w:t>
      </w:r>
    </w:p>
    <w:p>
      <w:pPr>
        <w:pStyle w:val="ListParagraph"/>
        <w:numPr>
          <w:ilvl w:val="0"/>
          <w:numId w:val="2"/>
        </w:numPr>
        <w:spacing w:after="60" w:line="268"/>
        <w:jc w:val="both"/>
      </w:pPr>
      <w:r>
        <w:rPr>
          <w:rFonts w:ascii="Tahoma" w:cs="Tahoma" w:eastAsia="Tahoma" w:hAnsi="Tahoma"/>
          <w:sz w:val="20"/>
          <w:szCs w:val="20"/>
        </w:rPr>
        <w:t xml:space="preserve">Perform the battery-insertion test (replace if needed) and restock supplies, including a new PC data card.</w:t>
      </w:r>
    </w:p>
    <w:p>
      <w:pPr>
        <w:pStyle w:val="Heading1"/>
      </w:pPr>
      <w:bookmarkStart w:id="9010" w:name="_DanToc9010"/>
      <w:r>
        <w:t xml:space="preserve">6. Training</w:t>
      </w:r>
      <w:bookmarkEnd w:id="9010"/>
    </w:p>
    <w:p>
      <w:pPr>
        <w:spacing w:after="120" w:line="276"/>
        <w:jc w:val="both"/>
      </w:pPr>
      <w:r>
        <w:rPr>
          <w:rFonts w:ascii="Tahoma" w:cs="Tahoma" w:eastAsia="Tahoma" w:hAnsi="Tahoma"/>
          <w:sz w:val="20"/>
          <w:szCs w:val="20"/>
        </w:rPr>
        <w:t xml:space="preserve">The AED Coordinator verifies the KSA AED regulations for specific training requirements and implements a KSA-recognised, instructor-led programme with scenario-based practice. As a minimum, training teaches operators to recognise the warning signs of heart attack and stroke, activate EMS, perform rescue breathing (mouth-to-mouth and mouth-to-mask), relieve adult airway obstruction, perform one-rescuer adult CPR, assess the victim and determine whether the AED is warranted, properly attach the pads, ensure safety for self and bystanders, and troubleshoot AED operational problems. Refresher training is required at least annually.</w:t>
      </w:r>
    </w:p>
    <w:p>
      <w:pPr>
        <w:pStyle w:val="Heading1"/>
      </w:pPr>
      <w:bookmarkStart w:id="9011" w:name="_DanToc9011"/>
      <w:r>
        <w:t xml:space="preserve">7. Records and Quality Assurance</w:t>
      </w:r>
      <w:bookmarkEnd w:id="9011"/>
    </w:p>
    <w:p>
      <w:pPr>
        <w:spacing w:after="120" w:line="276"/>
        <w:jc w:val="both"/>
      </w:pPr>
      <w:r>
        <w:rPr>
          <w:rFonts w:ascii="Tahoma" w:cs="Tahoma" w:eastAsia="Tahoma" w:hAnsi="Tahoma"/>
          <w:sz w:val="20"/>
          <w:szCs w:val="20"/>
        </w:rPr>
        <w:t xml:space="preserve">The SH&amp;E Representative maintains AED records on-site for the duration of the project and archives them at project close. Quality assurance requires documentation of all equipment maintenance, repairs, inspections and training. The AED Coordinator shall maintain:</w:t>
      </w:r>
    </w:p>
    <w:p>
      <w:pPr>
        <w:pStyle w:val="ListParagraph"/>
        <w:numPr>
          <w:ilvl w:val="0"/>
          <w:numId w:val="2"/>
        </w:numPr>
        <w:spacing w:after="60" w:line="268"/>
        <w:jc w:val="both"/>
      </w:pPr>
      <w:r>
        <w:rPr>
          <w:rFonts w:ascii="Tahoma" w:cs="Tahoma" w:eastAsia="Tahoma" w:hAnsi="Tahoma"/>
          <w:sz w:val="20"/>
          <w:szCs w:val="20"/>
        </w:rPr>
        <w:t xml:space="preserve">A log of the location and serial number of each AED;</w:t>
      </w:r>
    </w:p>
    <w:p>
      <w:pPr>
        <w:pStyle w:val="ListParagraph"/>
        <w:numPr>
          <w:ilvl w:val="0"/>
          <w:numId w:val="2"/>
        </w:numPr>
        <w:spacing w:after="60" w:line="268"/>
        <w:jc w:val="both"/>
      </w:pPr>
      <w:r>
        <w:rPr>
          <w:rFonts w:ascii="Tahoma" w:cs="Tahoma" w:eastAsia="Tahoma" w:hAnsi="Tahoma"/>
          <w:sz w:val="20"/>
          <w:szCs w:val="20"/>
        </w:rPr>
        <w:t xml:space="preserve">A log of manufacturer-recommended maintenance, the company performing it, and repairs (with dates and companies);</w:t>
      </w:r>
    </w:p>
    <w:p>
      <w:pPr>
        <w:pStyle w:val="ListParagraph"/>
        <w:numPr>
          <w:ilvl w:val="0"/>
          <w:numId w:val="2"/>
        </w:numPr>
        <w:spacing w:after="60" w:line="268"/>
        <w:jc w:val="both"/>
      </w:pPr>
      <w:r>
        <w:rPr>
          <w:rFonts w:ascii="Tahoma" w:cs="Tahoma" w:eastAsia="Tahoma" w:hAnsi="Tahoma"/>
          <w:sz w:val="20"/>
          <w:szCs w:val="20"/>
        </w:rPr>
        <w:t xml:space="preserve">Routine safety-inspection records;</w:t>
      </w:r>
    </w:p>
    <w:p>
      <w:pPr>
        <w:pStyle w:val="ListParagraph"/>
        <w:numPr>
          <w:ilvl w:val="0"/>
          <w:numId w:val="2"/>
        </w:numPr>
        <w:spacing w:after="60" w:line="268"/>
        <w:jc w:val="both"/>
      </w:pPr>
      <w:r>
        <w:rPr>
          <w:rFonts w:ascii="Tahoma" w:cs="Tahoma" w:eastAsia="Tahoma" w:hAnsi="Tahoma"/>
          <w:sz w:val="20"/>
          <w:szCs w:val="20"/>
        </w:rPr>
        <w:t xml:space="preserve">Records of all authorised operators with initial and refresher training dates;</w:t>
      </w:r>
    </w:p>
    <w:p>
      <w:pPr>
        <w:pStyle w:val="ListParagraph"/>
        <w:numPr>
          <w:ilvl w:val="0"/>
          <w:numId w:val="2"/>
        </w:numPr>
        <w:spacing w:after="60" w:line="268"/>
        <w:jc w:val="both"/>
      </w:pPr>
      <w:r>
        <w:rPr>
          <w:rFonts w:ascii="Tahoma" w:cs="Tahoma" w:eastAsia="Tahoma" w:hAnsi="Tahoma"/>
          <w:sz w:val="20"/>
          <w:szCs w:val="20"/>
        </w:rPr>
        <w:t xml:space="preserve">Sponsoring Physician details (name, address, telephone) and verification of their licence/accreditation.</w:t>
      </w:r>
    </w:p>
    <w:p>
      <w:pPr>
        <w:pStyle w:val="Heading1"/>
      </w:pPr>
      <w:bookmarkStart w:id="9012" w:name="_DanToc9012"/>
      <w:r>
        <w:t xml:space="preserve">8. Related Documents</w:t>
      </w:r>
      <w:bookmarkEnd w:id="9012"/>
    </w:p>
    <w:p>
      <w:pPr>
        <w:pStyle w:val="ListParagraph"/>
        <w:numPr>
          <w:ilvl w:val="0"/>
          <w:numId w:val="2"/>
        </w:numPr>
        <w:spacing w:after="60" w:line="268"/>
        <w:jc w:val="both"/>
      </w:pPr>
      <w:r>
        <w:rPr>
          <w:rFonts w:ascii="Tahoma" w:cs="Tahoma" w:eastAsia="Tahoma" w:hAnsi="Tahoma"/>
          <w:sz w:val="20"/>
          <w:szCs w:val="20"/>
        </w:rPr>
        <w:t xml:space="preserve">DCSM — Emergency Planning and Response</w:t>
      </w:r>
    </w:p>
    <w:p>
      <w:pPr>
        <w:pStyle w:val="ListParagraph"/>
        <w:numPr>
          <w:ilvl w:val="0"/>
          <w:numId w:val="2"/>
        </w:numPr>
        <w:spacing w:after="60" w:line="268"/>
        <w:jc w:val="both"/>
      </w:pPr>
      <w:r>
        <w:rPr>
          <w:rFonts w:ascii="Tahoma" w:cs="Tahoma" w:eastAsia="Tahoma" w:hAnsi="Tahoma"/>
          <w:sz w:val="20"/>
          <w:szCs w:val="20"/>
        </w:rPr>
        <w:t xml:space="preserve">DCSM — First Aid</w:t>
      </w:r>
    </w:p>
    <w:p>
      <w:pPr>
        <w:pStyle w:val="ListParagraph"/>
        <w:numPr>
          <w:ilvl w:val="0"/>
          <w:numId w:val="2"/>
        </w:numPr>
        <w:spacing w:after="60" w:line="268"/>
        <w:jc w:val="both"/>
      </w:pPr>
      <w:r>
        <w:rPr>
          <w:rFonts w:ascii="Tahoma" w:cs="Tahoma" w:eastAsia="Tahoma" w:hAnsi="Tahoma"/>
          <w:sz w:val="20"/>
          <w:szCs w:val="20"/>
        </w:rPr>
        <w:t xml:space="preserve">AED Inspection Checklist</w:t>
      </w:r>
    </w:p>
    <w:p>
      <w:pPr>
        <w:pStyle w:val="ListParagraph"/>
        <w:numPr>
          <w:ilvl w:val="0"/>
          <w:numId w:val="2"/>
        </w:numPr>
        <w:spacing w:after="60" w:line="268"/>
        <w:jc w:val="both"/>
      </w:pPr>
      <w:r>
        <w:rPr>
          <w:rFonts w:ascii="Tahoma" w:cs="Tahoma" w:eastAsia="Tahoma" w:hAnsi="Tahoma"/>
          <w:sz w:val="20"/>
          <w:szCs w:val="20"/>
        </w:rPr>
        <w:t xml:space="preserve">AED Program Consent Form</w:t>
      </w:r>
    </w:p>
    <w:p>
      <w:pPr>
        <w:pStyle w:val="Heading1"/>
      </w:pPr>
      <w:bookmarkStart w:id="9013" w:name="_DanToc9013"/>
      <w:r>
        <w:t xml:space="preserve">Figures and Illustrations</w:t>
      </w:r>
      <w:bookmarkEnd w:id="9013"/>
    </w:p>
    <w:p>
      <w:pPr>
        <w:keepNext/>
        <w:spacing w:after="40" w:before="140"/>
        <w:jc w:val="center"/>
      </w:pPr>
      <w:r>
        <w:drawing>
          <wp:inline distT="0" distB="0" distL="0" distR="0">
            <wp:extent cx="3333750" cy="29718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33750" cy="2971800"/>
                    </a:xfrm>
                    <a:prstGeom prst="rect">
                      <a:avLst/>
                    </a:prstGeom>
                  </pic:spPr>
                </pic:pic>
              </a:graphicData>
            </a:graphic>
          </wp:inline>
        </w:drawing>
      </w:r>
    </w:p>
    <w:p>
      <w:pPr>
        <w:keepNext/>
        <w:spacing w:after="40" w:before="140"/>
        <w:jc w:val="center"/>
      </w:pPr>
      <w:r>
        <w:drawing>
          <wp:inline distT="0" distB="0" distL="0" distR="0">
            <wp:extent cx="3686175" cy="28384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86175" cy="2838450"/>
                    </a:xfrm>
                    <a:prstGeom prst="rect">
                      <a:avLst/>
                    </a:prstGeom>
                  </pic:spPr>
                </pic:pic>
              </a:graphicData>
            </a:graphic>
          </wp:inline>
        </w:drawing>
      </w:r>
    </w:p>
    <w:p>
      <w:pPr>
        <w:keepNext/>
        <w:spacing w:after="40" w:before="140"/>
        <w:jc w:val="center"/>
      </w:pPr>
      <w:r>
        <w:drawing>
          <wp:inline distT="0" distB="0" distL="0" distR="0">
            <wp:extent cx="3352800" cy="29718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52800" cy="2971800"/>
                    </a:xfrm>
                    <a:prstGeom prst="rect">
                      <a:avLst/>
                    </a:prstGeom>
                  </pic:spPr>
                </pic:pic>
              </a:graphicData>
            </a:graphic>
          </wp:inline>
        </w:drawing>
      </w:r>
    </w:p>
    <w:p>
      <w:pPr>
        <w:keepNext/>
        <w:spacing w:after="40" w:before="140"/>
        <w:jc w:val="center"/>
      </w:pPr>
      <w:r>
        <w:drawing>
          <wp:inline distT="0" distB="0" distL="0" distR="0">
            <wp:extent cx="1457325" cy="29718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57325" cy="2971800"/>
                    </a:xfrm>
                    <a:prstGeom prst="rect">
                      <a:avLst/>
                    </a:prstGeom>
                  </pic:spPr>
                </pic:pic>
              </a:graphicData>
            </a:graphic>
          </wp:inline>
        </w:drawing>
      </w:r>
    </w:p>
    <w:p>
      <w:pPr>
        <w:keepNext/>
        <w:spacing w:after="40" w:before="140"/>
        <w:jc w:val="center"/>
      </w:pPr>
      <w:r>
        <w:drawing>
          <wp:inline distT="0" distB="0" distL="0" distR="0">
            <wp:extent cx="3457575" cy="27336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57575" cy="2733675"/>
                    </a:xfrm>
                    <a:prstGeom prst="rect">
                      <a:avLst/>
                    </a:prstGeom>
                  </pic:spPr>
                </pic:pic>
              </a:graphicData>
            </a:graphic>
          </wp:inline>
        </w:drawing>
      </w:r>
    </w:p>
    <w:p>
      <w:pPr>
        <w:keepNext/>
        <w:spacing w:after="40" w:before="140"/>
        <w:jc w:val="center"/>
      </w:pPr>
      <w:r>
        <w:drawing>
          <wp:inline distT="0" distB="0" distL="0" distR="0">
            <wp:extent cx="3495675" cy="32099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95675" cy="3209925"/>
                    </a:xfrm>
                    <a:prstGeom prst="rect">
                      <a:avLst/>
                    </a:prstGeom>
                  </pic:spPr>
                </pic:pic>
              </a:graphicData>
            </a:graphic>
          </wp:inline>
        </w:drawing>
      </w:r>
    </w:p>
    <w:p>
      <w:pPr>
        <w:keepNext/>
        <w:spacing w:after="40" w:before="140"/>
        <w:jc w:val="center"/>
      </w:pPr>
      <w:r>
        <w:drawing>
          <wp:inline distT="0" distB="0" distL="0" distR="0">
            <wp:extent cx="3343275" cy="34956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43275" cy="3495675"/>
                    </a:xfrm>
                    <a:prstGeom prst="rect">
                      <a:avLst/>
                    </a:prstGeom>
                  </pic:spPr>
                </pic:pic>
              </a:graphicData>
            </a:graphic>
          </wp:inline>
        </w:drawing>
      </w:r>
    </w:p>
    <w:p>
      <w:pPr>
        <w:keepNext/>
        <w:spacing w:after="40" w:before="140"/>
        <w:jc w:val="center"/>
      </w:pPr>
      <w:r>
        <w:drawing>
          <wp:inline distT="0" distB="0" distL="0" distR="0">
            <wp:extent cx="4095750" cy="4162425"/>
            <wp:effectExtent t="0" r="0" b="0" l="0"/>
            <wp:docPr id="1" name="Figure 15-1 Sample AED Inspection Checklist" descr="Figure 15-1 Sample AED Inspection Checklist" title="Figure 15-1 Sample AED Inspection 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41624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15-1 Sample AED Inspection Checklist</w:t>
      </w:r>
    </w:p>
    <w:p>
      <w:pPr>
        <w:keepNext/>
        <w:spacing w:after="40" w:before="140"/>
        <w:jc w:val="center"/>
      </w:pPr>
      <w:r>
        <w:drawing>
          <wp:inline distT="0" distB="0" distL="0" distR="0">
            <wp:extent cx="4095750" cy="3962400"/>
            <wp:effectExtent t="0" r="0" b="0" l="0"/>
            <wp:docPr id="1" name="Figure 15-2 Sample AED Program Consent Form" descr="Figure 15-2 Sample AED Program Consent Form" title="Figure 15-2 Sample AED Program Consen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396240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15-2 Sample AED Program Consent Form</w:t>
      </w:r>
    </w:p>
    <w:p>
      <w:pPr>
        <w:pStyle w:val="Heading1"/>
      </w:pPr>
      <w:bookmarkStart w:id="9014" w:name="_DanToc9014"/>
      <w:r>
        <w:t xml:space="preserve">Revision History</w:t>
      </w:r>
      <w:bookmarkEnd w:id="901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Automated External Defibrillator</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01-000001-000000-DAN-HSE-PRC-000015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630f3d5cb33df29f0b874d9908386e398a46e4b0.png"/><Relationship Id="rId11" Type="http://schemas.openxmlformats.org/officeDocument/2006/relationships/image" Target="media/57d3d820d2b1c4e18651e3aabd4af0347d9dc82a.png"/><Relationship Id="rId12" Type="http://schemas.openxmlformats.org/officeDocument/2006/relationships/image" Target="media/b37b4249370c685b89111c6a903594b5cf81e8ab.jpg"/><Relationship Id="rId13" Type="http://schemas.openxmlformats.org/officeDocument/2006/relationships/image" Target="media/71aec74df642e4fda5bd010810acce1773e0550d.jpg"/><Relationship Id="rId14" Type="http://schemas.openxmlformats.org/officeDocument/2006/relationships/image" Target="media/c1ac8193efb6a0c6eeb279ee0f2a5faaa7bf69ed.png"/><Relationship Id="rId15" Type="http://schemas.openxmlformats.org/officeDocument/2006/relationships/image" Target="media/01c6db139053a3657560f7948d08bbce394893c7.jpg"/><Relationship Id="rId16" Type="http://schemas.openxmlformats.org/officeDocument/2006/relationships/image" Target="media/5e25d3c5d86945b45dbd3653844eed17ae85e092.jpg"/><Relationship Id="rId17" Type="http://schemas.openxmlformats.org/officeDocument/2006/relationships/image" Target="media/5c71088195e1a5ad0e94276eb18da3bd43cbc074.png"/><Relationship Id="rId18" Type="http://schemas.openxmlformats.org/officeDocument/2006/relationships/image" Target="media/92a0367ce8357b4ee2f39ec6205f8c5979e80ec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External Defibrillator (AED)</dc:title>
  <dc:creator>DAN HSSE Management System</dc:creator>
  <cp:lastModifiedBy>Un-named</cp:lastModifiedBy>
  <cp:revision>1</cp:revision>
  <dcterms:created xsi:type="dcterms:W3CDTF">2026-06-27T22:37:36.438Z</dcterms:created>
  <dcterms:modified xsi:type="dcterms:W3CDTF">2026-06-27T22:37:36.438Z</dcterms:modified>
</cp:coreProperties>
</file>

<file path=docProps/custom.xml><?xml version="1.0" encoding="utf-8"?>
<Properties xmlns="http://schemas.openxmlformats.org/officeDocument/2006/custom-properties" xmlns:vt="http://schemas.openxmlformats.org/officeDocument/2006/docPropsVTypes"/>
</file>