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Activity Hazard Analysis (AHA)</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01-DAN-PRC-HSE-000007-AHA</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Activity Hazard Analyses (AHAs) shall be used throughout the project (including start-up and construction phases) to identify high-risk activities that may require additional policies, procedures and control measures.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high-risk activities on DAN construction projects. The CONTRACTOR shall identify all high-risk activities and prepare an AHA for each.</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ISO 45001 — Occupational Health and Safety Management Systems</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AHA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Hazard Analysis.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ALARA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As Low As Reasonably Achievable.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RAC</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Assessment Code — derived from probability and severity.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Definable Feature of Work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discrete element of the works that can be broken into phases, sub-phases and tasks.</w:t>
            </w:r>
          </w:p>
        </w:tc>
      </w:tr>
    </w:tbl>
    <w:p>
      <w:pPr>
        <w:pStyle w:val="Heading1"/>
      </w:pPr>
      <w:r>
        <w:t xml:space="preserve">5. Deliverable</w:t>
      </w:r>
    </w:p>
    <w:p>
      <w:pPr>
        <w:pStyle w:val="ListParagraph"/>
        <w:numPr>
          <w:ilvl w:val="0"/>
          <w:numId w:val="2"/>
        </w:numPr>
        <w:spacing w:after="60" w:line="268"/>
        <w:jc w:val="both"/>
      </w:pPr>
      <w:r>
        <w:rPr>
          <w:rFonts w:ascii="Tahoma" w:cs="Tahoma" w:eastAsia="Tahoma" w:hAnsi="Tahoma"/>
          <w:sz w:val="20"/>
          <w:szCs w:val="20"/>
        </w:rPr>
        <w:t xml:space="preserve">Activity Hazard Analyses (AHAs).</w:t>
      </w:r>
    </w:p>
    <w:p>
      <w:pPr>
        <w:pStyle w:val="Heading1"/>
      </w:pPr>
      <w:r>
        <w:t xml:space="preserve">6. Procedure</w:t>
      </w:r>
    </w:p>
    <w:p>
      <w:pPr>
        <w:spacing w:after="120" w:line="276"/>
        <w:jc w:val="both"/>
      </w:pPr>
      <w:r>
        <w:rPr>
          <w:rFonts w:ascii="Tahoma" w:cs="Tahoma" w:eastAsia="Tahoma" w:hAnsi="Tahoma"/>
          <w:sz w:val="20"/>
          <w:szCs w:val="20"/>
        </w:rPr>
        <w:t xml:space="preserve">The six basic steps for completing an AHA are:</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Identify definable features of work on the project.</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Identify recognised or anticipated hazards for each phase/sub-phase of the definable features of work.</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Identify site-specific controls to eliminate or reduce risk to the ALARA level.</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Identify and name the competent or qualified personnel required for the activity or task.</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Using probability and severity, calculate the Risk Assessment Code (RAC).</w:t>
      </w:r>
    </w:p>
    <w:p>
      <w:pPr>
        <w:spacing w:after="60" w:line="268"/>
        <w:ind w:left="540" w:hanging="270"/>
      </w:pPr>
      <w:r>
        <w:rPr>
          <w:rFonts w:ascii="Tahoma" w:cs="Tahoma" w:eastAsia="Tahoma" w:hAnsi="Tahoma"/>
          <w:b/>
          <w:bCs/>
          <w:color w:val="542A12"/>
          <w:sz w:val="20"/>
          <w:szCs w:val="20"/>
        </w:rPr>
        <w:t xml:space="preserve">6.  </w:t>
      </w:r>
      <w:r>
        <w:rPr>
          <w:rFonts w:ascii="Tahoma" w:cs="Tahoma" w:eastAsia="Tahoma" w:hAnsi="Tahoma"/>
          <w:sz w:val="20"/>
          <w:szCs w:val="20"/>
        </w:rPr>
        <w:t xml:space="preserve">List training, equipment and inspections.</w:t>
      </w:r>
    </w:p>
    <w:p>
      <w:pPr>
        <w:pStyle w:val="Heading2"/>
      </w:pPr>
      <w:r>
        <w:t xml:space="preserve">6.1 Identify Definable Features of Work</w:t>
      </w:r>
    </w:p>
    <w:p>
      <w:pPr>
        <w:spacing w:after="120" w:line="276"/>
        <w:jc w:val="both"/>
      </w:pPr>
      <w:r>
        <w:rPr>
          <w:rFonts w:ascii="Tahoma" w:cs="Tahoma" w:eastAsia="Tahoma" w:hAnsi="Tahoma"/>
          <w:sz w:val="20"/>
          <w:szCs w:val="20"/>
        </w:rPr>
        <w:t xml:space="preserve">Review the scheduled works to highlight definable features of work. Within each, there may be phases and sub-phases that break down into specific tasks — for example:</w:t>
      </w:r>
    </w:p>
    <w:p>
      <w:pPr>
        <w:pStyle w:val="ListParagraph"/>
        <w:numPr>
          <w:ilvl w:val="0"/>
          <w:numId w:val="2"/>
        </w:numPr>
        <w:spacing w:after="60" w:line="268"/>
        <w:jc w:val="both"/>
      </w:pPr>
      <w:r>
        <w:rPr>
          <w:rFonts w:ascii="Tahoma" w:cs="Tahoma" w:eastAsia="Tahoma" w:hAnsi="Tahoma"/>
          <w:sz w:val="20"/>
          <w:szCs w:val="20"/>
        </w:rPr>
        <w:t xml:space="preserve">Definable Feature of Work — e.g. office set-up</w:t>
      </w:r>
    </w:p>
    <w:p>
      <w:pPr>
        <w:pStyle w:val="ListParagraph"/>
        <w:numPr>
          <w:ilvl w:val="0"/>
          <w:numId w:val="2"/>
        </w:numPr>
        <w:spacing w:after="60" w:line="268"/>
        <w:jc w:val="both"/>
      </w:pPr>
      <w:r>
        <w:rPr>
          <w:rFonts w:ascii="Tahoma" w:cs="Tahoma" w:eastAsia="Tahoma" w:hAnsi="Tahoma"/>
          <w:sz w:val="20"/>
          <w:szCs w:val="20"/>
        </w:rPr>
        <w:t xml:space="preserve">Phase — e.g. loading/unloading desk furniture</w:t>
      </w:r>
    </w:p>
    <w:p>
      <w:pPr>
        <w:pStyle w:val="ListParagraph"/>
        <w:numPr>
          <w:ilvl w:val="0"/>
          <w:numId w:val="2"/>
        </w:numPr>
        <w:spacing w:after="60" w:line="268"/>
        <w:jc w:val="both"/>
      </w:pPr>
      <w:r>
        <w:rPr>
          <w:rFonts w:ascii="Tahoma" w:cs="Tahoma" w:eastAsia="Tahoma" w:hAnsi="Tahoma"/>
          <w:sz w:val="20"/>
          <w:szCs w:val="20"/>
        </w:rPr>
        <w:t xml:space="preserve">Sub-phase — e.g. allocating desk furniture to its designated space</w:t>
      </w:r>
    </w:p>
    <w:p>
      <w:pPr>
        <w:pStyle w:val="ListParagraph"/>
        <w:numPr>
          <w:ilvl w:val="0"/>
          <w:numId w:val="2"/>
        </w:numPr>
        <w:spacing w:after="60" w:line="268"/>
        <w:jc w:val="both"/>
      </w:pPr>
      <w:r>
        <w:rPr>
          <w:rFonts w:ascii="Tahoma" w:cs="Tahoma" w:eastAsia="Tahoma" w:hAnsi="Tahoma"/>
          <w:sz w:val="20"/>
          <w:szCs w:val="20"/>
        </w:rPr>
        <w:t xml:space="preserve">Task — e.g. assembling parts together</w:t>
      </w:r>
    </w:p>
    <w:p>
      <w:pPr>
        <w:pStyle w:val="Heading2"/>
      </w:pPr>
      <w:r>
        <w:t xml:space="preserve">6.2 Identify the Hazards</w:t>
      </w:r>
    </w:p>
    <w:p>
      <w:pPr>
        <w:spacing w:after="120" w:line="276"/>
        <w:jc w:val="both"/>
      </w:pPr>
      <w:r>
        <w:rPr>
          <w:rFonts w:ascii="Tahoma" w:cs="Tahoma" w:eastAsia="Tahoma" w:hAnsi="Tahoma"/>
          <w:sz w:val="20"/>
          <w:szCs w:val="20"/>
        </w:rPr>
        <w:t xml:space="preserve">Hazards may be identified by reviewing records of injuries and illnesses, previous task experience, corporate incident history, interaction with people involved in the task, and lessons-learned and near-miss records.</w:t>
      </w:r>
    </w:p>
    <w:p>
      <w:pPr>
        <w:pStyle w:val="Heading2"/>
      </w:pPr>
      <w:r>
        <w:t xml:space="preserve">6.3 Identify Controls</w:t>
      </w:r>
    </w:p>
    <w:p>
      <w:pPr>
        <w:spacing w:after="120" w:line="276"/>
        <w:jc w:val="both"/>
      </w:pPr>
      <w:r>
        <w:rPr>
          <w:rFonts w:ascii="Tahoma" w:cs="Tahoma" w:eastAsia="Tahoma" w:hAnsi="Tahoma"/>
          <w:sz w:val="20"/>
          <w:szCs w:val="20"/>
        </w:rPr>
        <w:t xml:space="preserve">Controls are mitigation measures used to reduce exposure to specific hazards. Most controls are legal requirements (e.g. those mandated by KSA authorities); others are project-specific. Apply the hierarchy of control — the highest level commensurate with the risk level. For each case, identify how the individual might be harmed (the type of injury or ill health) and the control.</w:t>
      </w:r>
    </w:p>
    <w:p>
      <w:pPr>
        <w:keepNext/>
        <w:spacing w:after="80" w:before="160"/>
      </w:pPr>
      <w:r>
        <w:rPr>
          <w:rFonts w:ascii="Tahoma" w:cs="Tahoma" w:eastAsia="Tahoma" w:hAnsi="Tahoma"/>
          <w:b/>
          <w:bCs/>
          <w:color w:val="B5692B"/>
          <w:sz w:val="20"/>
          <w:szCs w:val="20"/>
        </w:rPr>
        <w:t xml:space="preserve">6.3.1 Identify Personnel</w:t>
      </w:r>
    </w:p>
    <w:p>
      <w:pPr>
        <w:spacing w:after="120" w:line="276"/>
        <w:jc w:val="both"/>
      </w:pPr>
      <w:r>
        <w:rPr>
          <w:rFonts w:ascii="Tahoma" w:cs="Tahoma" w:eastAsia="Tahoma" w:hAnsi="Tahoma"/>
          <w:sz w:val="20"/>
          <w:szCs w:val="20"/>
        </w:rPr>
        <w:t xml:space="preserve">Name the competent or qualified personnel required for the sub-phase or task and attach their competency/qualification documents to the AHA. Examples include scaffold inspector, rigger or banksman, crane operator and concrete-pump operator.</w:t>
      </w:r>
    </w:p>
    <w:p>
      <w:pPr>
        <w:pStyle w:val="Heading2"/>
      </w:pPr>
      <w:r>
        <w:t xml:space="preserve">6.4 Calculate the Risk Assessment Code (RAC)</w:t>
      </w:r>
    </w:p>
    <w:p>
      <w:pPr>
        <w:spacing w:after="120" w:line="276"/>
        <w:jc w:val="both"/>
      </w:pPr>
      <w:r>
        <w:rPr>
          <w:rFonts w:ascii="Tahoma" w:cs="Tahoma" w:eastAsia="Tahoma" w:hAnsi="Tahoma"/>
          <w:sz w:val="20"/>
          <w:szCs w:val="20"/>
        </w:rPr>
        <w:t xml:space="preserve">The RAC uses two variables — Severity (a measure of the harshness or level of implications) and Probability (the relative frequency with which an event occurs or is likely to occur) — per the RAC Matrix in the SH&amp;E Risk Management procedure. The RAC can only be calculated when the first three columns have been completed correctly by a competent person; missing information produces a false RAC that may result in unsafe acts or conditions. Most RACs will be Moderate (M) or Low (L) after controls are identified, but some may remain High (H) or Critical (C); these require additional review and control measures, including third-party reviewers as required, to reduce the RAC.</w:t>
      </w:r>
    </w:p>
    <w:p>
      <w:pPr>
        <w:pStyle w:val="Heading1"/>
      </w:pPr>
      <w:r>
        <w:t xml:space="preserve">7. Records</w:t>
      </w:r>
    </w:p>
    <w:p>
      <w:pPr>
        <w:spacing w:after="120" w:line="276"/>
        <w:jc w:val="both"/>
      </w:pPr>
      <w:r>
        <w:rPr>
          <w:rFonts w:ascii="Tahoma" w:cs="Tahoma" w:eastAsia="Tahoma" w:hAnsi="Tahoma"/>
          <w:sz w:val="20"/>
          <w:szCs w:val="20"/>
        </w:rPr>
        <w:t xml:space="preserve">The SH&amp;E Representative maintains the AHA records on-site for the duration of the project and archives them at project close. Completed AHAs shall be recorded in the SH&amp;E Risk Register.</w:t>
      </w:r>
    </w:p>
    <w:p>
      <w:pPr>
        <w:pStyle w:val="Heading1"/>
      </w:pPr>
      <w:r>
        <w:t xml:space="preserve">8. Related Documents</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SH&amp;E Risk Register</w:t>
      </w:r>
    </w:p>
    <w:p>
      <w:pPr>
        <w:pStyle w:val="ListParagraph"/>
        <w:numPr>
          <w:ilvl w:val="0"/>
          <w:numId w:val="2"/>
        </w:numPr>
        <w:spacing w:after="60" w:line="268"/>
        <w:jc w:val="both"/>
      </w:pPr>
      <w:r>
        <w:rPr>
          <w:rFonts w:ascii="Tahoma" w:cs="Tahoma" w:eastAsia="Tahoma" w:hAnsi="Tahoma"/>
          <w:sz w:val="20"/>
          <w:szCs w:val="20"/>
        </w:rPr>
        <w:t xml:space="preserve">Permit to Work Procedure</w:t>
      </w:r>
    </w:p>
    <w:p>
      <w:pPr>
        <w:pStyle w:val="Heading1"/>
      </w:pPr>
      <w:r>
        <w:t xml:space="preserve">Figures and Illustrations</w:t>
      </w:r>
    </w:p>
    <w:p>
      <w:pPr>
        <w:keepNext/>
        <w:spacing w:after="40" w:before="140"/>
        <w:jc w:val="center"/>
      </w:pPr>
      <w:r>
        <w:drawing>
          <wp:inline distT="0" distB="0" distL="0" distR="0">
            <wp:extent cx="4095750" cy="2695575"/>
            <wp:effectExtent t="0" r="0" b="0" l="0"/>
            <wp:docPr id="1" name="Hierarchy of Controls (NIOSH)" descr="Hierarchy of Controls (NIOSH)" title="Hierarchy of Controls (NIO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955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Hierarchy of Controls (NIOSH)</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Activity Hazard Analysis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01-DAN-PRC-HSE-000007-AHA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90106a6e27d30ecac459ec7f5bfe716bcf0f14bd.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Hazard Analysis (AHA)</dc:title>
  <dc:creator>DAN HSSE Management System</dc:creator>
  <cp:lastModifiedBy>Un-named</cp:lastModifiedBy>
  <cp:revision>1</cp:revision>
  <dcterms:created xsi:type="dcterms:W3CDTF">2026-06-27T22:39:53.748Z</dcterms:created>
  <dcterms:modified xsi:type="dcterms:W3CDTF">2026-06-27T22:39:53.748Z</dcterms:modified>
</cp:coreProperties>
</file>

<file path=docProps/custom.xml><?xml version="1.0" encoding="utf-8"?>
<Properties xmlns="http://schemas.openxmlformats.org/officeDocument/2006/custom-properties" xmlns:vt="http://schemas.openxmlformats.org/officeDocument/2006/docPropsVTypes"/>
</file>