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Fire Protection and Prevention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01-DAN-PRC-HSE-000020-FIRPRT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requirements for fire protection and prevention on DAN projects and operating sites, including extinguishers, firefighting equipment and fire-warning systems. Fire-alarm, response, evacuation and exit-route requirements are integrated into the Emergency Planning and Response chapter.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project and operating sites, covering both fire protection (equipment and systems) and fire prevention (layout, storage, ignition control and housekeeping).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NFPA 10 (portable extinguishers); NFPA 14 (standpipe and hose); NFPA 30 (flammable liquids); NFPA 58 (LPG); NFPA 70 (NEC)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1910.155–.165; 29 CFR 1926.150–.159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Materials Handling / Storage and COSHH</w:t>
      </w:r>
    </w:p>
    <w:p>
      <w:pPr>
        <w:pStyle w:val="Heading1"/>
      </w:pPr>
      <w:r>
        <w:t xml:space="preserve">4.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 Plan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 Equipment</w:t>
      </w:r>
    </w:p>
    <w:p>
      <w:pPr>
        <w:pStyle w:val="Heading1"/>
      </w:pPr>
      <w:r>
        <w:t xml:space="preserve">5. Fire Protection</w:t>
      </w:r>
    </w:p>
    <w:p>
      <w:pPr>
        <w:pStyle w:val="Heading2"/>
      </w:pPr>
      <w:r>
        <w:t xml:space="preserve">5.1 Portable Fire Extinguishers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Extinguishers are distributed per NFPA 10, available in convenient, accessible locations, and selected to match the class of fire hazard: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rPr>
          <w:tblHeader/>
        </w:trP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Suitable Extinguishing Agents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A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Ordinary combustibles (paper, wood, cloth, rubber, plastics)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Water, foam, loaded stream, or multipurpose dry chemical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B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Flammable/combustible liquids, gases and greases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CO₂, dry chemical, foam, loaded stream (or Halon 1301/1211)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C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Energised electrical equipment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CO₂ or dry chemical (electrically non-conductive media)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D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Combustible metals (magnesium, titanium, sodium, lithium)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Universal dry-powder agents (e.g. Lith-X, dry graphite, dry sand)</w:t>
            </w:r>
          </w:p>
        </w:tc>
      </w:tr>
    </w:tbl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Water, gas or certain dry chemicals cannot extinguish or control Class D fires.</w:t>
      </w:r>
    </w:p>
    <w:p>
      <w:pPr>
        <w:pStyle w:val="Heading2"/>
      </w:pPr>
      <w:r>
        <w:t xml:space="preserve">5.2 Standpipe and Hose Systems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Acceptable standpipe systems may substitute for portable extinguishers where they provide the same coverage. Hoses are spaced to reach around obstructions and into enclosed areas; standpipes are protected from damage and stored in obstruction-free cabinets/covers, within reach without ladders, and designed and installed per NFPA 14. Unserviceable hose (dry-rotted, cross-threaded couplings, punctured) is removed from service.</w:t>
      </w:r>
    </w:p>
    <w:p>
      <w:pPr>
        <w:pStyle w:val="Heading2"/>
      </w:pPr>
      <w:r>
        <w:t xml:space="preserve">5.3 Fixed Extinguishing Systems and Inspection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Supervisors warn personnel of the hazards of fixed extinguishing systems (visual disorientation from dry-chemical clouds, hazardous combustion by-products from gaseous agents, hazardous post-discharge concentrations, liquid splatter).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Carbon tetrachloride and chlorobromomethane are prohibited where personnel could be exposed (chlorobromomethane is acceptable only as an explosion-suppression agent in unoccupied spaces).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inspects portable extinguishers (and respirators) at least monthly; when an extinguisher is removed from service, equivalent protection is provided (replacement units, a posted fire watch, restricted access or a ready hose system).</w:t>
      </w:r>
    </w:p>
    <w:p>
      <w:pPr>
        <w:pStyle w:val="Heading1"/>
      </w:pPr>
      <w:r>
        <w:t xml:space="preserve">6. Fire Prevention</w:t>
      </w:r>
    </w:p>
    <w:p>
      <w:pPr>
        <w:pStyle w:val="Heading2"/>
      </w:pPr>
      <w:r>
        <w:t xml:space="preserve">6.1 Site Layout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Isolate or specially protect high-fire-risk operations (welding, open flame) from flammable/explosive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Provide fire-department/emergency access roads not less than 6 m (20 ft) wide with 5.5 m (18 ft) overhead clearance, kept unobstructed, with more than one access road where a single road could be impaired.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Restrict flammable/combustible storage to the minimum necessary, meeting NFPA 30; provide NFPA 10 extinguishers of suitable type and number, clearly marked on the site layout.</w:t>
      </w:r>
    </w:p>
    <w:p>
      <w:pPr>
        <w:pStyle w:val="Heading2"/>
      </w:pPr>
      <w:r>
        <w:t xml:space="preserve">6.2 Storage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Outdoor storage: stack combustibles stably, no higher than 6 m (20 ft) and no stack larger than 141 m³; keep access roads at least 4.5 m (15 ft) wide; store flammables in a designated area away from ignition sources and separate from incompatible materials (e.g. oxidisers).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Indoor storage: store per fire characteristics; segregate incompatible materials by a 1-hour-rated barrier; maintain ceiling clearance (0.6 m without sprinklers, 0.5 m below sprinkler heads) and clearance around lights, heating units and fire-rated doors; never obstruct exits or exit-sign visibility.</w:t>
      </w:r>
    </w:p>
    <w:p>
      <w:pPr>
        <w:pStyle w:val="Heading2"/>
      </w:pPr>
      <w:r>
        <w:t xml:space="preserve">6.3 Control of Ignition Sources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Install temporary wiring per NFPA 70 with GFCIs, and regularly check electrical equipment for defects; post and enforce “No Smoking” signs (smoking only in designated areas).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Segregate welding equipment, asphalt kettles and other open flames from flammables; control indirect ignition (e.g. falling welding slag); open burning is prohibited without KSA Civil Defence authorisation.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Use bonding and grounding where static could ignite; remove ignition sources immediately on a hydrocarbon leak; provide flameproof welding screens; all cutting/welding/burning requires a qualified fire watcher present during and for at least ½ hour after the work.</w:t>
      </w:r>
    </w:p>
    <w:p>
      <w:pPr>
        <w:pStyle w:val="Heading2"/>
      </w:pPr>
      <w:r>
        <w:t xml:space="preserve">6.4 Flammable and Combustible Liquids and Gases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Store flammable liquids in securely capped metal containers or steel drums, clearly marked; keep volatile liquids (flash point below 32 °C) in metal lockers in ventilated, non-combustible huts.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Secure flammable storage areas at least 15 m (50 ft) from the nearest building, posting hazard signs and pictograms; observe outdoor stack limits (≤ 227 L/container, ≤ 4,160 L/area, 1.5 m separation, ≥ 6 m from structures) with a 3.6 m access way within 60 m.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Transport flammable/combustible liquids only in closed, labelled, FM-approved or UL-listed metal containers (plastic prohibited); place portable gasoline containers on the ground during filling, never in passenger compartments, and never use gasoline as a cleaning agent.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During transfer operations, separate from ignition sources by 25 ft or a 1-hour barrier, keep open flames 50 ft away, ground and bond containers, stop engines before refuelling, and prohibit mobile-phone use; store and use LPG per NFPA 58.</w:t>
      </w:r>
    </w:p>
    <w:p>
      <w:pPr>
        <w:pStyle w:val="Heading2"/>
      </w:pPr>
      <w:r>
        <w:t xml:space="preserve">6.5 Housekeeping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Remove waste from the worksite at regular intervals and at the end of each day; do not store combustibles under buildings or stairways.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Provide metal bins with close-fitting lids for oily rags and combustible waste (oily rags kept separate); use non-combustible absorbents for oil spills and leaks.</w:t>
      </w:r>
    </w:p>
    <w:p>
      <w:pPr>
        <w:pStyle w:val="Heading1"/>
      </w:pPr>
      <w:r>
        <w:t xml:space="preserve">7. Training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In-house authorised personnel are trained in fire awareness and response; the SH&amp;E Representative arranges initial training, and supervisors communicate safe behaviour and controls at daily toolbox talks.</w:t>
      </w:r>
    </w:p>
    <w:p>
      <w:pPr>
        <w:pStyle w:val="Heading1"/>
      </w:pPr>
      <w:r>
        <w:t xml:space="preserve">8.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Fire Protection Plan, inspection records and training records are documented and maintained on-site for the duration of the project and archived at project close.</w:t>
      </w:r>
    </w:p>
    <w:p>
      <w:pPr>
        <w:pStyle w:val="Heading1"/>
      </w:pPr>
      <w:r>
        <w:t xml:space="preserve">9.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Materials Handling / Storage and COSHH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Permit to Work (Hot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Prevention Inspection Checklist</w:t>
      </w:r>
    </w:p>
    <w:p>
      <w:pPr>
        <w:pStyle w:val="Heading1"/>
      </w:pPr>
      <w:r>
        <w:t xml:space="preserve">Figures and Illustrations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3819525" cy="4476750"/>
            <wp:effectExtent t="0" r="0" b="0" l="0"/>
            <wp:docPr id="1" name="Approved Flammable-Liquids Storage Cabinet" descr="Approved Flammable-Liquids Storage Cabinet" title="Approved Flammable-Liquids Storage Cabi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Approved Flammable-Liquids Storage Cabinet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Fire Protection and Prevention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01-DAN-PRC-HSE-000020-FIRPRT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image" Target="media/d59d6e3f1a6e2eccb4fd8083c82fa744df40f2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Protection and Prevention</dc:title>
  <dc:creator>DAN HSSE Management System</dc:creator>
  <cp:lastModifiedBy>Un-named</cp:lastModifiedBy>
  <cp:revision>1</cp:revision>
  <dcterms:created xsi:type="dcterms:W3CDTF">2026-06-27T22:39:54.238Z</dcterms:created>
  <dcterms:modified xsi:type="dcterms:W3CDTF">2026-06-27T22:39:54.238Z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