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Monthly SH&amp;E Performance Statistical Report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01-DAN-PRC-HSE-000011-MPSR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Monthly SH&amp;E Performance Statistical Report is used on a regular basis to monitor the SH&amp;E performance of CONTRACTORS affiliated with DAN projects.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CONTRACTORS engaged on DAN projects, who shall collect and report the required SH&amp;E performance statistical data to DAN each month.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Accident / Incident Reporting and Investigation</w:t>
      </w:r>
    </w:p>
    <w:p>
      <w:pPr>
        <w:pStyle w:val="Heading1"/>
      </w:pPr>
      <w:r>
        <w:t xml:space="preserve">4. Deliverable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Monthly SH&amp;E Performance Statistical Report — delivered to DAN by the fourth (4th) business day of the following month.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DAN provides the reporting format.</w:t>
      </w:r>
    </w:p>
    <w:p>
      <w:pPr>
        <w:pStyle w:val="Heading1"/>
      </w:pPr>
      <w:r>
        <w:t xml:space="preserve">5. Procedure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collect and report the required SH&amp;E performance statistical data to DAN each month.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columns shall be completed with the corresponding data, including but not limited to man-hours and monthly near-miss totals.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report shall be issued to DAN according to the agreed schedule.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DAN SH&amp;E provides training to the CONTRACTOR and demonstrates how to use the Monthly SH&amp;E Statistical Reporting system.</w:t>
      </w:r>
    </w:p>
    <w:p>
      <w:pPr>
        <w:pStyle w:val="Heading1"/>
      </w:pPr>
      <w:r>
        <w:t xml:space="preserve">6.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SH&amp;E Representative shall retain all records, including the Monthly SH&amp;E Performance Statistical Reports, on-site for the duration of the project and archive them at project close.</w:t>
      </w:r>
    </w:p>
    <w:p>
      <w:pPr>
        <w:pStyle w:val="Heading1"/>
      </w:pPr>
      <w:r>
        <w:t xml:space="preserve">7.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Accident / Incident Reporting and Investigation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Monthly SH&amp;E Performance Statistical Report Template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Monthly SH&amp;E Performance Report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01-DAN-PRC-HSE-000011-MPSR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SH&amp;E Performance Statistical Report</dc:title>
  <dc:creator>DAN HSSE Management System</dc:creator>
  <cp:lastModifiedBy>Un-named</cp:lastModifiedBy>
  <cp:revision>1</cp:revision>
  <dcterms:created xsi:type="dcterms:W3CDTF">2026-06-27T21:19:26.163Z</dcterms:created>
  <dcterms:modified xsi:type="dcterms:W3CDTF">2026-06-27T21:19:26.163Z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