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HSE Minimum Requirements</w:t>
      </w:r>
    </w:p>
    <w:p>
      <w:pPr>
        <w:spacing w:after="0" w:before="720"/>
      </w:pPr>
      <w:r>
        <w:rPr>
          <w:rFonts w:ascii="Tahoma" w:cs="Tahoma" w:eastAsia="Tahoma" w:hAnsi="Tahoma"/>
          <w:b/>
          <w:bCs/>
          <w:color w:val="542A12"/>
          <w:sz w:val="44"/>
          <w:szCs w:val="44"/>
        </w:rPr>
        <w:t xml:space="preserve">Permit to Work</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01-000001-000000-DAN-HSE-MNR-000021</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Purpose</w:t>
            </w:r>
          </w:hyperlink>
        </w:p>
        <w:p>
          <w:pPr>
            <w:spacing w:after="40" w:line="259"/>
            <w:ind w:left="0"/>
          </w:pPr>
          <w:hyperlink w:anchor="_DanToc9001" w:history="1">
            <w:r>
              <w:rPr>
                <w:rFonts w:ascii="Tahoma" w:hAnsi="Tahoma" w:cs="Tahoma"/>
                <w:b/>
                <w:color w:val="542A12"/>
                <w:sz w:val="20"/>
              </w:rPr>
              <w:t xml:space="preserve">Scope</w:t>
            </w:r>
          </w:hyperlink>
        </w:p>
        <w:p>
          <w:pPr>
            <w:spacing w:after="40" w:line="259"/>
            <w:ind w:left="0"/>
          </w:pPr>
          <w:hyperlink w:anchor="_DanToc9002" w:history="1">
            <w:r>
              <w:rPr>
                <w:rFonts w:ascii="Tahoma" w:hAnsi="Tahoma" w:cs="Tahoma"/>
                <w:b/>
                <w:color w:val="542A12"/>
                <w:sz w:val="20"/>
              </w:rPr>
              <w:t xml:space="preserve">Definitions</w:t>
            </w:r>
          </w:hyperlink>
        </w:p>
        <w:p>
          <w:pPr>
            <w:spacing w:after="40" w:line="259"/>
            <w:ind w:left="0"/>
          </w:pPr>
          <w:hyperlink w:anchor="_DanToc9003" w:history="1">
            <w:r>
              <w:rPr>
                <w:rFonts w:ascii="Tahoma" w:hAnsi="Tahoma" w:cs="Tahoma"/>
                <w:b/>
                <w:color w:val="542A12"/>
                <w:sz w:val="20"/>
              </w:rPr>
              <w:t xml:space="preserve">1.0 General Requirements</w:t>
            </w:r>
          </w:hyperlink>
        </w:p>
        <w:p>
          <w:pPr>
            <w:spacing w:after="40" w:line="259"/>
            <w:ind w:left="0"/>
          </w:pPr>
          <w:hyperlink w:anchor="_DanToc9004" w:history="1">
            <w:r>
              <w:rPr>
                <w:rFonts w:ascii="Tahoma" w:hAnsi="Tahoma" w:cs="Tahoma"/>
                <w:b/>
                <w:color w:val="542A12"/>
                <w:sz w:val="20"/>
              </w:rPr>
              <w:t xml:space="preserve">2.0 Permit Types</w:t>
            </w:r>
          </w:hyperlink>
        </w:p>
        <w:p>
          <w:pPr>
            <w:spacing w:after="40" w:line="259"/>
            <w:ind w:left="0"/>
          </w:pPr>
          <w:hyperlink w:anchor="_DanToc9005" w:history="1">
            <w:r>
              <w:rPr>
                <w:rFonts w:ascii="Tahoma" w:hAnsi="Tahoma" w:cs="Tahoma"/>
                <w:b/>
                <w:color w:val="542A12"/>
                <w:sz w:val="20"/>
              </w:rPr>
              <w:t xml:space="preserve">3.0 Issued Permits</w:t>
            </w:r>
          </w:hyperlink>
        </w:p>
        <w:p>
          <w:pPr>
            <w:spacing w:after="40" w:line="259"/>
            <w:ind w:left="0"/>
          </w:pPr>
          <w:hyperlink w:anchor="_DanToc9006" w:history="1">
            <w:r>
              <w:rPr>
                <w:rFonts w:ascii="Tahoma" w:hAnsi="Tahoma" w:cs="Tahoma"/>
                <w:b/>
                <w:color w:val="542A12"/>
                <w:sz w:val="20"/>
              </w:rPr>
              <w:t xml:space="preserve">4.0 Cancelling Permits</w:t>
            </w:r>
          </w:hyperlink>
        </w:p>
        <w:p>
          <w:pPr>
            <w:spacing w:after="40" w:line="259"/>
            <w:ind w:left="0"/>
          </w:pPr>
          <w:hyperlink w:anchor="_DanToc9007" w:history="1">
            <w:r>
              <w:rPr>
                <w:rFonts w:ascii="Tahoma" w:hAnsi="Tahoma" w:cs="Tahoma"/>
                <w:b/>
                <w:color w:val="542A12"/>
                <w:sz w:val="20"/>
              </w:rPr>
              <w:t xml:space="preserve">5.0 Closing Out and Filing the Permit</w:t>
            </w:r>
          </w:hyperlink>
        </w:p>
        <w:p>
          <w:pPr>
            <w:spacing w:after="40" w:line="259"/>
            <w:ind w:left="0"/>
          </w:pPr>
          <w:hyperlink w:anchor="_DanToc9008" w:history="1">
            <w:r>
              <w:rPr>
                <w:rFonts w:ascii="Tahoma" w:hAnsi="Tahoma" w:cs="Tahoma"/>
                <w:b/>
                <w:color w:val="542A12"/>
                <w:sz w:val="20"/>
              </w:rPr>
              <w:t xml:space="preserve">6.0 Permit Rules</w:t>
            </w:r>
          </w:hyperlink>
        </w:p>
        <w:p>
          <w:pPr>
            <w:spacing w:after="40" w:line="259"/>
            <w:ind w:left="0"/>
          </w:pPr>
          <w:hyperlink w:anchor="_DanToc9009" w:history="1">
            <w:r>
              <w:rPr>
                <w:rFonts w:ascii="Tahoma" w:hAnsi="Tahoma" w:cs="Tahoma"/>
                <w:b/>
                <w:color w:val="542A12"/>
                <w:sz w:val="20"/>
              </w:rPr>
              <w:t xml:space="preserve">Standards</w:t>
            </w:r>
          </w:hyperlink>
        </w:p>
        <w:p>
          <w:pPr>
            <w:spacing w:after="40" w:line="259"/>
            <w:ind w:left="0"/>
          </w:pPr>
          <w:hyperlink w:anchor="_DanToc9010" w:history="1">
            <w:r>
              <w:rPr>
                <w:rFonts w:ascii="Tahoma" w:hAnsi="Tahoma" w:cs="Tahoma"/>
                <w:b/>
                <w:color w:val="542A12"/>
                <w:sz w:val="20"/>
              </w:rPr>
              <w:t xml:space="preserve">Tools and References</w:t>
            </w:r>
          </w:hyperlink>
        </w:p>
        <w:p>
          <w:pPr>
            <w:spacing w:after="40" w:line="259"/>
            <w:ind w:left="0"/>
          </w:pPr>
          <w:hyperlink w:anchor="_DanToc9011"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Purpose</w:t>
      </w:r>
      <w:bookmarkEnd w:id="9000"/>
    </w:p>
    <w:p>
      <w:pPr>
        <w:spacing w:after="120" w:line="276"/>
        <w:jc w:val="both"/>
      </w:pPr>
      <w:r>
        <w:rPr>
          <w:rFonts w:ascii="Tahoma" w:cs="Tahoma" w:eastAsia="Tahoma" w:hAnsi="Tahoma"/>
          <w:sz w:val="20"/>
          <w:szCs w:val="20"/>
        </w:rPr>
        <w:t xml:space="preserve">The purpose of the Permit to Work HSE Requirement is to outline the formal administrative process to ensure the control of high-risk activities by implementing a systematic process used to authorize controlled work in nonstandard, potentially hazardous conditions. The process includes risk assessment, the establishment of safety protocol specified in the Permit to work, communication, and oversight to minimize the risk of carrying out the work under strict controls.</w:t>
      </w:r>
    </w:p>
    <w:p>
      <w:pPr>
        <w:pStyle w:val="Heading1"/>
      </w:pPr>
      <w:bookmarkStart w:id="9001" w:name="_DanToc9001"/>
      <w:r>
        <w:t xml:space="preserve">Scope</w:t>
      </w:r>
      <w:bookmarkEnd w:id="9001"/>
    </w:p>
    <w:p>
      <w:pPr>
        <w:spacing w:after="120" w:line="276"/>
        <w:jc w:val="both"/>
      </w:pPr>
      <w:r>
        <w:rPr>
          <w:rFonts w:ascii="Tahoma" w:cs="Tahoma" w:eastAsia="Tahoma" w:hAnsi="Tahoma"/>
          <w:sz w:val="20"/>
          <w:szCs w:val="20"/>
        </w:rPr>
        <w:t xml:space="preserve">This HSE Minimum Requirement applies to all parties’ personnel working within DAN Company Company Limited “DAN” Projects, site offices, or DAN-controlled work areas/offices.</w:t>
      </w:r>
    </w:p>
    <w:p>
      <w:pPr>
        <w:pStyle w:val="Heading1"/>
      </w:pPr>
      <w:bookmarkStart w:id="9002" w:name="_DanToc9002"/>
      <w:r>
        <w:t xml:space="preserve">Definitions</w:t>
      </w:r>
      <w:bookmarkEnd w:id="900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Permit to work (PTW) system</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administrative system controls certain types of work or works in areas that are potentially hazardous with the potential to impact business continuity. The permit document specifies the work to be done and the precautions to be taken.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Permit Approval</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confirmation in writing from an authorized person that the correct processes have been followed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Permit Issuer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person authorized to approve the Permit to work</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Permit Holder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person delegated the responsibility of supervising and/or performing a specific work task, controlling access to the work area, and where applicable supervising and monitoring the work.</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Combustible Material</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Capable of reacting with oxygen and burning if ignited. Examples include oil, paper, various chemical products, wood, plastic, textile Fibers such as carpet and cardboard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Fire Watch</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individual assigned, trained, and qualified to monitor and observe hot work activities and assist in preparing the work area for hot work, take necessary actions to prevent and control sparks caused by hot work activities.</w:t>
            </w:r>
          </w:p>
        </w:tc>
      </w:tr>
    </w:tbl>
    <w:p>
      <w:pPr>
        <w:pStyle w:val="Heading1"/>
      </w:pPr>
      <w:bookmarkStart w:id="9003" w:name="_DanToc9003"/>
      <w:r>
        <w:t xml:space="preserve">1.0 General Requirements</w:t>
      </w:r>
      <w:bookmarkEnd w:id="9003"/>
    </w:p>
    <w:p>
      <w:pPr>
        <w:pStyle w:val="ListParagraph"/>
        <w:numPr>
          <w:ilvl w:val="0"/>
          <w:numId w:val="2"/>
        </w:numPr>
        <w:spacing w:after="60" w:line="268"/>
        <w:jc w:val="both"/>
      </w:pPr>
      <w:r>
        <w:rPr>
          <w:rFonts w:ascii="Tahoma" w:cs="Tahoma" w:eastAsia="Tahoma" w:hAnsi="Tahoma"/>
          <w:sz w:val="20"/>
          <w:szCs w:val="20"/>
        </w:rPr>
        <w:t xml:space="preserve">There will be an approved Permit-to-Work [PTW] Procedure that defines the administrative process used to control significant hazardous operations.</w:t>
      </w:r>
    </w:p>
    <w:p>
      <w:pPr>
        <w:pStyle w:val="ListParagraph"/>
        <w:numPr>
          <w:ilvl w:val="0"/>
          <w:numId w:val="2"/>
        </w:numPr>
        <w:spacing w:after="60" w:line="268"/>
        <w:jc w:val="both"/>
      </w:pPr>
      <w:r>
        <w:rPr>
          <w:rFonts w:ascii="Tahoma" w:cs="Tahoma" w:eastAsia="Tahoma" w:hAnsi="Tahoma"/>
          <w:sz w:val="20"/>
          <w:szCs w:val="20"/>
        </w:rPr>
        <w:t xml:space="preserve">PTW will be established for the following activities:</w:t>
      </w:r>
    </w:p>
    <w:p>
      <w:pPr>
        <w:pStyle w:val="ListParagraph"/>
        <w:numPr>
          <w:ilvl w:val="0"/>
          <w:numId w:val="3"/>
        </w:numPr>
        <w:spacing w:after="40" w:line="264"/>
      </w:pPr>
      <w:r>
        <w:rPr>
          <w:rFonts w:ascii="Tahoma" w:cs="Tahoma" w:eastAsia="Tahoma" w:hAnsi="Tahoma"/>
          <w:sz w:val="18"/>
          <w:szCs w:val="18"/>
        </w:rPr>
        <w:t xml:space="preserve">Plant &amp; Equipment</w:t>
      </w:r>
    </w:p>
    <w:p>
      <w:pPr>
        <w:pStyle w:val="ListParagraph"/>
        <w:numPr>
          <w:ilvl w:val="0"/>
          <w:numId w:val="3"/>
        </w:numPr>
        <w:spacing w:after="40" w:line="264"/>
      </w:pPr>
      <w:r>
        <w:rPr>
          <w:rFonts w:ascii="Tahoma" w:cs="Tahoma" w:eastAsia="Tahoma" w:hAnsi="Tahoma"/>
          <w:sz w:val="18"/>
          <w:szCs w:val="18"/>
        </w:rPr>
        <w:t xml:space="preserve">Working at Height &amp; Shaft</w:t>
      </w:r>
    </w:p>
    <w:p>
      <w:pPr>
        <w:pStyle w:val="ListParagraph"/>
        <w:numPr>
          <w:ilvl w:val="0"/>
          <w:numId w:val="3"/>
        </w:numPr>
        <w:spacing w:after="40" w:line="264"/>
      </w:pPr>
      <w:r>
        <w:rPr>
          <w:rFonts w:ascii="Tahoma" w:cs="Tahoma" w:eastAsia="Tahoma" w:hAnsi="Tahoma"/>
          <w:sz w:val="18"/>
          <w:szCs w:val="18"/>
        </w:rPr>
        <w:t xml:space="preserve">Use of Suspended Elevated Platform</w:t>
      </w:r>
    </w:p>
    <w:p>
      <w:pPr>
        <w:pStyle w:val="ListParagraph"/>
        <w:numPr>
          <w:ilvl w:val="0"/>
          <w:numId w:val="3"/>
        </w:numPr>
        <w:spacing w:after="40" w:line="264"/>
      </w:pPr>
      <w:r>
        <w:rPr>
          <w:rFonts w:ascii="Tahoma" w:cs="Tahoma" w:eastAsia="Tahoma" w:hAnsi="Tahoma"/>
          <w:sz w:val="18"/>
          <w:szCs w:val="18"/>
        </w:rPr>
        <w:t xml:space="preserve">Formwork (All Works)</w:t>
      </w:r>
    </w:p>
    <w:p>
      <w:pPr>
        <w:pStyle w:val="ListParagraph"/>
        <w:numPr>
          <w:ilvl w:val="0"/>
          <w:numId w:val="3"/>
        </w:numPr>
        <w:spacing w:after="40" w:line="264"/>
      </w:pPr>
      <w:r>
        <w:rPr>
          <w:rFonts w:ascii="Tahoma" w:cs="Tahoma" w:eastAsia="Tahoma" w:hAnsi="Tahoma"/>
          <w:sz w:val="18"/>
          <w:szCs w:val="18"/>
        </w:rPr>
        <w:t xml:space="preserve">Post Tension works</w:t>
      </w:r>
    </w:p>
    <w:p>
      <w:pPr>
        <w:pStyle w:val="ListParagraph"/>
        <w:numPr>
          <w:ilvl w:val="0"/>
          <w:numId w:val="3"/>
        </w:numPr>
        <w:spacing w:after="40" w:line="264"/>
      </w:pPr>
      <w:r>
        <w:rPr>
          <w:rFonts w:ascii="Tahoma" w:cs="Tahoma" w:eastAsia="Tahoma" w:hAnsi="Tahoma"/>
          <w:sz w:val="18"/>
          <w:szCs w:val="18"/>
        </w:rPr>
        <w:t xml:space="preserve">All Isolation</w:t>
      </w:r>
    </w:p>
    <w:p>
      <w:pPr>
        <w:pStyle w:val="ListParagraph"/>
        <w:numPr>
          <w:ilvl w:val="0"/>
          <w:numId w:val="3"/>
        </w:numPr>
        <w:spacing w:after="40" w:line="264"/>
      </w:pPr>
      <w:r>
        <w:rPr>
          <w:rFonts w:ascii="Tahoma" w:cs="Tahoma" w:eastAsia="Tahoma" w:hAnsi="Tahoma"/>
          <w:sz w:val="18"/>
          <w:szCs w:val="18"/>
        </w:rPr>
        <w:t xml:space="preserve">Blasting Sand Metal Slags</w:t>
      </w:r>
    </w:p>
    <w:p>
      <w:pPr>
        <w:pStyle w:val="ListParagraph"/>
        <w:numPr>
          <w:ilvl w:val="0"/>
          <w:numId w:val="3"/>
        </w:numPr>
        <w:spacing w:after="40" w:line="264"/>
      </w:pPr>
      <w:r>
        <w:rPr>
          <w:rFonts w:ascii="Tahoma" w:cs="Tahoma" w:eastAsia="Tahoma" w:hAnsi="Tahoma"/>
          <w:sz w:val="18"/>
          <w:szCs w:val="18"/>
        </w:rPr>
        <w:t xml:space="preserve">Hydro Pressure Testing</w:t>
      </w:r>
    </w:p>
    <w:p>
      <w:pPr>
        <w:pStyle w:val="ListParagraph"/>
        <w:numPr>
          <w:ilvl w:val="0"/>
          <w:numId w:val="3"/>
        </w:numPr>
        <w:spacing w:after="40" w:line="264"/>
      </w:pPr>
      <w:r>
        <w:rPr>
          <w:rFonts w:ascii="Tahoma" w:cs="Tahoma" w:eastAsia="Tahoma" w:hAnsi="Tahoma"/>
          <w:sz w:val="18"/>
          <w:szCs w:val="18"/>
        </w:rPr>
        <w:t xml:space="preserve">Near water</w:t>
      </w:r>
    </w:p>
    <w:p>
      <w:pPr>
        <w:pStyle w:val="ListParagraph"/>
        <w:numPr>
          <w:ilvl w:val="0"/>
          <w:numId w:val="3"/>
        </w:numPr>
        <w:spacing w:after="40" w:line="264"/>
      </w:pPr>
      <w:r>
        <w:rPr>
          <w:rFonts w:ascii="Tahoma" w:cs="Tahoma" w:eastAsia="Tahoma" w:hAnsi="Tahoma"/>
          <w:sz w:val="18"/>
          <w:szCs w:val="18"/>
        </w:rPr>
        <w:t xml:space="preserve">Demolition&amp; Coring</w:t>
      </w:r>
    </w:p>
    <w:p>
      <w:pPr>
        <w:pStyle w:val="ListParagraph"/>
        <w:numPr>
          <w:ilvl w:val="0"/>
          <w:numId w:val="3"/>
        </w:numPr>
        <w:spacing w:after="40" w:line="264"/>
      </w:pPr>
      <w:r>
        <w:rPr>
          <w:rFonts w:ascii="Tahoma" w:cs="Tahoma" w:eastAsia="Tahoma" w:hAnsi="Tahoma"/>
          <w:sz w:val="18"/>
          <w:szCs w:val="18"/>
        </w:rPr>
        <w:t xml:space="preserve">Hot Work</w:t>
      </w:r>
    </w:p>
    <w:p>
      <w:pPr>
        <w:pStyle w:val="ListParagraph"/>
        <w:numPr>
          <w:ilvl w:val="0"/>
          <w:numId w:val="3"/>
        </w:numPr>
        <w:spacing w:after="40" w:line="264"/>
      </w:pPr>
      <w:r>
        <w:rPr>
          <w:rFonts w:ascii="Tahoma" w:cs="Tahoma" w:eastAsia="Tahoma" w:hAnsi="Tahoma"/>
          <w:sz w:val="18"/>
          <w:szCs w:val="18"/>
        </w:rPr>
        <w:t xml:space="preserve">Confined Space</w:t>
      </w:r>
    </w:p>
    <w:p>
      <w:pPr>
        <w:pStyle w:val="ListParagraph"/>
        <w:numPr>
          <w:ilvl w:val="0"/>
          <w:numId w:val="3"/>
        </w:numPr>
        <w:spacing w:after="40" w:line="264"/>
      </w:pPr>
      <w:r>
        <w:rPr>
          <w:rFonts w:ascii="Tahoma" w:cs="Tahoma" w:eastAsia="Tahoma" w:hAnsi="Tahoma"/>
          <w:sz w:val="18"/>
          <w:szCs w:val="18"/>
        </w:rPr>
        <w:t xml:space="preserve">Excavation</w:t>
      </w:r>
    </w:p>
    <w:p>
      <w:pPr>
        <w:pStyle w:val="ListParagraph"/>
        <w:numPr>
          <w:ilvl w:val="0"/>
          <w:numId w:val="2"/>
        </w:numPr>
        <w:spacing w:after="60" w:line="268"/>
        <w:jc w:val="both"/>
      </w:pPr>
      <w:r>
        <w:rPr>
          <w:rFonts w:ascii="Tahoma" w:cs="Tahoma" w:eastAsia="Tahoma" w:hAnsi="Tahoma"/>
          <w:sz w:val="20"/>
          <w:szCs w:val="20"/>
        </w:rPr>
        <w:t xml:space="preserve">During the construction phase, the contractor shall submit a permit to the work system for approval.</w:t>
      </w:r>
    </w:p>
    <w:p>
      <w:pPr>
        <w:pStyle w:val="ListParagraph"/>
        <w:numPr>
          <w:ilvl w:val="0"/>
          <w:numId w:val="2"/>
        </w:numPr>
        <w:spacing w:after="60" w:line="268"/>
        <w:jc w:val="both"/>
      </w:pPr>
      <w:r>
        <w:rPr>
          <w:rFonts w:ascii="Tahoma" w:cs="Tahoma" w:eastAsia="Tahoma" w:hAnsi="Tahoma"/>
          <w:sz w:val="20"/>
          <w:szCs w:val="20"/>
        </w:rPr>
        <w:t xml:space="preserve">Permit to work issuers and receivers shall have training before issuing or receiving a permit to work.</w:t>
      </w:r>
    </w:p>
    <w:p>
      <w:pPr>
        <w:pStyle w:val="ListParagraph"/>
        <w:numPr>
          <w:ilvl w:val="0"/>
          <w:numId w:val="2"/>
        </w:numPr>
        <w:spacing w:after="60" w:line="268"/>
        <w:jc w:val="both"/>
      </w:pPr>
      <w:r>
        <w:rPr>
          <w:rFonts w:ascii="Tahoma" w:cs="Tahoma" w:eastAsia="Tahoma" w:hAnsi="Tahoma"/>
          <w:sz w:val="20"/>
          <w:szCs w:val="20"/>
        </w:rPr>
        <w:t xml:space="preserve">Specific competency-based training will be provided to:</w:t>
      </w:r>
    </w:p>
    <w:p>
      <w:pPr>
        <w:pStyle w:val="ListParagraph"/>
        <w:numPr>
          <w:ilvl w:val="0"/>
          <w:numId w:val="3"/>
        </w:numPr>
        <w:spacing w:after="40" w:line="264"/>
      </w:pPr>
      <w:r>
        <w:rPr>
          <w:rFonts w:ascii="Tahoma" w:cs="Tahoma" w:eastAsia="Tahoma" w:hAnsi="Tahoma"/>
          <w:sz w:val="18"/>
          <w:szCs w:val="18"/>
        </w:rPr>
        <w:t xml:space="preserve">Managers / Engineers</w:t>
      </w:r>
    </w:p>
    <w:p>
      <w:pPr>
        <w:pStyle w:val="ListParagraph"/>
        <w:numPr>
          <w:ilvl w:val="0"/>
          <w:numId w:val="3"/>
        </w:numPr>
        <w:spacing w:after="40" w:line="264"/>
      </w:pPr>
      <w:r>
        <w:rPr>
          <w:rFonts w:ascii="Tahoma" w:cs="Tahoma" w:eastAsia="Tahoma" w:hAnsi="Tahoma"/>
          <w:sz w:val="18"/>
          <w:szCs w:val="18"/>
        </w:rPr>
        <w:t xml:space="preserve">Permit Control Manager / Authorised Person</w:t>
      </w:r>
    </w:p>
    <w:p>
      <w:pPr>
        <w:pStyle w:val="ListParagraph"/>
        <w:numPr>
          <w:ilvl w:val="0"/>
          <w:numId w:val="3"/>
        </w:numPr>
        <w:spacing w:after="40" w:line="264"/>
      </w:pPr>
      <w:r>
        <w:rPr>
          <w:rFonts w:ascii="Tahoma" w:cs="Tahoma" w:eastAsia="Tahoma" w:hAnsi="Tahoma"/>
          <w:sz w:val="18"/>
          <w:szCs w:val="18"/>
        </w:rPr>
        <w:t xml:space="preserve">Permit Holder / Worker [User]</w:t>
      </w:r>
    </w:p>
    <w:p>
      <w:pPr>
        <w:pStyle w:val="ListParagraph"/>
        <w:numPr>
          <w:ilvl w:val="0"/>
          <w:numId w:val="2"/>
        </w:numPr>
        <w:spacing w:after="60" w:line="268"/>
        <w:jc w:val="both"/>
      </w:pPr>
      <w:r>
        <w:rPr>
          <w:rFonts w:ascii="Tahoma" w:cs="Tahoma" w:eastAsia="Tahoma" w:hAnsi="Tahoma"/>
          <w:sz w:val="20"/>
          <w:szCs w:val="20"/>
        </w:rPr>
        <w:t xml:space="preserve">Hot Work areas will:</w:t>
      </w:r>
    </w:p>
    <w:p>
      <w:pPr>
        <w:pStyle w:val="ListParagraph"/>
        <w:numPr>
          <w:ilvl w:val="0"/>
          <w:numId w:val="3"/>
        </w:numPr>
        <w:spacing w:after="40" w:line="264"/>
      </w:pPr>
      <w:r>
        <w:rPr>
          <w:rFonts w:ascii="Tahoma" w:cs="Tahoma" w:eastAsia="Tahoma" w:hAnsi="Tahoma"/>
          <w:sz w:val="18"/>
          <w:szCs w:val="18"/>
        </w:rPr>
        <w:t xml:space="preserve">Be controlled using physical barriers to prevent unauthorized access</w:t>
      </w:r>
    </w:p>
    <w:p>
      <w:pPr>
        <w:pStyle w:val="ListParagraph"/>
        <w:numPr>
          <w:ilvl w:val="0"/>
          <w:numId w:val="3"/>
        </w:numPr>
        <w:spacing w:after="40" w:line="264"/>
      </w:pPr>
      <w:r>
        <w:rPr>
          <w:rFonts w:ascii="Tahoma" w:cs="Tahoma" w:eastAsia="Tahoma" w:hAnsi="Tahoma"/>
          <w:sz w:val="18"/>
          <w:szCs w:val="18"/>
        </w:rPr>
        <w:t xml:space="preserve">Contained using non-combustible / fire-retardant screening materials to protect other persons from UV rays Revision No.:2 DAN- CONST-OHSMS-MINR58-PTW Date of Issue: Jan. 2023 Page No(s) 3 of 7</w:t>
      </w:r>
    </w:p>
    <w:p>
      <w:pPr>
        <w:pStyle w:val="ListParagraph"/>
        <w:numPr>
          <w:ilvl w:val="0"/>
          <w:numId w:val="3"/>
        </w:numPr>
        <w:spacing w:after="40" w:line="264"/>
      </w:pPr>
      <w:r>
        <w:rPr>
          <w:rFonts w:ascii="Tahoma" w:cs="Tahoma" w:eastAsia="Tahoma" w:hAnsi="Tahoma"/>
          <w:sz w:val="18"/>
          <w:szCs w:val="18"/>
        </w:rPr>
        <w:t xml:space="preserve">Be equipped with local ventilation systems to protect people against hazardous fumes and gases</w:t>
      </w:r>
    </w:p>
    <w:p>
      <w:pPr>
        <w:pStyle w:val="ListParagraph"/>
        <w:numPr>
          <w:ilvl w:val="0"/>
          <w:numId w:val="3"/>
        </w:numPr>
        <w:spacing w:after="40" w:line="264"/>
      </w:pPr>
      <w:r>
        <w:rPr>
          <w:rFonts w:ascii="Tahoma" w:cs="Tahoma" w:eastAsia="Tahoma" w:hAnsi="Tahoma"/>
          <w:sz w:val="18"/>
          <w:szCs w:val="18"/>
        </w:rPr>
        <w:t xml:space="preserve">Have air monitoring regimes to measure occupational exposure limits</w:t>
      </w:r>
    </w:p>
    <w:p>
      <w:pPr>
        <w:pStyle w:val="ListParagraph"/>
        <w:numPr>
          <w:ilvl w:val="0"/>
          <w:numId w:val="3"/>
        </w:numPr>
        <w:spacing w:after="40" w:line="264"/>
      </w:pPr>
      <w:r>
        <w:rPr>
          <w:rFonts w:ascii="Tahoma" w:cs="Tahoma" w:eastAsia="Tahoma" w:hAnsi="Tahoma"/>
          <w:sz w:val="18"/>
          <w:szCs w:val="18"/>
        </w:rPr>
        <w:t xml:space="preserve">Be equipped with fire protection systems – at least one fire extinguisher</w:t>
      </w:r>
    </w:p>
    <w:p>
      <w:pPr>
        <w:pStyle w:val="ListParagraph"/>
        <w:numPr>
          <w:ilvl w:val="0"/>
          <w:numId w:val="3"/>
        </w:numPr>
        <w:spacing w:after="40" w:line="264"/>
      </w:pPr>
      <w:r>
        <w:rPr>
          <w:rFonts w:ascii="Tahoma" w:cs="Tahoma" w:eastAsia="Tahoma" w:hAnsi="Tahoma"/>
          <w:sz w:val="18"/>
          <w:szCs w:val="18"/>
        </w:rPr>
        <w:t xml:space="preserve">Be inspected daily by a competent person as part of the fire safety plan</w:t>
      </w:r>
    </w:p>
    <w:p>
      <w:pPr>
        <w:pStyle w:val="ListParagraph"/>
        <w:numPr>
          <w:ilvl w:val="0"/>
          <w:numId w:val="3"/>
        </w:numPr>
        <w:spacing w:after="40" w:line="264"/>
      </w:pPr>
      <w:r>
        <w:rPr>
          <w:rFonts w:ascii="Tahoma" w:cs="Tahoma" w:eastAsia="Tahoma" w:hAnsi="Tahoma"/>
          <w:sz w:val="18"/>
          <w:szCs w:val="18"/>
        </w:rPr>
        <w:t xml:space="preserve">Be free from combustible materials and uncontrolled ignition sources.</w:t>
      </w:r>
    </w:p>
    <w:p>
      <w:pPr>
        <w:pStyle w:val="ListParagraph"/>
        <w:numPr>
          <w:ilvl w:val="0"/>
          <w:numId w:val="2"/>
        </w:numPr>
        <w:spacing w:after="60" w:line="268"/>
        <w:jc w:val="both"/>
      </w:pPr>
      <w:r>
        <w:rPr>
          <w:rFonts w:ascii="Tahoma" w:cs="Tahoma" w:eastAsia="Tahoma" w:hAnsi="Tahoma"/>
          <w:sz w:val="20"/>
          <w:szCs w:val="20"/>
        </w:rPr>
        <w:t xml:space="preserve">Permit documents must clearly record authorities and applicable control measures</w:t>
      </w:r>
    </w:p>
    <w:p>
      <w:pPr>
        <w:pStyle w:val="ListParagraph"/>
        <w:numPr>
          <w:ilvl w:val="0"/>
          <w:numId w:val="2"/>
        </w:numPr>
        <w:spacing w:after="60" w:line="268"/>
        <w:jc w:val="both"/>
      </w:pPr>
      <w:r>
        <w:rPr>
          <w:rFonts w:ascii="Tahoma" w:cs="Tahoma" w:eastAsia="Tahoma" w:hAnsi="Tahoma"/>
          <w:sz w:val="20"/>
          <w:szCs w:val="20"/>
        </w:rPr>
        <w:t xml:space="preserve">Permit-to-Work activities will be:</w:t>
      </w:r>
    </w:p>
    <w:p>
      <w:pPr>
        <w:pStyle w:val="ListParagraph"/>
        <w:numPr>
          <w:ilvl w:val="0"/>
          <w:numId w:val="3"/>
        </w:numPr>
        <w:spacing w:after="40" w:line="264"/>
      </w:pPr>
      <w:r>
        <w:rPr>
          <w:rFonts w:ascii="Tahoma" w:cs="Tahoma" w:eastAsia="Tahoma" w:hAnsi="Tahoma"/>
          <w:sz w:val="18"/>
          <w:szCs w:val="18"/>
        </w:rPr>
        <w:t xml:space="preserve">Inspected daily by a competent person and the outcomes documented</w:t>
      </w:r>
    </w:p>
    <w:p>
      <w:pPr>
        <w:pStyle w:val="ListParagraph"/>
        <w:numPr>
          <w:ilvl w:val="0"/>
          <w:numId w:val="3"/>
        </w:numPr>
        <w:spacing w:after="40" w:line="264"/>
      </w:pPr>
      <w:r>
        <w:rPr>
          <w:rFonts w:ascii="Tahoma" w:cs="Tahoma" w:eastAsia="Tahoma" w:hAnsi="Tahoma"/>
          <w:sz w:val="18"/>
          <w:szCs w:val="18"/>
        </w:rPr>
        <w:t xml:space="preserve">Audited by a competent person and the outcomes documented</w:t>
      </w:r>
    </w:p>
    <w:p>
      <w:pPr>
        <w:pStyle w:val="ListParagraph"/>
        <w:numPr>
          <w:ilvl w:val="0"/>
          <w:numId w:val="3"/>
        </w:numPr>
        <w:spacing w:after="40" w:line="264"/>
      </w:pPr>
      <w:r>
        <w:rPr>
          <w:rFonts w:ascii="Tahoma" w:cs="Tahoma" w:eastAsia="Tahoma" w:hAnsi="Tahoma"/>
          <w:sz w:val="18"/>
          <w:szCs w:val="18"/>
        </w:rPr>
        <w:t xml:space="preserve">Permits-to-work documents must be retained</w:t>
      </w:r>
    </w:p>
    <w:p>
      <w:pPr>
        <w:pStyle w:val="Heading1"/>
      </w:pPr>
      <w:bookmarkStart w:id="9004" w:name="_DanToc9004"/>
      <w:r>
        <w:t xml:space="preserve">2.0 Permit Types</w:t>
      </w:r>
      <w:bookmarkEnd w:id="9004"/>
    </w:p>
    <w:p>
      <w:pPr>
        <w:pStyle w:val="ListParagraph"/>
        <w:numPr>
          <w:ilvl w:val="0"/>
          <w:numId w:val="2"/>
        </w:numPr>
        <w:spacing w:after="60" w:line="268"/>
        <w:jc w:val="both"/>
      </w:pPr>
      <w:r>
        <w:rPr>
          <w:rFonts w:ascii="Tahoma" w:cs="Tahoma" w:eastAsia="Tahoma" w:hAnsi="Tahoma"/>
          <w:sz w:val="20"/>
          <w:szCs w:val="20"/>
        </w:rPr>
        <w:t xml:space="preserve">Hot Work Permit</w:t>
      </w:r>
    </w:p>
    <w:p>
      <w:pPr>
        <w:pStyle w:val="ListParagraph"/>
        <w:numPr>
          <w:ilvl w:val="0"/>
          <w:numId w:val="3"/>
        </w:numPr>
        <w:spacing w:after="40" w:line="264"/>
      </w:pPr>
      <w:r>
        <w:rPr>
          <w:rFonts w:ascii="Tahoma" w:cs="Tahoma" w:eastAsia="Tahoma" w:hAnsi="Tahoma"/>
          <w:sz w:val="18"/>
          <w:szCs w:val="18"/>
        </w:rPr>
        <w:t xml:space="preserve">Hot work is any work that develops sparks, flames, or heat sufficient to cause ignition. This work permit will apply to the use of spark or flame-producing tools and equipment, including internal combustion engines, grit blasting operations, or electrical hand tools. It will not be applied to vehicles entering the site and remaining on access roads.</w:t>
      </w:r>
    </w:p>
    <w:p>
      <w:pPr>
        <w:pStyle w:val="ListParagraph"/>
        <w:numPr>
          <w:ilvl w:val="0"/>
          <w:numId w:val="3"/>
        </w:numPr>
        <w:spacing w:after="40" w:line="264"/>
      </w:pPr>
      <w:r>
        <w:rPr>
          <w:rFonts w:ascii="Tahoma" w:cs="Tahoma" w:eastAsia="Tahoma" w:hAnsi="Tahoma"/>
          <w:sz w:val="18"/>
          <w:szCs w:val="18"/>
        </w:rPr>
        <w:t xml:space="preserve">Workplaces involving Hot Work must meet the following requirements:</w:t>
      </w:r>
    </w:p>
    <w:p>
      <w:pPr>
        <w:pStyle w:val="ListParagraph"/>
        <w:numPr>
          <w:ilvl w:val="0"/>
          <w:numId w:val="3"/>
        </w:numPr>
        <w:spacing w:after="40" w:line="264"/>
      </w:pPr>
      <w:r>
        <w:rPr>
          <w:rFonts w:ascii="Tahoma" w:cs="Tahoma" w:eastAsia="Tahoma" w:hAnsi="Tahoma"/>
          <w:sz w:val="18"/>
          <w:szCs w:val="18"/>
        </w:rPr>
        <w:t xml:space="preserve">i. Pre-site inspection by a competent person</w:t>
      </w:r>
    </w:p>
    <w:p>
      <w:pPr>
        <w:pStyle w:val="ListParagraph"/>
        <w:numPr>
          <w:ilvl w:val="0"/>
          <w:numId w:val="3"/>
        </w:numPr>
        <w:spacing w:after="40" w:line="264"/>
      </w:pPr>
      <w:r>
        <w:rPr>
          <w:rFonts w:ascii="Tahoma" w:cs="Tahoma" w:eastAsia="Tahoma" w:hAnsi="Tahoma"/>
          <w:sz w:val="18"/>
          <w:szCs w:val="18"/>
        </w:rPr>
        <w:t xml:space="preserve">ii. Combustible materials have been removed</w:t>
      </w:r>
    </w:p>
    <w:p>
      <w:pPr>
        <w:pStyle w:val="ListParagraph"/>
        <w:numPr>
          <w:ilvl w:val="0"/>
          <w:numId w:val="3"/>
        </w:numPr>
        <w:spacing w:after="40" w:line="264"/>
      </w:pPr>
      <w:r>
        <w:rPr>
          <w:rFonts w:ascii="Tahoma" w:cs="Tahoma" w:eastAsia="Tahoma" w:hAnsi="Tahoma"/>
          <w:sz w:val="18"/>
          <w:szCs w:val="18"/>
        </w:rPr>
        <w:t xml:space="preserve">iii. There are no exposed combustibles on the opposite side of partitions, walls, ceilings, floors, etc.,</w:t>
      </w:r>
    </w:p>
    <w:p>
      <w:pPr>
        <w:pStyle w:val="ListParagraph"/>
        <w:numPr>
          <w:ilvl w:val="0"/>
          <w:numId w:val="3"/>
        </w:numPr>
        <w:spacing w:after="40" w:line="264"/>
      </w:pPr>
      <w:r>
        <w:rPr>
          <w:rFonts w:ascii="Tahoma" w:cs="Tahoma" w:eastAsia="Tahoma" w:hAnsi="Tahoma"/>
          <w:sz w:val="18"/>
          <w:szCs w:val="18"/>
        </w:rPr>
        <w:t xml:space="preserve">iv. The atmosphere is confirmed as not being flammable i.e., no hazardous substances</w:t>
      </w:r>
    </w:p>
    <w:p>
      <w:pPr>
        <w:pStyle w:val="ListParagraph"/>
        <w:numPr>
          <w:ilvl w:val="0"/>
          <w:numId w:val="3"/>
        </w:numPr>
        <w:spacing w:after="40" w:line="264"/>
      </w:pPr>
      <w:r>
        <w:rPr>
          <w:rFonts w:ascii="Tahoma" w:cs="Tahoma" w:eastAsia="Tahoma" w:hAnsi="Tahoma"/>
          <w:sz w:val="18"/>
          <w:szCs w:val="18"/>
        </w:rPr>
        <w:t xml:space="preserve">v. Openings are protected using non-combustible / fire-retardant construction materials vi. Fire extinguishers are available, fully charged, and operable vii. A fire watcher is posted for the work period and 30 minutes after work has concluded Revision No.:2 DAN- CONST-OHSMS-MINR58-PTW Date of Issue: Jan. 2023 Page No(s) 4 of 7 viii. Post inspection by a competent person</w:t>
      </w:r>
    </w:p>
    <w:p>
      <w:pPr>
        <w:pStyle w:val="ListParagraph"/>
        <w:numPr>
          <w:ilvl w:val="0"/>
          <w:numId w:val="3"/>
        </w:numPr>
        <w:spacing w:after="40" w:line="264"/>
      </w:pPr>
      <w:r>
        <w:rPr>
          <w:rFonts w:ascii="Tahoma" w:cs="Tahoma" w:eastAsia="Tahoma" w:hAnsi="Tahoma"/>
          <w:sz w:val="18"/>
          <w:szCs w:val="18"/>
        </w:rPr>
        <w:t xml:space="preserve">Fire watchers must be:</w:t>
      </w:r>
    </w:p>
    <w:p>
      <w:pPr>
        <w:pStyle w:val="ListParagraph"/>
        <w:numPr>
          <w:ilvl w:val="0"/>
          <w:numId w:val="3"/>
        </w:numPr>
        <w:spacing w:after="40" w:line="264"/>
      </w:pPr>
      <w:r>
        <w:rPr>
          <w:rFonts w:ascii="Tahoma" w:cs="Tahoma" w:eastAsia="Tahoma" w:hAnsi="Tahoma"/>
          <w:sz w:val="18"/>
          <w:szCs w:val="18"/>
        </w:rPr>
        <w:t xml:space="preserve">i. Equipped and trained</w:t>
      </w:r>
    </w:p>
    <w:p>
      <w:pPr>
        <w:pStyle w:val="ListParagraph"/>
        <w:numPr>
          <w:ilvl w:val="0"/>
          <w:numId w:val="3"/>
        </w:numPr>
        <w:spacing w:after="40" w:line="264"/>
      </w:pPr>
      <w:r>
        <w:rPr>
          <w:rFonts w:ascii="Tahoma" w:cs="Tahoma" w:eastAsia="Tahoma" w:hAnsi="Tahoma"/>
          <w:sz w:val="18"/>
          <w:szCs w:val="18"/>
        </w:rPr>
        <w:t xml:space="preserve">ii. Assigned the sole duty of watching for the occurrence of fire</w:t>
      </w:r>
    </w:p>
    <w:p>
      <w:pPr>
        <w:pStyle w:val="ListParagraph"/>
        <w:numPr>
          <w:ilvl w:val="0"/>
          <w:numId w:val="3"/>
        </w:numPr>
        <w:spacing w:after="40" w:line="264"/>
      </w:pPr>
      <w:r>
        <w:rPr>
          <w:rFonts w:ascii="Tahoma" w:cs="Tahoma" w:eastAsia="Tahoma" w:hAnsi="Tahoma"/>
          <w:sz w:val="18"/>
          <w:szCs w:val="18"/>
        </w:rPr>
        <w:t xml:space="preserve">iii. Responsible to extinguish spot fires and raise the alarm</w:t>
      </w:r>
    </w:p>
    <w:p>
      <w:pPr>
        <w:pStyle w:val="ListParagraph"/>
        <w:numPr>
          <w:ilvl w:val="0"/>
          <w:numId w:val="2"/>
        </w:numPr>
        <w:spacing w:after="60" w:line="268"/>
        <w:jc w:val="both"/>
      </w:pPr>
      <w:r>
        <w:rPr>
          <w:rFonts w:ascii="Tahoma" w:cs="Tahoma" w:eastAsia="Tahoma" w:hAnsi="Tahoma"/>
          <w:sz w:val="20"/>
          <w:szCs w:val="20"/>
        </w:rPr>
        <w:t xml:space="preserve">Cold Work Permit</w:t>
      </w:r>
    </w:p>
    <w:p>
      <w:pPr>
        <w:pStyle w:val="ListParagraph"/>
        <w:numPr>
          <w:ilvl w:val="0"/>
          <w:numId w:val="3"/>
        </w:numPr>
        <w:spacing w:after="40" w:line="264"/>
      </w:pPr>
      <w:r>
        <w:rPr>
          <w:rFonts w:ascii="Tahoma" w:cs="Tahoma" w:eastAsia="Tahoma" w:hAnsi="Tahoma"/>
          <w:sz w:val="18"/>
          <w:szCs w:val="18"/>
        </w:rPr>
        <w:t xml:space="preserve">The purpose of the Cold Work Permit is to control work activities that may not produce sufficient energy to ignite flammable atmospheres or combustible materials but could contribute to injury. This Permit will apply for scaffolding erection or dismantling, painting works, excavating by hand, concrete pouring, and formworks, use of hand tools that have no electrical power.</w:t>
      </w:r>
    </w:p>
    <w:p>
      <w:pPr>
        <w:pStyle w:val="ListParagraph"/>
        <w:numPr>
          <w:ilvl w:val="0"/>
          <w:numId w:val="2"/>
        </w:numPr>
        <w:spacing w:after="60" w:line="268"/>
        <w:jc w:val="both"/>
      </w:pPr>
      <w:r>
        <w:rPr>
          <w:rFonts w:ascii="Tahoma" w:cs="Tahoma" w:eastAsia="Tahoma" w:hAnsi="Tahoma"/>
          <w:sz w:val="20"/>
          <w:szCs w:val="20"/>
        </w:rPr>
        <w:t xml:space="preserve">Excavation Permit</w:t>
      </w:r>
    </w:p>
    <w:p>
      <w:pPr>
        <w:pStyle w:val="ListParagraph"/>
        <w:numPr>
          <w:ilvl w:val="0"/>
          <w:numId w:val="3"/>
        </w:numPr>
        <w:spacing w:after="40" w:line="264"/>
      </w:pPr>
      <w:r>
        <w:rPr>
          <w:rFonts w:ascii="Tahoma" w:cs="Tahoma" w:eastAsia="Tahoma" w:hAnsi="Tahoma"/>
          <w:sz w:val="18"/>
          <w:szCs w:val="18"/>
        </w:rPr>
        <w:t xml:space="preserve">An Excavation Permit specifies the precautions required prior to excavation work; to identify buried cables and other underground services during excavation work; and to protect people working inside the excavations.</w:t>
      </w:r>
    </w:p>
    <w:p>
      <w:pPr>
        <w:pStyle w:val="ListParagraph"/>
        <w:numPr>
          <w:ilvl w:val="0"/>
          <w:numId w:val="3"/>
        </w:numPr>
        <w:spacing w:after="40" w:line="264"/>
      </w:pPr>
      <w:r>
        <w:rPr>
          <w:rFonts w:ascii="Tahoma" w:cs="Tahoma" w:eastAsia="Tahoma" w:hAnsi="Tahoma"/>
          <w:sz w:val="18"/>
          <w:szCs w:val="18"/>
        </w:rPr>
        <w:t xml:space="preserve">The purpose of the Confined Space Permit is to ensure the safe entry of personnel into a space or structure not normally intended for human occupancy, where entry, movement within, or exit is restricted and where a hazardous atmosphere might exist. Work activities inside a Confined Space may also require a Hot or Cold Work Permit to be issued in combination with the Confined Space Entry Permit depending on the type of work to be conducted within the confined space. A trained gas tester shall confirm that the confined space is safe to work on after conducting an atmospheric gas test. Note: The confined space entry and exit log sheet is a confined space entry and exit log sheet that will be used in conjunction with the confined space permit. This allows the hole watch to monitor the number of workers going into and out of the confined space. This log sheet shall be attached to the Confined Space Permit.</w:t>
      </w:r>
    </w:p>
    <w:p>
      <w:pPr>
        <w:pStyle w:val="Heading1"/>
      </w:pPr>
      <w:bookmarkStart w:id="9005" w:name="_DanToc9005"/>
      <w:r>
        <w:t xml:space="preserve">3.0 Issued Permits</w:t>
      </w:r>
      <w:bookmarkEnd w:id="9005"/>
    </w:p>
    <w:p>
      <w:pPr>
        <w:pStyle w:val="ListParagraph"/>
        <w:numPr>
          <w:ilvl w:val="0"/>
          <w:numId w:val="2"/>
        </w:numPr>
        <w:spacing w:after="60" w:line="268"/>
        <w:jc w:val="both"/>
      </w:pPr>
      <w:r>
        <w:rPr>
          <w:rFonts w:ascii="Tahoma" w:cs="Tahoma" w:eastAsia="Tahoma" w:hAnsi="Tahoma"/>
          <w:sz w:val="20"/>
          <w:szCs w:val="20"/>
        </w:rPr>
        <w:t xml:space="preserve">Permits are normally issued for a single shift.</w:t>
      </w:r>
    </w:p>
    <w:p>
      <w:pPr>
        <w:pStyle w:val="ListParagraph"/>
        <w:numPr>
          <w:ilvl w:val="0"/>
          <w:numId w:val="2"/>
        </w:numPr>
        <w:spacing w:after="60" w:line="268"/>
        <w:jc w:val="both"/>
      </w:pPr>
      <w:r>
        <w:rPr>
          <w:rFonts w:ascii="Tahoma" w:cs="Tahoma" w:eastAsia="Tahoma" w:hAnsi="Tahoma"/>
          <w:sz w:val="20"/>
          <w:szCs w:val="20"/>
        </w:rPr>
        <w:t xml:space="preserve">Permits associated with low-risk activities can be renewed for only one week maximum with the following conditions: Revision No.:2 DAN- CONST-OHSMS-MINR58-PTW Date of Issue: Jan. 2023 Page No(s) 5 of 7</w:t>
      </w:r>
    </w:p>
    <w:p>
      <w:pPr>
        <w:pStyle w:val="ListParagraph"/>
        <w:numPr>
          <w:ilvl w:val="0"/>
          <w:numId w:val="3"/>
        </w:numPr>
        <w:spacing w:after="40" w:line="264"/>
      </w:pPr>
      <w:r>
        <w:rPr>
          <w:rFonts w:ascii="Tahoma" w:cs="Tahoma" w:eastAsia="Tahoma" w:hAnsi="Tahoma"/>
          <w:sz w:val="18"/>
          <w:szCs w:val="18"/>
        </w:rPr>
        <w:t xml:space="preserve">Low-risk activities.</w:t>
      </w:r>
    </w:p>
    <w:p>
      <w:pPr>
        <w:pStyle w:val="ListParagraph"/>
        <w:numPr>
          <w:ilvl w:val="0"/>
          <w:numId w:val="3"/>
        </w:numPr>
        <w:spacing w:after="40" w:line="264"/>
      </w:pPr>
      <w:r>
        <w:rPr>
          <w:rFonts w:ascii="Tahoma" w:cs="Tahoma" w:eastAsia="Tahoma" w:hAnsi="Tahoma"/>
          <w:sz w:val="18"/>
          <w:szCs w:val="18"/>
        </w:rPr>
        <w:t xml:space="preserve">Same location.</w:t>
      </w:r>
    </w:p>
    <w:p>
      <w:pPr>
        <w:pStyle w:val="ListParagraph"/>
        <w:numPr>
          <w:ilvl w:val="0"/>
          <w:numId w:val="3"/>
        </w:numPr>
        <w:spacing w:after="40" w:line="264"/>
      </w:pPr>
      <w:r>
        <w:rPr>
          <w:rFonts w:ascii="Tahoma" w:cs="Tahoma" w:eastAsia="Tahoma" w:hAnsi="Tahoma"/>
          <w:sz w:val="18"/>
          <w:szCs w:val="18"/>
        </w:rPr>
        <w:t xml:space="preserve">Same issuer and receiver.</w:t>
      </w:r>
    </w:p>
    <w:p>
      <w:pPr>
        <w:pStyle w:val="ListParagraph"/>
        <w:numPr>
          <w:ilvl w:val="0"/>
          <w:numId w:val="3"/>
        </w:numPr>
        <w:spacing w:after="40" w:line="264"/>
      </w:pPr>
      <w:r>
        <w:rPr>
          <w:rFonts w:ascii="Tahoma" w:cs="Tahoma" w:eastAsia="Tahoma" w:hAnsi="Tahoma"/>
          <w:sz w:val="18"/>
          <w:szCs w:val="18"/>
        </w:rPr>
        <w:t xml:space="preserve">Same craft.</w:t>
      </w:r>
    </w:p>
    <w:p>
      <w:pPr>
        <w:pStyle w:val="ListParagraph"/>
        <w:numPr>
          <w:ilvl w:val="0"/>
          <w:numId w:val="3"/>
        </w:numPr>
        <w:spacing w:after="40" w:line="264"/>
      </w:pPr>
      <w:r>
        <w:rPr>
          <w:rFonts w:ascii="Tahoma" w:cs="Tahoma" w:eastAsia="Tahoma" w:hAnsi="Tahoma"/>
          <w:sz w:val="18"/>
          <w:szCs w:val="18"/>
        </w:rPr>
        <w:t xml:space="preserve">No change in the site condition or activity.</w:t>
      </w:r>
    </w:p>
    <w:p>
      <w:pPr>
        <w:pStyle w:val="ListParagraph"/>
        <w:numPr>
          <w:ilvl w:val="0"/>
          <w:numId w:val="3"/>
        </w:numPr>
        <w:spacing w:after="40" w:line="264"/>
      </w:pPr>
      <w:r>
        <w:rPr>
          <w:rFonts w:ascii="Tahoma" w:cs="Tahoma" w:eastAsia="Tahoma" w:hAnsi="Tahoma"/>
          <w:sz w:val="18"/>
          <w:szCs w:val="18"/>
        </w:rPr>
        <w:t xml:space="preserve">Day shift only.</w:t>
      </w:r>
    </w:p>
    <w:p>
      <w:pPr>
        <w:pStyle w:val="ListParagraph"/>
        <w:numPr>
          <w:ilvl w:val="0"/>
          <w:numId w:val="2"/>
        </w:numPr>
        <w:spacing w:after="60" w:line="268"/>
        <w:jc w:val="both"/>
      </w:pPr>
      <w:r>
        <w:rPr>
          <w:rFonts w:ascii="Tahoma" w:cs="Tahoma" w:eastAsia="Tahoma" w:hAnsi="Tahoma"/>
          <w:sz w:val="20"/>
          <w:szCs w:val="20"/>
        </w:rPr>
        <w:t xml:space="preserve">Receivers are to always remain on the job site. However, if a receiver must leave the immediate work area, he shall give the permit to another trained permit receiver.</w:t>
      </w:r>
    </w:p>
    <w:p>
      <w:pPr>
        <w:pStyle w:val="ListParagraph"/>
        <w:numPr>
          <w:ilvl w:val="0"/>
          <w:numId w:val="2"/>
        </w:numPr>
        <w:spacing w:after="60" w:line="268"/>
        <w:jc w:val="both"/>
      </w:pPr>
      <w:r>
        <w:rPr>
          <w:rFonts w:ascii="Tahoma" w:cs="Tahoma" w:eastAsia="Tahoma" w:hAnsi="Tahoma"/>
          <w:sz w:val="20"/>
          <w:szCs w:val="20"/>
        </w:rPr>
        <w:t xml:space="preserve">Permit receivers may receive more than one permit only if the work activities are located adjacent to each other and can be supervised and monitored simultaneously.</w:t>
      </w:r>
    </w:p>
    <w:p>
      <w:pPr>
        <w:pStyle w:val="ListParagraph"/>
        <w:numPr>
          <w:ilvl w:val="0"/>
          <w:numId w:val="2"/>
        </w:numPr>
        <w:spacing w:after="60" w:line="268"/>
        <w:jc w:val="both"/>
      </w:pPr>
      <w:r>
        <w:rPr>
          <w:rFonts w:ascii="Tahoma" w:cs="Tahoma" w:eastAsia="Tahoma" w:hAnsi="Tahoma"/>
          <w:sz w:val="20"/>
          <w:szCs w:val="20"/>
        </w:rPr>
        <w:t xml:space="preserve">Receivers shall keep permit copies, inside the permit box at the job location, always, so that it is available for inspection or cancellation if necessary.</w:t>
      </w:r>
    </w:p>
    <w:p>
      <w:pPr>
        <w:pStyle w:val="Heading1"/>
      </w:pPr>
      <w:bookmarkStart w:id="9006" w:name="_DanToc9006"/>
      <w:r>
        <w:t xml:space="preserve">4.0 Cancelling Permits</w:t>
      </w:r>
      <w:bookmarkEnd w:id="9006"/>
    </w:p>
    <w:p>
      <w:pPr>
        <w:pStyle w:val="ListParagraph"/>
        <w:numPr>
          <w:ilvl w:val="0"/>
          <w:numId w:val="2"/>
        </w:numPr>
        <w:spacing w:after="60" w:line="268"/>
        <w:jc w:val="both"/>
      </w:pPr>
      <w:r>
        <w:rPr>
          <w:rFonts w:ascii="Tahoma" w:cs="Tahoma" w:eastAsia="Tahoma" w:hAnsi="Tahoma"/>
          <w:sz w:val="20"/>
          <w:szCs w:val="20"/>
        </w:rPr>
        <w:t xml:space="preserve">Work permit(s) shall be immediately canceled, the work stopped, and new permit(s) issued if a change occurs in the work activities or site conditions that could potentially create an additional hazard to personnel, damage to equipment or facilities, changes in site condition, or harm to the environment.</w:t>
      </w:r>
    </w:p>
    <w:p>
      <w:pPr>
        <w:pStyle w:val="ListParagraph"/>
        <w:numPr>
          <w:ilvl w:val="0"/>
          <w:numId w:val="3"/>
        </w:numPr>
        <w:spacing w:after="40" w:line="264"/>
      </w:pPr>
      <w:r>
        <w:rPr>
          <w:rFonts w:ascii="Tahoma" w:cs="Tahoma" w:eastAsia="Tahoma" w:hAnsi="Tahoma"/>
          <w:sz w:val="18"/>
          <w:szCs w:val="18"/>
        </w:rPr>
        <w:t xml:space="preserve">When work is stopped the issuer must obtain the work permit, and write on the permit the reason for the work cancelation, the time, and other relevant information.</w:t>
      </w:r>
    </w:p>
    <w:p>
      <w:pPr>
        <w:pStyle w:val="ListParagraph"/>
        <w:numPr>
          <w:ilvl w:val="0"/>
          <w:numId w:val="3"/>
        </w:numPr>
        <w:spacing w:after="40" w:line="264"/>
      </w:pPr>
      <w:r>
        <w:rPr>
          <w:rFonts w:ascii="Tahoma" w:cs="Tahoma" w:eastAsia="Tahoma" w:hAnsi="Tahoma"/>
          <w:sz w:val="18"/>
          <w:szCs w:val="18"/>
        </w:rPr>
        <w:t xml:space="preserve">The issuer and receiver shall take action to correct deficiencies to allow the job to resume.</w:t>
      </w:r>
    </w:p>
    <w:p>
      <w:pPr>
        <w:pStyle w:val="ListParagraph"/>
        <w:numPr>
          <w:ilvl w:val="0"/>
          <w:numId w:val="3"/>
        </w:numPr>
        <w:spacing w:after="40" w:line="264"/>
      </w:pPr>
      <w:r>
        <w:rPr>
          <w:rFonts w:ascii="Tahoma" w:cs="Tahoma" w:eastAsia="Tahoma" w:hAnsi="Tahoma"/>
          <w:sz w:val="18"/>
          <w:szCs w:val="18"/>
        </w:rPr>
        <w:t xml:space="preserve">When all deficiencies have been corrected, the issuer shall issue a new work permit(s).</w:t>
      </w:r>
    </w:p>
    <w:p>
      <w:pPr>
        <w:pStyle w:val="ListParagraph"/>
        <w:numPr>
          <w:ilvl w:val="0"/>
          <w:numId w:val="2"/>
        </w:numPr>
        <w:spacing w:after="60" w:line="268"/>
        <w:jc w:val="both"/>
      </w:pPr>
      <w:r>
        <w:rPr>
          <w:rFonts w:ascii="Tahoma" w:cs="Tahoma" w:eastAsia="Tahoma" w:hAnsi="Tahoma"/>
          <w:sz w:val="20"/>
          <w:szCs w:val="20"/>
        </w:rPr>
        <w:t xml:space="preserve">The issuer and/or receiver has the responsibility to stop work any time the job site does not meet the work permit conditions or any applicable DAN safety and health requirements. The issuer and/or receiver shall take action to correct the deficiencies before work can resume.</w:t>
      </w:r>
    </w:p>
    <w:p>
      <w:pPr>
        <w:pStyle w:val="ListParagraph"/>
        <w:numPr>
          <w:ilvl w:val="0"/>
          <w:numId w:val="2"/>
        </w:numPr>
        <w:spacing w:after="60" w:line="268"/>
        <w:jc w:val="both"/>
      </w:pPr>
      <w:r>
        <w:rPr>
          <w:rFonts w:ascii="Tahoma" w:cs="Tahoma" w:eastAsia="Tahoma" w:hAnsi="Tahoma"/>
          <w:sz w:val="20"/>
          <w:szCs w:val="20"/>
        </w:rPr>
        <w:t xml:space="preserve">In the event of an emergency, all work permits are canceled within the area affected by the emergency condition and as specified by the Incident Commander.</w:t>
      </w:r>
    </w:p>
    <w:p>
      <w:pPr>
        <w:pStyle w:val="Heading1"/>
      </w:pPr>
      <w:bookmarkStart w:id="9007" w:name="_DanToc9007"/>
      <w:r>
        <w:t xml:space="preserve">5.0 Closing Out and Filing the Permit</w:t>
      </w:r>
      <w:bookmarkEnd w:id="9007"/>
    </w:p>
    <w:p>
      <w:pPr>
        <w:pStyle w:val="ListParagraph"/>
        <w:numPr>
          <w:ilvl w:val="0"/>
          <w:numId w:val="2"/>
        </w:numPr>
        <w:spacing w:after="60" w:line="268"/>
        <w:jc w:val="both"/>
      </w:pPr>
      <w:r>
        <w:rPr>
          <w:rFonts w:ascii="Tahoma" w:cs="Tahoma" w:eastAsia="Tahoma" w:hAnsi="Tahoma"/>
          <w:sz w:val="20"/>
          <w:szCs w:val="20"/>
        </w:rPr>
        <w:t xml:space="preserve">After completion of the job or when the permit’s duration has expired, the issuer shall Revision No.:2 DAN- CONST-OHSMS-MINR58-PTW Date of Issue: Jan. 2023 Page No(s) 6 of 7 ensure a joint site inspection has been conducted with the receiver to verify that the work area has been left in a safe and secure condition before the work permit can be closed.</w:t>
      </w:r>
    </w:p>
    <w:p>
      <w:pPr>
        <w:pStyle w:val="ListParagraph"/>
        <w:numPr>
          <w:ilvl w:val="0"/>
          <w:numId w:val="2"/>
        </w:numPr>
        <w:spacing w:after="60" w:line="268"/>
        <w:jc w:val="both"/>
      </w:pPr>
      <w:r>
        <w:rPr>
          <w:rFonts w:ascii="Tahoma" w:cs="Tahoma" w:eastAsia="Tahoma" w:hAnsi="Tahoma"/>
          <w:sz w:val="20"/>
          <w:szCs w:val="20"/>
        </w:rPr>
        <w:t xml:space="preserve">During activities involving cutting, welding, or open flame, the 30-minute fire watch period must be completed prior to closing the permit.</w:t>
      </w:r>
    </w:p>
    <w:p>
      <w:pPr>
        <w:pStyle w:val="ListParagraph"/>
        <w:numPr>
          <w:ilvl w:val="0"/>
          <w:numId w:val="2"/>
        </w:numPr>
        <w:spacing w:after="60" w:line="268"/>
        <w:jc w:val="both"/>
      </w:pPr>
      <w:r>
        <w:rPr>
          <w:rFonts w:ascii="Tahoma" w:cs="Tahoma" w:eastAsia="Tahoma" w:hAnsi="Tahoma"/>
          <w:sz w:val="20"/>
          <w:szCs w:val="20"/>
        </w:rPr>
        <w:t xml:space="preserve">Work permits shall be closed by both the issuer and receiver signing the permit form.</w:t>
      </w:r>
    </w:p>
    <w:p>
      <w:pPr>
        <w:pStyle w:val="ListParagraph"/>
        <w:numPr>
          <w:ilvl w:val="0"/>
          <w:numId w:val="2"/>
        </w:numPr>
        <w:spacing w:after="60" w:line="268"/>
        <w:jc w:val="both"/>
      </w:pPr>
      <w:r>
        <w:rPr>
          <w:rFonts w:ascii="Tahoma" w:cs="Tahoma" w:eastAsia="Tahoma" w:hAnsi="Tahoma"/>
          <w:sz w:val="20"/>
          <w:szCs w:val="20"/>
        </w:rPr>
        <w:t xml:space="preserve">The original permit shall be maintained on file by the issuer for a minimum of 3 months.</w:t>
      </w:r>
    </w:p>
    <w:p>
      <w:pPr>
        <w:pStyle w:val="Heading1"/>
      </w:pPr>
      <w:bookmarkStart w:id="9008" w:name="_DanToc9008"/>
      <w:r>
        <w:t xml:space="preserve">6.0 Permit Rules</w:t>
      </w:r>
      <w:bookmarkEnd w:id="9008"/>
    </w:p>
    <w:p>
      <w:pPr>
        <w:pStyle w:val="ListParagraph"/>
        <w:numPr>
          <w:ilvl w:val="0"/>
          <w:numId w:val="2"/>
        </w:numPr>
        <w:spacing w:after="60" w:line="268"/>
        <w:jc w:val="both"/>
      </w:pPr>
      <w:r>
        <w:rPr>
          <w:rFonts w:ascii="Tahoma" w:cs="Tahoma" w:eastAsia="Tahoma" w:hAnsi="Tahoma"/>
          <w:sz w:val="20"/>
          <w:szCs w:val="20"/>
        </w:rPr>
        <w:t xml:space="preserve">The issuer and receiver are jointly responsible for the safety of personnel and equipment at the job site. A joint site inspection shall be conducted for all work permits. Work shall not begin before the permit has been properly signed.</w:t>
      </w:r>
    </w:p>
    <w:p>
      <w:pPr>
        <w:pStyle w:val="ListParagraph"/>
        <w:numPr>
          <w:ilvl w:val="0"/>
          <w:numId w:val="2"/>
        </w:numPr>
        <w:spacing w:after="60" w:line="268"/>
        <w:jc w:val="both"/>
      </w:pPr>
      <w:r>
        <w:rPr>
          <w:rFonts w:ascii="Tahoma" w:cs="Tahoma" w:eastAsia="Tahoma" w:hAnsi="Tahoma"/>
          <w:sz w:val="20"/>
          <w:szCs w:val="20"/>
        </w:rPr>
        <w:t xml:space="preserve">The correct permit(s) shall be issued for the job: Hot, Cold, Confined Space, excavation, scaffolds, and/or etc. More than one permit may be required for some jobs.</w:t>
      </w:r>
    </w:p>
    <w:p>
      <w:pPr>
        <w:pStyle w:val="ListParagraph"/>
        <w:numPr>
          <w:ilvl w:val="0"/>
          <w:numId w:val="2"/>
        </w:numPr>
        <w:spacing w:after="60" w:line="268"/>
        <w:jc w:val="both"/>
      </w:pPr>
      <w:r>
        <w:rPr>
          <w:rFonts w:ascii="Tahoma" w:cs="Tahoma" w:eastAsia="Tahoma" w:hAnsi="Tahoma"/>
          <w:sz w:val="20"/>
          <w:szCs w:val="20"/>
        </w:rPr>
        <w:t xml:space="preserve">Job descriptions and equipment to be used shall be clearly stated on the permit(s). Permits shall be issued for specific tasks at specific locations. One permit shall not cover more than one location.</w:t>
      </w:r>
    </w:p>
    <w:p>
      <w:pPr>
        <w:pStyle w:val="ListParagraph"/>
        <w:numPr>
          <w:ilvl w:val="0"/>
          <w:numId w:val="2"/>
        </w:numPr>
        <w:spacing w:after="60" w:line="268"/>
        <w:jc w:val="both"/>
      </w:pPr>
      <w:r>
        <w:rPr>
          <w:rFonts w:ascii="Tahoma" w:cs="Tahoma" w:eastAsia="Tahoma" w:hAnsi="Tahoma"/>
          <w:sz w:val="20"/>
          <w:szCs w:val="20"/>
        </w:rPr>
        <w:t xml:space="preserve">Proper locks and hold tags shall be used where applicable (e.g., multiple clips with locks or chains with locks).</w:t>
      </w:r>
    </w:p>
    <w:p>
      <w:pPr>
        <w:pStyle w:val="ListParagraph"/>
        <w:numPr>
          <w:ilvl w:val="0"/>
          <w:numId w:val="2"/>
        </w:numPr>
        <w:spacing w:after="60" w:line="268"/>
        <w:jc w:val="both"/>
      </w:pPr>
      <w:r>
        <w:rPr>
          <w:rFonts w:ascii="Tahoma" w:cs="Tahoma" w:eastAsia="Tahoma" w:hAnsi="Tahoma"/>
          <w:sz w:val="20"/>
          <w:szCs w:val="20"/>
        </w:rPr>
        <w:t xml:space="preserve">Permits shall be issued for the specific period required to complete the job.</w:t>
      </w:r>
    </w:p>
    <w:p>
      <w:pPr>
        <w:pStyle w:val="ListParagraph"/>
        <w:numPr>
          <w:ilvl w:val="0"/>
          <w:numId w:val="2"/>
        </w:numPr>
        <w:spacing w:after="60" w:line="268"/>
        <w:jc w:val="both"/>
      </w:pPr>
      <w:r>
        <w:rPr>
          <w:rFonts w:ascii="Tahoma" w:cs="Tahoma" w:eastAsia="Tahoma" w:hAnsi="Tahoma"/>
          <w:sz w:val="20"/>
          <w:szCs w:val="20"/>
        </w:rPr>
        <w:t xml:space="preserve">Prior to the start of work, the work permit receiver shall communicate the hazards and precautions, Job Safety Analysis (JSA), for the job, as well as other requirements on the permit, to all workers working under the permit.</w:t>
      </w:r>
    </w:p>
    <w:p>
      <w:pPr>
        <w:pStyle w:val="ListParagraph"/>
        <w:numPr>
          <w:ilvl w:val="0"/>
          <w:numId w:val="2"/>
        </w:numPr>
        <w:spacing w:after="60" w:line="268"/>
        <w:jc w:val="both"/>
      </w:pPr>
      <w:r>
        <w:rPr>
          <w:rFonts w:ascii="Tahoma" w:cs="Tahoma" w:eastAsia="Tahoma" w:hAnsi="Tahoma"/>
          <w:sz w:val="20"/>
          <w:szCs w:val="20"/>
        </w:rPr>
        <w:t xml:space="preserve">Periodic reviews of the job site, including gas testing, shall be conducted as required.</w:t>
      </w:r>
    </w:p>
    <w:p>
      <w:pPr>
        <w:pStyle w:val="ListParagraph"/>
        <w:numPr>
          <w:ilvl w:val="0"/>
          <w:numId w:val="2"/>
        </w:numPr>
        <w:spacing w:after="60" w:line="268"/>
        <w:jc w:val="both"/>
      </w:pPr>
      <w:r>
        <w:rPr>
          <w:rFonts w:ascii="Tahoma" w:cs="Tahoma" w:eastAsia="Tahoma" w:hAnsi="Tahoma"/>
          <w:sz w:val="20"/>
          <w:szCs w:val="20"/>
        </w:rPr>
        <w:t xml:space="preserve">Oncoming shift issuers and receivers shall inspect the job site, write the renewal time, and sign the permits when renewing permits for another shift.</w:t>
      </w:r>
    </w:p>
    <w:p>
      <w:pPr>
        <w:pStyle w:val="ListParagraph"/>
        <w:numPr>
          <w:ilvl w:val="0"/>
          <w:numId w:val="2"/>
        </w:numPr>
        <w:spacing w:after="60" w:line="268"/>
        <w:jc w:val="both"/>
      </w:pPr>
      <w:r>
        <w:rPr>
          <w:rFonts w:ascii="Tahoma" w:cs="Tahoma" w:eastAsia="Tahoma" w:hAnsi="Tahoma"/>
          <w:sz w:val="20"/>
          <w:szCs w:val="20"/>
        </w:rPr>
        <w:t xml:space="preserve">Special requirements and precautions, such as: fire watches, self-contained breathing apparatus (SCBA), lifelines, and/or barricades shall be written on the permit.</w:t>
      </w:r>
    </w:p>
    <w:p>
      <w:pPr>
        <w:pStyle w:val="ListParagraph"/>
        <w:numPr>
          <w:ilvl w:val="0"/>
          <w:numId w:val="2"/>
        </w:numPr>
        <w:spacing w:after="60" w:line="268"/>
        <w:jc w:val="both"/>
      </w:pPr>
      <w:r>
        <w:rPr>
          <w:rFonts w:ascii="Tahoma" w:cs="Tahoma" w:eastAsia="Tahoma" w:hAnsi="Tahoma"/>
          <w:sz w:val="20"/>
          <w:szCs w:val="20"/>
        </w:rPr>
        <w:t xml:space="preserve">During activities that involve cutting, welding, or open flame, a fire watch shall remain in the area for no less than 30 minutes after the hot work is finished.</w:t>
      </w:r>
    </w:p>
    <w:p>
      <w:pPr>
        <w:pStyle w:val="ListParagraph"/>
        <w:numPr>
          <w:ilvl w:val="0"/>
          <w:numId w:val="2"/>
        </w:numPr>
        <w:spacing w:after="60" w:line="268"/>
        <w:jc w:val="both"/>
      </w:pPr>
      <w:r>
        <w:rPr>
          <w:rFonts w:ascii="Tahoma" w:cs="Tahoma" w:eastAsia="Tahoma" w:hAnsi="Tahoma"/>
          <w:sz w:val="20"/>
          <w:szCs w:val="20"/>
        </w:rPr>
        <w:t xml:space="preserve">In the event of an emergency, all active permits in the affected area shall be immediately cancelled and work activities stopped.</w:t>
      </w:r>
    </w:p>
    <w:p>
      <w:pPr>
        <w:pStyle w:val="ListParagraph"/>
        <w:numPr>
          <w:ilvl w:val="0"/>
          <w:numId w:val="2"/>
        </w:numPr>
        <w:spacing w:after="60" w:line="268"/>
        <w:jc w:val="both"/>
      </w:pPr>
      <w:r>
        <w:rPr>
          <w:rFonts w:ascii="Tahoma" w:cs="Tahoma" w:eastAsia="Tahoma" w:hAnsi="Tahoma"/>
          <w:sz w:val="20"/>
          <w:szCs w:val="20"/>
        </w:rPr>
        <w:t xml:space="preserve">Work areas shall be cleared of nonessential personnel to avoid exposing them to Revision No.:2 DAN- CONST-OHSMS-MINR58-PTW Date of Issue: Jan. 2023 Page No(s) 7 of 7 unnecessary hazards.</w:t>
      </w:r>
    </w:p>
    <w:p>
      <w:pPr>
        <w:pStyle w:val="ListParagraph"/>
        <w:numPr>
          <w:ilvl w:val="0"/>
          <w:numId w:val="2"/>
        </w:numPr>
        <w:spacing w:after="60" w:line="268"/>
        <w:jc w:val="both"/>
      </w:pPr>
      <w:r>
        <w:rPr>
          <w:rFonts w:ascii="Tahoma" w:cs="Tahoma" w:eastAsia="Tahoma" w:hAnsi="Tahoma"/>
          <w:sz w:val="20"/>
          <w:szCs w:val="20"/>
        </w:rPr>
        <w:t xml:space="preserve">The issuer or receiver shall stop work and cancel the permit if there are changes in the work activities or site conditions that could potentially create an additional hazard to personnel, damage to equipment or facilities, disruption in activities, or harm to the environment. If a permit is canceled, a new permit shall be issued after the work site has been made safe</w:t>
      </w:r>
    </w:p>
    <w:p>
      <w:pPr>
        <w:pStyle w:val="Heading1"/>
      </w:pPr>
      <w:bookmarkStart w:id="9009" w:name="_DanToc9009"/>
      <w:r>
        <w:t xml:space="preserve">Standards</w:t>
      </w:r>
      <w:bookmarkEnd w:id="9009"/>
    </w:p>
    <w:p>
      <w:pPr>
        <w:pStyle w:val="ListParagraph"/>
        <w:numPr>
          <w:ilvl w:val="0"/>
          <w:numId w:val="2"/>
        </w:numPr>
        <w:spacing w:after="60" w:line="268"/>
        <w:jc w:val="both"/>
      </w:pPr>
      <w:r>
        <w:rPr>
          <w:rFonts w:ascii="Tahoma" w:cs="Tahoma" w:eastAsia="Tahoma" w:hAnsi="Tahoma"/>
          <w:sz w:val="20"/>
          <w:szCs w:val="20"/>
        </w:rPr>
        <w:t xml:space="preserve">• DAN Construction HSE Management System Manual (01-000001-000000-DAN-HSE-MAN-000001) and management procedures.</w:t>
      </w:r>
    </w:p>
    <w:p>
      <w:pPr>
        <w:pStyle w:val="ListParagraph"/>
        <w:numPr>
          <w:ilvl w:val="0"/>
          <w:numId w:val="2"/>
        </w:numPr>
        <w:spacing w:after="60" w:line="268"/>
        <w:jc w:val="both"/>
      </w:pPr>
      <w:r>
        <w:rPr>
          <w:rFonts w:ascii="Tahoma" w:cs="Tahoma" w:eastAsia="Tahoma" w:hAnsi="Tahoma"/>
          <w:sz w:val="20"/>
          <w:szCs w:val="20"/>
        </w:rPr>
        <w:t xml:space="preserve">• Saudi Labour Law – Royal Decree No. M/51, 23 Sha’ban 1426 / 27 September 2005</w:t>
      </w:r>
    </w:p>
    <w:p>
      <w:pPr>
        <w:pStyle w:val="Heading1"/>
      </w:pPr>
      <w:bookmarkStart w:id="9010" w:name="_DanToc9010"/>
      <w:r>
        <w:t xml:space="preserve">Tools and References</w:t>
      </w:r>
      <w:bookmarkEnd w:id="9010"/>
    </w:p>
    <w:p>
      <w:pPr>
        <w:pStyle w:val="ListParagraph"/>
        <w:numPr>
          <w:ilvl w:val="0"/>
          <w:numId w:val="2"/>
        </w:numPr>
        <w:spacing w:after="60" w:line="268"/>
        <w:jc w:val="both"/>
      </w:pPr>
      <w:r>
        <w:rPr>
          <w:rFonts w:ascii="Tahoma" w:cs="Tahoma" w:eastAsia="Tahoma" w:hAnsi="Tahoma"/>
          <w:sz w:val="20"/>
          <w:szCs w:val="20"/>
        </w:rPr>
        <w:t xml:space="preserve">Permit to Work Procedure</w:t>
      </w:r>
    </w:p>
    <w:p>
      <w:pPr>
        <w:pStyle w:val="ListParagraph"/>
        <w:numPr>
          <w:ilvl w:val="0"/>
          <w:numId w:val="2"/>
        </w:numPr>
        <w:spacing w:after="60" w:line="268"/>
        <w:jc w:val="both"/>
      </w:pPr>
      <w:r>
        <w:rPr>
          <w:rFonts w:ascii="Tahoma" w:cs="Tahoma" w:eastAsia="Tahoma" w:hAnsi="Tahoma"/>
          <w:sz w:val="20"/>
          <w:szCs w:val="20"/>
        </w:rPr>
        <w:t xml:space="preserve">Permit to work training record</w:t>
      </w:r>
    </w:p>
    <w:p>
      <w:pPr>
        <w:pStyle w:val="ListParagraph"/>
        <w:numPr>
          <w:ilvl w:val="0"/>
          <w:numId w:val="2"/>
        </w:numPr>
        <w:spacing w:after="60" w:line="268"/>
        <w:jc w:val="both"/>
      </w:pPr>
      <w:r>
        <w:rPr>
          <w:rFonts w:ascii="Tahoma" w:cs="Tahoma" w:eastAsia="Tahoma" w:hAnsi="Tahoma"/>
          <w:sz w:val="20"/>
          <w:szCs w:val="20"/>
        </w:rPr>
        <w:t xml:space="preserve">PTW Register and Revalidation Register</w:t>
      </w:r>
    </w:p>
    <w:p>
      <w:pPr>
        <w:pStyle w:val="ListParagraph"/>
        <w:numPr>
          <w:ilvl w:val="0"/>
          <w:numId w:val="2"/>
        </w:numPr>
        <w:spacing w:after="60" w:line="268"/>
        <w:jc w:val="both"/>
      </w:pPr>
      <w:r>
        <w:rPr>
          <w:rFonts w:ascii="Tahoma" w:cs="Tahoma" w:eastAsia="Tahoma" w:hAnsi="Tahoma"/>
          <w:sz w:val="20"/>
          <w:szCs w:val="20"/>
        </w:rPr>
        <w:t xml:space="preserve">OSHA Regulation 1926.1205 Permit Process</w:t>
      </w:r>
    </w:p>
    <w:p>
      <w:pPr>
        <w:pStyle w:val="ListParagraph"/>
        <w:numPr>
          <w:ilvl w:val="0"/>
          <w:numId w:val="2"/>
        </w:numPr>
        <w:spacing w:after="60" w:line="268"/>
        <w:jc w:val="both"/>
      </w:pPr>
      <w:r>
        <w:rPr>
          <w:rFonts w:ascii="Tahoma" w:cs="Tahoma" w:eastAsia="Tahoma" w:hAnsi="Tahoma"/>
          <w:sz w:val="20"/>
          <w:szCs w:val="20"/>
        </w:rPr>
        <w:t xml:space="preserve">NFPA standard 51B &amp; OSHA regulations 1917.152 Hot work</w:t>
      </w:r>
    </w:p>
    <w:p>
      <w:pPr>
        <w:pStyle w:val="Heading1"/>
      </w:pPr>
      <w:bookmarkStart w:id="9011" w:name="_DanToc9011"/>
      <w:r>
        <w:t xml:space="preserve">Revision History</w:t>
      </w:r>
      <w:bookmarkEnd w:id="901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 issue — DAN HSE Minimum Requirement, adapted from the source OH&amp;S minimum requirement, re-branded to DAN and coded to the DAN document-numbering convention (01-000001-000000-DAN-HSE-MNR-{seq}).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Manager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HSE Minimum Requirement — Permit to Work</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01-000001-000000-DAN-HSE-MNR-000021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Permit to Work</dc:title>
  <dc:creator>DAN HSSE Management System</dc:creator>
  <cp:lastModifiedBy>Un-named</cp:lastModifiedBy>
  <cp:revision>1</cp:revision>
  <dcterms:created xsi:type="dcterms:W3CDTF">2026-09-01T08:48:14.899Z</dcterms:created>
  <dcterms:modified xsi:type="dcterms:W3CDTF">2026-09-01T08:48:14.899Z</dcterms:modified>
</cp:coreProperties>
</file>

<file path=docProps/custom.xml><?xml version="1.0" encoding="utf-8"?>
<Properties xmlns="http://schemas.openxmlformats.org/officeDocument/2006/custom-properties" xmlns:vt="http://schemas.openxmlformats.org/officeDocument/2006/docPropsVTypes"/>
</file>