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Emergency Planning and Response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01-000001-000000-DAN-PRC-HSE-000013-ERP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guidelines for creating an Emergency Preparedness and Response Plan that establishes effective emergency response and safe evacuation protocols for project sites, and gives personnel and visitors the information to recognise, respond to, control and report emergencies.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project sites. Every site shall have a site-specific written Emergency Preparedness and Response Plan in place before operations begin; the plan shall be available to all personnel and serves as the basis for training and drills.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Fire Prevention and Protection</w:t>
      </w:r>
    </w:p>
    <w:p>
      <w:pPr>
        <w:pStyle w:val="ListParagraph"/>
        <w:numPr>
          <w:ilvl w:val="0"/>
          <w:numId w:val="2"/>
        </w:numPr>
        <w:spacing w:after="60" w:line="268"/>
        <w:jc w:val="both"/>
      </w:pPr>
      <w:r>
        <w:rPr>
          <w:rFonts w:ascii="Tahoma" w:cs="Tahoma" w:eastAsia="Tahoma" w:hAnsi="Tahoma"/>
          <w:sz w:val="20"/>
          <w:szCs w:val="20"/>
        </w:rPr>
        <w:t xml:space="preserve">Saudi Arabian Labour Law and Civil Defence specifications</w:t>
      </w:r>
    </w:p>
    <w:p>
      <w:pPr>
        <w:pStyle w:val="Heading1"/>
      </w:pPr>
      <w:r>
        <w:t xml:space="preserve">4. Deliverable</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w:t>
      </w:r>
    </w:p>
    <w:p>
      <w:pPr>
        <w:pStyle w:val="Heading1"/>
      </w:pPr>
      <w:r>
        <w:t xml:space="preserve">5. Plan Requirements</w:t>
      </w:r>
    </w:p>
    <w:p>
      <w:pPr>
        <w:spacing w:after="120" w:line="276"/>
        <w:jc w:val="both"/>
      </w:pPr>
      <w:r>
        <w:rPr>
          <w:rFonts w:ascii="Tahoma" w:cs="Tahoma" w:eastAsia="Tahoma" w:hAnsi="Tahoma"/>
          <w:sz w:val="20"/>
          <w:szCs w:val="20"/>
        </w:rPr>
        <w:t xml:space="preserve">As a legal requirement, the CONTRACTOR shall prepare an Emergency Preparedness and Response Plan for the project including, but not limited to:</w:t>
      </w:r>
    </w:p>
    <w:p>
      <w:pPr>
        <w:pStyle w:val="ListParagraph"/>
        <w:numPr>
          <w:ilvl w:val="0"/>
          <w:numId w:val="2"/>
        </w:numPr>
        <w:spacing w:after="60" w:line="268"/>
        <w:jc w:val="both"/>
      </w:pPr>
      <w:r>
        <w:rPr>
          <w:rFonts w:ascii="Tahoma" w:cs="Tahoma" w:eastAsia="Tahoma" w:hAnsi="Tahoma"/>
          <w:sz w:val="20"/>
          <w:szCs w:val="20"/>
        </w:rPr>
        <w:t xml:space="preserve">Roles and responsibilities; risk assessment and hazard identification;</w:t>
      </w:r>
    </w:p>
    <w:p>
      <w:pPr>
        <w:pStyle w:val="ListParagraph"/>
        <w:numPr>
          <w:ilvl w:val="0"/>
          <w:numId w:val="2"/>
        </w:numPr>
        <w:spacing w:after="60" w:line="268"/>
        <w:jc w:val="both"/>
      </w:pPr>
      <w:r>
        <w:rPr>
          <w:rFonts w:ascii="Tahoma" w:cs="Tahoma" w:eastAsia="Tahoma" w:hAnsi="Tahoma"/>
          <w:sz w:val="20"/>
          <w:szCs w:val="20"/>
        </w:rPr>
        <w:t xml:space="preserve">Coordination with outside emergency-response organisations; emergency-response equipment;</w:t>
      </w:r>
    </w:p>
    <w:p>
      <w:pPr>
        <w:pStyle w:val="ListParagraph"/>
        <w:numPr>
          <w:ilvl w:val="0"/>
          <w:numId w:val="2"/>
        </w:numPr>
        <w:spacing w:after="60" w:line="268"/>
        <w:jc w:val="both"/>
      </w:pPr>
      <w:r>
        <w:rPr>
          <w:rFonts w:ascii="Tahoma" w:cs="Tahoma" w:eastAsia="Tahoma" w:hAnsi="Tahoma"/>
          <w:sz w:val="20"/>
          <w:szCs w:val="20"/>
        </w:rPr>
        <w:t xml:space="preserve">Site alerts and fire alarms; evacuation and exit routes (including routes for emergency vehicles);</w:t>
      </w:r>
    </w:p>
    <w:p>
      <w:pPr>
        <w:pStyle w:val="ListParagraph"/>
        <w:numPr>
          <w:ilvl w:val="0"/>
          <w:numId w:val="2"/>
        </w:numPr>
        <w:spacing w:after="60" w:line="268"/>
        <w:jc w:val="both"/>
      </w:pPr>
      <w:r>
        <w:rPr>
          <w:rFonts w:ascii="Tahoma" w:cs="Tahoma" w:eastAsia="Tahoma" w:hAnsi="Tahoma"/>
          <w:sz w:val="20"/>
          <w:szCs w:val="20"/>
        </w:rPr>
        <w:t xml:space="preserve">Tests of the plan; medical facilities; and a count of personnel after evacuation.</w:t>
      </w:r>
    </w:p>
    <w:p>
      <w:pPr>
        <w:pStyle w:val="ListParagraph"/>
        <w:numPr>
          <w:ilvl w:val="0"/>
          <w:numId w:val="2"/>
        </w:numPr>
        <w:spacing w:after="60" w:line="268"/>
        <w:jc w:val="both"/>
      </w:pPr>
      <w:r>
        <w:rPr>
          <w:rFonts w:ascii="Tahoma" w:cs="Tahoma" w:eastAsia="Tahoma" w:hAnsi="Tahoma"/>
          <w:sz w:val="20"/>
          <w:szCs w:val="20"/>
        </w:rPr>
        <w:t xml:space="preserve">Emergency events: medical, fire, security (including bomb threat), severe weather, natural hazards, power failure, environmental spills/release, confined-space rescue, excavation rescue, work-at-height rescue and tower-crane rescue.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All personnel shall be continuously provided with valid medical health insurance per the KSA Ministry of Health and labour law; documentary evidence shall be presented to DAN monthly or on request.</w:t>
      </w:r>
    </w:p>
    <w:p>
      <w:pPr>
        <w:pStyle w:val="Heading1"/>
      </w:pPr>
      <w:r>
        <w:t xml:space="preserve">6. Emergency Categories</w:t>
      </w:r>
    </w:p>
    <w:p>
      <w:pPr>
        <w:pStyle w:val="Heading2"/>
      </w:pPr>
      <w:r>
        <w:t xml:space="preserve">6.1 Medical</w:t>
      </w:r>
    </w:p>
    <w:p>
      <w:pPr>
        <w:spacing w:after="120" w:line="276"/>
        <w:jc w:val="both"/>
      </w:pPr>
      <w:r>
        <w:rPr>
          <w:rFonts w:ascii="Tahoma" w:cs="Tahoma" w:eastAsia="Tahoma" w:hAnsi="Tahoma"/>
          <w:sz w:val="20"/>
          <w:szCs w:val="20"/>
        </w:rPr>
        <w:t xml:space="preserve">Identify medical services in the plan, including the provider and transport service, contact information, proximity, directions and likely response times. First aid is provided on-site for minor injuries; serious injuries are treated at a professional facility. In a medical emergency, first-aid providers assess the situation, administer triage, contact external emergency medical personnel, collect information to assist diagnosis, and wait with the injured person for transport.</w:t>
      </w:r>
    </w:p>
    <w:p>
      <w:pPr>
        <w:pStyle w:val="Heading2"/>
      </w:pPr>
      <w:r>
        <w:t xml:space="preserve">6.2 Fire</w:t>
      </w:r>
    </w:p>
    <w:p>
      <w:pPr>
        <w:spacing w:after="120" w:line="276"/>
        <w:jc w:val="both"/>
      </w:pPr>
      <w:r>
        <w:rPr>
          <w:rFonts w:ascii="Tahoma" w:cs="Tahoma" w:eastAsia="Tahoma" w:hAnsi="Tahoma"/>
          <w:sz w:val="20"/>
          <w:szCs w:val="20"/>
        </w:rPr>
        <w:t xml:space="preserve">Determine the fire response and protection plan, including the size/quantity of explosives and flammables, loading/storage/use areas, fixed fire-protection systems, potential staffing, local fire-response capabilities, training and equipment.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DAN does not maintain fire brigades and relies on local fire-response facilities. Provisions for small, contained fires are limited to fire extinguishers or small hoses, with no entry into burning structures. Localised response is appropriate only where large quantities of flammables/explosives are not involved and local fire-response capabilities are adequate and nearby.</w:t>
      </w:r>
    </w:p>
    <w:p>
      <w:pPr>
        <w:pStyle w:val="Heading2"/>
      </w:pPr>
      <w:r>
        <w:t xml:space="preserve">6.3 Environmental Spills / Releases</w:t>
      </w:r>
    </w:p>
    <w:p>
      <w:pPr>
        <w:spacing w:after="120" w:line="276"/>
        <w:jc w:val="both"/>
      </w:pPr>
      <w:r>
        <w:rPr>
          <w:rFonts w:ascii="Tahoma" w:cs="Tahoma" w:eastAsia="Tahoma" w:hAnsi="Tahoma"/>
          <w:sz w:val="20"/>
          <w:szCs w:val="20"/>
        </w:rPr>
        <w:t xml:space="preserve">Prepare a plan for responding to environmental spills/releases, considering the toxic effects and quantity of hazardous chemicals on-site, their location, proximity to off-site populations, prevailing meteorology, sensitive environmental receptors, available responders, training and response equipment. Contact the local KSA fire department to determine the availability of environmental emergency-response firms and mutual-aid responders.</w:t>
      </w:r>
    </w:p>
    <w:p>
      <w:pPr>
        <w:pStyle w:val="Heading2"/>
      </w:pPr>
      <w:r>
        <w:t xml:space="preserve">6.4 Natural Hazards</w:t>
      </w:r>
    </w:p>
    <w:p>
      <w:pPr>
        <w:spacing w:after="120" w:line="276"/>
        <w:jc w:val="both"/>
      </w:pPr>
      <w:r>
        <w:rPr>
          <w:rFonts w:ascii="Tahoma" w:cs="Tahoma" w:eastAsia="Tahoma" w:hAnsi="Tahoma"/>
          <w:sz w:val="20"/>
          <w:szCs w:val="20"/>
        </w:rPr>
        <w:t xml:space="preserve">Consider every natural hazard presented by the locale and include emergency provisions for each in the plan — e.g. flooding, thunderstorms, sandstorms, earthquakes and adverse weather.</w:t>
      </w:r>
    </w:p>
    <w:p>
      <w:pPr>
        <w:pStyle w:val="Heading1"/>
      </w:pPr>
      <w:r>
        <w:t xml:space="preserve">7. Plan Components</w:t>
      </w:r>
    </w:p>
    <w:p>
      <w:pPr>
        <w:pStyle w:val="Heading2"/>
      </w:pPr>
      <w:r>
        <w:t xml:space="preserve">7.1 Alarms</w:t>
      </w:r>
    </w:p>
    <w:p>
      <w:pPr>
        <w:pStyle w:val="ListParagraph"/>
        <w:numPr>
          <w:ilvl w:val="0"/>
          <w:numId w:val="2"/>
        </w:numPr>
        <w:spacing w:after="60" w:line="268"/>
        <w:jc w:val="both"/>
      </w:pPr>
      <w:r>
        <w:rPr>
          <w:rFonts w:ascii="Tahoma" w:cs="Tahoma" w:eastAsia="Tahoma" w:hAnsi="Tahoma"/>
          <w:sz w:val="20"/>
          <w:szCs w:val="20"/>
        </w:rPr>
        <w:t xml:space="preserve">Every site shall have and maintain an alarm system with distinctive signals for emergency/fire/evacuate-to-assembly, shelter-in-place/stop-work/stand-by, and all-clear.</w:t>
      </w:r>
    </w:p>
    <w:p>
      <w:pPr>
        <w:pStyle w:val="ListParagraph"/>
        <w:numPr>
          <w:ilvl w:val="0"/>
          <w:numId w:val="2"/>
        </w:numPr>
        <w:spacing w:after="60" w:line="268"/>
        <w:jc w:val="both"/>
      </w:pPr>
      <w:r>
        <w:rPr>
          <w:rFonts w:ascii="Tahoma" w:cs="Tahoma" w:eastAsia="Tahoma" w:hAnsi="Tahoma"/>
          <w:sz w:val="20"/>
          <w:szCs w:val="20"/>
        </w:rPr>
        <w:t xml:space="preserve">The system shall notify every person on-site by auditory, visual or other means; where it cannot reach all areas, alternative notification (radios or phones) shall be used.</w:t>
      </w:r>
    </w:p>
    <w:p>
      <w:pPr>
        <w:pStyle w:val="ListParagraph"/>
        <w:numPr>
          <w:ilvl w:val="0"/>
          <w:numId w:val="2"/>
        </w:numPr>
        <w:spacing w:after="60" w:line="268"/>
        <w:jc w:val="both"/>
      </w:pPr>
      <w:r>
        <w:rPr>
          <w:rFonts w:ascii="Tahoma" w:cs="Tahoma" w:eastAsia="Tahoma" w:hAnsi="Tahoma"/>
          <w:sz w:val="20"/>
          <w:szCs w:val="20"/>
        </w:rPr>
        <w:t xml:space="preserve">Auditory alarms shall be discernible above ambient noise (a target of more than 6 dB above background).</w:t>
      </w:r>
    </w:p>
    <w:p>
      <w:pPr>
        <w:pStyle w:val="Heading2"/>
      </w:pPr>
      <w:r>
        <w:t xml:space="preserve">7.2 Response Provisions and Decision Matrix</w:t>
      </w:r>
    </w:p>
    <w:p>
      <w:pPr>
        <w:spacing w:after="120" w:line="276"/>
        <w:jc w:val="both"/>
      </w:pPr>
      <w:r>
        <w:rPr>
          <w:rFonts w:ascii="Tahoma" w:cs="Tahoma" w:eastAsia="Tahoma" w:hAnsi="Tahoma"/>
          <w:sz w:val="20"/>
          <w:szCs w:val="20"/>
        </w:rPr>
        <w:t xml:space="preserve">Develop and post an overall map of exit routes and assembly point(s). Establish procedures for an orderly shutdown of work on the emergency signal — securing equipment, turning off heating/gas and other hazardous devices, and evacuating to assembly areas. The following decision matrix may be included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Emergency</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Time for Shutdown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Shelter in Place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Evacuate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Evacuate Immediately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Medical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Fire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Explosives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High-Hazard Chemical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High Winds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Flood</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Earthquake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Sandstorm</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bl>
    <w:p>
      <w:pPr>
        <w:pStyle w:val="Heading2"/>
      </w:pPr>
      <w:r>
        <w:t xml:space="preserve">7.3 Evacuation and Assembly</w:t>
      </w:r>
    </w:p>
    <w:p>
      <w:pPr>
        <w:pStyle w:val="ListParagraph"/>
        <w:numPr>
          <w:ilvl w:val="0"/>
          <w:numId w:val="2"/>
        </w:numPr>
        <w:spacing w:after="60" w:line="268"/>
        <w:jc w:val="both"/>
      </w:pPr>
      <w:r>
        <w:rPr>
          <w:rFonts w:ascii="Tahoma" w:cs="Tahoma" w:eastAsia="Tahoma" w:hAnsi="Tahoma"/>
          <w:sz w:val="20"/>
          <w:szCs w:val="20"/>
        </w:rPr>
        <w:t xml:space="preserve">Assign definite assembly locations close enough for access but far enough from potential disaster areas to afford protection, with an alternate assembly point free from obstructions.</w:t>
      </w:r>
    </w:p>
    <w:p>
      <w:pPr>
        <w:pStyle w:val="ListParagraph"/>
        <w:numPr>
          <w:ilvl w:val="0"/>
          <w:numId w:val="2"/>
        </w:numPr>
        <w:spacing w:after="60" w:line="268"/>
        <w:jc w:val="both"/>
      </w:pPr>
      <w:r>
        <w:rPr>
          <w:rFonts w:ascii="Tahoma" w:cs="Tahoma" w:eastAsia="Tahoma" w:hAnsi="Tahoma"/>
          <w:sz w:val="20"/>
          <w:szCs w:val="20"/>
        </w:rPr>
        <w:t xml:space="preserve">Designate and train evacuation wardens in advance — one warden per twenty people; wardens oversee evacuation, check enclosed spaces for trapped persons, and account for all personnel afterwards, reporting any missing person to the emergency-response coordinator.</w:t>
      </w:r>
    </w:p>
    <w:p>
      <w:pPr>
        <w:pStyle w:val="ListParagraph"/>
        <w:numPr>
          <w:ilvl w:val="0"/>
          <w:numId w:val="2"/>
        </w:numPr>
        <w:spacing w:after="60" w:line="268"/>
        <w:jc w:val="both"/>
      </w:pPr>
      <w:r>
        <w:rPr>
          <w:rFonts w:ascii="Tahoma" w:cs="Tahoma" w:eastAsia="Tahoma" w:hAnsi="Tahoma"/>
          <w:sz w:val="20"/>
          <w:szCs w:val="20"/>
        </w:rPr>
        <w:t xml:space="preserve">Personnel remain at assembly areas until an “all clear” is given; wardens inform personnel of the emergency type and plans for resumption or suspension of work.</w:t>
      </w:r>
    </w:p>
    <w:p>
      <w:pPr>
        <w:pStyle w:val="Heading2"/>
      </w:pPr>
      <w:r>
        <w:t xml:space="preserve">7.4 Exits and Exit Routes</w:t>
      </w:r>
    </w:p>
    <w:p>
      <w:pPr>
        <w:pStyle w:val="ListParagraph"/>
        <w:numPr>
          <w:ilvl w:val="0"/>
          <w:numId w:val="2"/>
        </w:numPr>
        <w:spacing w:after="60" w:line="268"/>
        <w:jc w:val="both"/>
      </w:pPr>
      <w:r>
        <w:rPr>
          <w:rFonts w:ascii="Tahoma" w:cs="Tahoma" w:eastAsia="Tahoma" w:hAnsi="Tahoma"/>
          <w:sz w:val="20"/>
          <w:szCs w:val="20"/>
        </w:rPr>
        <w:t xml:space="preserve">Exit routes, discharges and doors shall be sufficient in number and located for safe evacuation per Saudi Civil Defence specifications, adequately lit, and each exit clearly marked “EXIT”.</w:t>
      </w:r>
    </w:p>
    <w:p>
      <w:pPr>
        <w:pStyle w:val="ListParagraph"/>
        <w:numPr>
          <w:ilvl w:val="0"/>
          <w:numId w:val="2"/>
        </w:numPr>
        <w:spacing w:after="60" w:line="268"/>
        <w:jc w:val="both"/>
      </w:pPr>
      <w:r>
        <w:rPr>
          <w:rFonts w:ascii="Tahoma" w:cs="Tahoma" w:eastAsia="Tahoma" w:hAnsi="Tahoma"/>
          <w:sz w:val="20"/>
          <w:szCs w:val="20"/>
        </w:rPr>
        <w:t xml:space="preserve">Exit routes shall remain unobstructed and may never be blocked by materials of any kind.</w:t>
      </w:r>
    </w:p>
    <w:p>
      <w:pPr>
        <w:pStyle w:val="ListParagraph"/>
        <w:numPr>
          <w:ilvl w:val="0"/>
          <w:numId w:val="2"/>
        </w:numPr>
        <w:spacing w:after="60" w:line="268"/>
        <w:jc w:val="both"/>
      </w:pPr>
      <w:r>
        <w:rPr>
          <w:rFonts w:ascii="Tahoma" w:cs="Tahoma" w:eastAsia="Tahoma" w:hAnsi="Tahoma"/>
          <w:sz w:val="20"/>
          <w:szCs w:val="20"/>
        </w:rPr>
        <w:t xml:space="preserve">Safeguards (sprinklers, alarms, fire doors, exit lighting) shall always be in proper working order.</w:t>
      </w:r>
    </w:p>
    <w:p>
      <w:pPr>
        <w:pStyle w:val="Heading1"/>
      </w:pPr>
      <w:r>
        <w:t xml:space="preserve">8. Reporting an Emergency</w:t>
      </w:r>
    </w:p>
    <w:p>
      <w:pPr>
        <w:spacing w:after="120" w:line="276"/>
        <w:jc w:val="both"/>
      </w:pPr>
      <w:r>
        <w:rPr>
          <w:rFonts w:ascii="Tahoma" w:cs="Tahoma" w:eastAsia="Tahoma" w:hAnsi="Tahoma"/>
          <w:sz w:val="20"/>
          <w:szCs w:val="20"/>
        </w:rPr>
        <w:t xml:space="preserve">Report all emergencies immediately per the Accident/Incident Reporting and Investigation chapter. Signs with emergency telephone numbers and reporting procedures shall be posted at the worksite. When reporting by telephone or radio, provide the location, nature of the emergency, type of service required, number of personnel involved, and any information requested by responders.</w:t>
      </w:r>
    </w:p>
    <w:p>
      <w:pPr>
        <w:pStyle w:val="Heading1"/>
      </w:pPr>
      <w:r>
        <w:t xml:space="preserve">9. Emergency Response — All Personnel</w:t>
      </w:r>
    </w:p>
    <w:p>
      <w:pPr>
        <w:spacing w:after="120" w:line="276"/>
        <w:jc w:val="both"/>
      </w:pPr>
      <w:r>
        <w:rPr>
          <w:rFonts w:ascii="Tahoma" w:cs="Tahoma" w:eastAsia="Tahoma" w:hAnsi="Tahoma"/>
          <w:sz w:val="20"/>
          <w:szCs w:val="20"/>
        </w:rPr>
        <w:t xml:space="preserve">On hearing an emergency alarm, all personnel not involved in emergency response shall stop work immediately, safely shut down all equipment, and evacuate to the predetermined assembly point. Supervisors shall additionally conduct a roll call to account for every person, immediately communicate any missing person and last known location to the evacuation coordinator, prevent return to work until notified by the emergency-response team, and revalidate all work permits before recommencing.</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CONTRACTOR home and mobile telephone numbers for emergency and after-hours communication shall be provided to DAN, kept current and posted at the job site.</w:t>
      </w:r>
    </w:p>
    <w:p>
      <w:pPr>
        <w:pStyle w:val="Heading1"/>
      </w:pPr>
      <w:r>
        <w:t xml:space="preserve">10. Records</w:t>
      </w:r>
    </w:p>
    <w:p>
      <w:pPr>
        <w:spacing w:after="120" w:line="276"/>
        <w:jc w:val="both"/>
      </w:pPr>
      <w:r>
        <w:rPr>
          <w:rFonts w:ascii="Tahoma" w:cs="Tahoma" w:eastAsia="Tahoma" w:hAnsi="Tahoma"/>
          <w:sz w:val="20"/>
          <w:szCs w:val="20"/>
        </w:rPr>
        <w:t xml:space="preserve">The Emergency Preparedness and Response Plan, drill records, evacuation-warden assignments and medical-insurance evidence shall be maintained and made available to DAN on request.</w:t>
      </w:r>
    </w:p>
    <w:p>
      <w:pPr>
        <w:pStyle w:val="Heading1"/>
      </w:pPr>
      <w:r>
        <w:t xml:space="preserve">11. Related Documents</w:t>
      </w:r>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Fire Prevention and Protection</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Emergency Planning and Response</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01-000001-000000-DAN-PRC-HSE-000013-ERP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Planning and Response</dc:title>
  <dc:creator>DAN HSSE Management System</dc:creator>
  <cp:lastModifiedBy>Un-named</cp:lastModifiedBy>
  <cp:revision>1</cp:revision>
  <dcterms:created xsi:type="dcterms:W3CDTF">2026-06-27T21:07:07.204Z</dcterms:created>
  <dcterms:modified xsi:type="dcterms:W3CDTF">2026-06-27T21:07:07.204Z</dcterms:modified>
</cp:coreProperties>
</file>

<file path=docProps/custom.xml><?xml version="1.0" encoding="utf-8"?>
<Properties xmlns="http://schemas.openxmlformats.org/officeDocument/2006/custom-properties" xmlns:vt="http://schemas.openxmlformats.org/officeDocument/2006/docPropsVTypes"/>
</file>