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Accident / Incident Reporting and Investigation</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01-000001-000000-DAN-PRC-HSE-000012-ACCRPT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provides a uniform method for reporting incidents, accidents and serious near misses in order to prevent recurrence, identify conditions that could cause a similar event, recognise improvement opportunities in management systems, communicate lessons learned, demonstrate commitment to workplace safety, and ensure compliance with KSA regulations.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undesirable events (accidents/incidents) involving any personnel or assets of the CONTRACTOR and/or DAN that resulted in — or could likely have resulted in (near miss) — injury to personnel, impact to the environment, damage to equipment, or interruption of business operations. The CONTRACTOR is responsible for identifying and adhering to applicable regulatory requirements, technical guidelines and codes of practice; the most stringent regulations apply.</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ISO 45001 — Occupational Health and Safety Management Systems</w:t>
      </w:r>
    </w:p>
    <w:p>
      <w:pPr>
        <w:pStyle w:val="ListParagraph"/>
        <w:numPr>
          <w:ilvl w:val="0"/>
          <w:numId w:val="2"/>
        </w:numPr>
        <w:spacing w:after="60" w:line="268"/>
        <w:jc w:val="both"/>
      </w:pPr>
      <w:r>
        <w:rPr>
          <w:rFonts w:ascii="Tahoma" w:cs="Tahoma" w:eastAsia="Tahoma" w:hAnsi="Tahoma"/>
          <w:sz w:val="20"/>
          <w:szCs w:val="20"/>
        </w:rPr>
        <w:t xml:space="preserve">Applicable KSA SH&amp;E legislation and GOSI requirements</w:t>
      </w:r>
    </w:p>
    <w:p>
      <w:pPr>
        <w:pStyle w:val="Heading1"/>
      </w:pPr>
      <w:r>
        <w:t xml:space="preserve">4. Deliverables</w:t>
      </w:r>
    </w:p>
    <w:p>
      <w:pPr>
        <w:pStyle w:val="ListParagraph"/>
        <w:numPr>
          <w:ilvl w:val="0"/>
          <w:numId w:val="2"/>
        </w:numPr>
        <w:spacing w:after="60" w:line="268"/>
        <w:jc w:val="both"/>
      </w:pPr>
      <w:r>
        <w:rPr>
          <w:rFonts w:ascii="Tahoma" w:cs="Tahoma" w:eastAsia="Tahoma" w:hAnsi="Tahoma"/>
          <w:sz w:val="20"/>
          <w:szCs w:val="20"/>
        </w:rPr>
        <w:t xml:space="preserve">Report all incidents and accidents (minor to major) in a timely manner, without exception.</w:t>
      </w:r>
    </w:p>
    <w:p>
      <w:pPr>
        <w:pStyle w:val="ListParagraph"/>
        <w:numPr>
          <w:ilvl w:val="0"/>
          <w:numId w:val="2"/>
        </w:numPr>
        <w:spacing w:after="60" w:line="268"/>
        <w:jc w:val="both"/>
      </w:pPr>
      <w:r>
        <w:rPr>
          <w:rFonts w:ascii="Tahoma" w:cs="Tahoma" w:eastAsia="Tahoma" w:hAnsi="Tahoma"/>
          <w:sz w:val="20"/>
          <w:szCs w:val="20"/>
        </w:rPr>
        <w:t xml:space="preserve">Train supervisory and SH&amp;E personnel on these procedures.</w:t>
      </w:r>
    </w:p>
    <w:p>
      <w:pPr>
        <w:pStyle w:val="ListParagraph"/>
        <w:numPr>
          <w:ilvl w:val="0"/>
          <w:numId w:val="2"/>
        </w:numPr>
        <w:spacing w:after="60" w:line="268"/>
        <w:jc w:val="both"/>
      </w:pPr>
      <w:r>
        <w:rPr>
          <w:rFonts w:ascii="Tahoma" w:cs="Tahoma" w:eastAsia="Tahoma" w:hAnsi="Tahoma"/>
          <w:sz w:val="20"/>
          <w:szCs w:val="20"/>
        </w:rPr>
        <w:t xml:space="preserve">Incident forms and log.</w:t>
      </w:r>
    </w:p>
    <w:p>
      <w:pPr>
        <w:pStyle w:val="ListParagraph"/>
        <w:numPr>
          <w:ilvl w:val="0"/>
          <w:numId w:val="2"/>
        </w:numPr>
        <w:spacing w:after="60" w:line="268"/>
        <w:jc w:val="both"/>
      </w:pPr>
      <w:r>
        <w:rPr>
          <w:rFonts w:ascii="Tahoma" w:cs="Tahoma" w:eastAsia="Tahoma" w:hAnsi="Tahoma"/>
          <w:sz w:val="20"/>
          <w:szCs w:val="20"/>
        </w:rPr>
        <w:t xml:space="preserve">Investigate and report in accordance with the Reporting Matrix (Section 7).</w:t>
      </w:r>
    </w:p>
    <w:p>
      <w:pPr>
        <w:pStyle w:val="Heading1"/>
      </w:pPr>
      <w:r>
        <w:t xml:space="preserve">5. Incident Types</w:t>
      </w:r>
    </w:p>
    <w:p>
      <w:pPr>
        <w:spacing w:after="120" w:line="276"/>
        <w:jc w:val="both"/>
      </w:pPr>
      <w:r>
        <w:rPr>
          <w:rFonts w:ascii="Tahoma" w:cs="Tahoma" w:eastAsia="Tahoma" w:hAnsi="Tahoma"/>
          <w:sz w:val="20"/>
          <w:szCs w:val="20"/>
        </w:rPr>
        <w:t xml:space="preserve">Incidents are classified by type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Type</w:t>
            </w:r>
          </w:p>
        </w:tc>
        <w:tc>
          <w:tcPr>
            <w:tcW w:type="dxa" w:w="67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Accident</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undesirable event resulting in physical harm to a person or damage to property, usually from contact with a source of energy (kinetic, electrical, chemical) above a body or structure’s threshold.</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Asset / Property Damage (AD)</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accident damaging assets/property with no injury. Reportable; damage over SAR 38,000 is a Major/Significant Accident.</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Dangerous Occurrence (DO)</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specified high-potential event (see examples below) that could have caused death or serious injury or a prolonged facility stoppage.</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Days Away From Work Case (DAFWC)</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work-related injury causing the person to be away from work for at least one normal shift after the shift of injury, being unfit for any duties.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Environmental Harm (ENV)</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unplanned event with potential detrimental environmental impact (e.g. water pollution, land contamination, oil/chemical/HAZMAT spills).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First Aid Case (FAC)</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injury requiring only minor first-aid treatment (non-prescription medication, cleaning/dressing wounds, hot/cold therapy, etc.).</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Fatality (FAT)</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death resulting from an occupational injury or illness identified within the reporting period.</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Fire Incident</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fire outbreak at a project site, temporary storage facility or other facility (e.g. laydown area, CONTRACTOR vehicle).</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Heat Stress Case (HSC)</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Personnel collapse at the worksite due to high temperature and humidity.</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Lost Work Case (LWC)</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work-related injury making the person temporarily unable to perform normal or restricted work on any day after the injury.</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Lost Time Injury Frequency (LTIF)</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number of lost-time injuries per 200,000 exposed hours.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Lost Workdays (LWD)</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total calendar days an injured person was temporarily unable to work because of a lost-workday case.</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Medical Treatment Case (MTC)</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work-related injury requiring physician treatment but involving neither lost nor restricted workdays.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Near Miss (NM)</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unplanned event causing no injury, illness or damage but with the potential to do so. A Serious Near Miss would have caused worse than a first-aid injury.</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Non-Accidental Death (NAD)</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death with no identifiable incident or trauma, or resulting from an apparent suicide or natural causes.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Occupational Illness (OI)</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medically certified ailment caused by exposure to environmental factors associated with employment.</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Oil Spill (OS)</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accidental or unplanned loss of primary containment. Any amount is reportable.</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Restricted Work Case (RWC)</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injury preventing full normal duties but allowing a limited range of tasks.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Road Transport / Traffic Accident (RTA)</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traffic accident involving project personnel or the public causing injury, illness or asset damage, on or off the ROW. A zero-cost threshold applies.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Significant Occurrence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incident causing property damage or minor injury with the potential to cause fatalities or environmental harm (e.g. crane/scaffold collapse, electrocution, major spill).</w:t>
            </w:r>
          </w:p>
        </w:tc>
      </w:tr>
    </w:tbl>
    <w:p>
      <w:pPr>
        <w:pStyle w:val="Heading2"/>
      </w:pPr>
      <w:r>
        <w:t xml:space="preserve">5.1 Dangerous Occurrence — Examples</w:t>
      </w:r>
    </w:p>
    <w:p>
      <w:pPr>
        <w:pStyle w:val="ListParagraph"/>
        <w:numPr>
          <w:ilvl w:val="0"/>
          <w:numId w:val="2"/>
        </w:numPr>
        <w:spacing w:after="60" w:line="268"/>
        <w:jc w:val="both"/>
      </w:pPr>
      <w:r>
        <w:rPr>
          <w:rFonts w:ascii="Tahoma" w:cs="Tahoma" w:eastAsia="Tahoma" w:hAnsi="Tahoma"/>
          <w:sz w:val="20"/>
          <w:szCs w:val="20"/>
        </w:rPr>
        <w:t xml:space="preserve">Collapse, overturning or failure of any load-bearing part of a lift, hoist, crane, derrick, MEWP, excavator, or a pile-driving rig over 7 m;</w:t>
      </w:r>
    </w:p>
    <w:p>
      <w:pPr>
        <w:pStyle w:val="ListParagraph"/>
        <w:numPr>
          <w:ilvl w:val="0"/>
          <w:numId w:val="2"/>
        </w:numPr>
        <w:spacing w:after="60" w:line="268"/>
        <w:jc w:val="both"/>
      </w:pPr>
      <w:r>
        <w:rPr>
          <w:rFonts w:ascii="Tahoma" w:cs="Tahoma" w:eastAsia="Tahoma" w:hAnsi="Tahoma"/>
          <w:sz w:val="20"/>
          <w:szCs w:val="20"/>
        </w:rPr>
        <w:t xml:space="preserve">Explosion, collapse or bursting of any closed vessel (e.g. boiler) liable to cause death/injury or a stoppage exceeding 24 hours;</w:t>
      </w:r>
    </w:p>
    <w:p>
      <w:pPr>
        <w:pStyle w:val="ListParagraph"/>
        <w:numPr>
          <w:ilvl w:val="0"/>
          <w:numId w:val="2"/>
        </w:numPr>
        <w:spacing w:after="60" w:line="268"/>
        <w:jc w:val="both"/>
      </w:pPr>
      <w:r>
        <w:rPr>
          <w:rFonts w:ascii="Tahoma" w:cs="Tahoma" w:eastAsia="Tahoma" w:hAnsi="Tahoma"/>
          <w:sz w:val="20"/>
          <w:szCs w:val="20"/>
        </w:rPr>
        <w:t xml:space="preserve">Electrical short circuit or overload with fire/explosion stopping the facility for more than 24 hours;</w:t>
      </w:r>
    </w:p>
    <w:p>
      <w:pPr>
        <w:pStyle w:val="ListParagraph"/>
        <w:numPr>
          <w:ilvl w:val="0"/>
          <w:numId w:val="2"/>
        </w:numPr>
        <w:spacing w:after="60" w:line="268"/>
        <w:jc w:val="both"/>
      </w:pPr>
      <w:r>
        <w:rPr>
          <w:rFonts w:ascii="Tahoma" w:cs="Tahoma" w:eastAsia="Tahoma" w:hAnsi="Tahoma"/>
          <w:sz w:val="20"/>
          <w:szCs w:val="20"/>
        </w:rPr>
        <w:t xml:space="preserve">Sudden uncontrolled release of one tonne or more of a highly flammable liquid or flammable gas;</w:t>
      </w:r>
    </w:p>
    <w:p>
      <w:pPr>
        <w:pStyle w:val="ListParagraph"/>
        <w:numPr>
          <w:ilvl w:val="0"/>
          <w:numId w:val="2"/>
        </w:numPr>
        <w:spacing w:after="60" w:line="268"/>
        <w:jc w:val="both"/>
      </w:pPr>
      <w:r>
        <w:rPr>
          <w:rFonts w:ascii="Tahoma" w:cs="Tahoma" w:eastAsia="Tahoma" w:hAnsi="Tahoma"/>
          <w:sz w:val="20"/>
          <w:szCs w:val="20"/>
        </w:rPr>
        <w:t xml:space="preserve">Collapse of any scaffold over 5 m, or collapse of a building/structure/false-work under construction;</w:t>
      </w:r>
    </w:p>
    <w:p>
      <w:pPr>
        <w:pStyle w:val="ListParagraph"/>
        <w:numPr>
          <w:ilvl w:val="0"/>
          <w:numId w:val="2"/>
        </w:numPr>
        <w:spacing w:after="60" w:line="268"/>
        <w:jc w:val="both"/>
      </w:pPr>
      <w:r>
        <w:rPr>
          <w:rFonts w:ascii="Tahoma" w:cs="Tahoma" w:eastAsia="Tahoma" w:hAnsi="Tahoma"/>
          <w:sz w:val="20"/>
          <w:szCs w:val="20"/>
        </w:rPr>
        <w:t xml:space="preserve">Uncontrolled release or escape of any pathogen; unintended ignition or explosion of explosives;</w:t>
      </w:r>
    </w:p>
    <w:p>
      <w:pPr>
        <w:pStyle w:val="ListParagraph"/>
        <w:numPr>
          <w:ilvl w:val="0"/>
          <w:numId w:val="2"/>
        </w:numPr>
        <w:spacing w:after="60" w:line="268"/>
        <w:jc w:val="both"/>
      </w:pPr>
      <w:r>
        <w:rPr>
          <w:rFonts w:ascii="Tahoma" w:cs="Tahoma" w:eastAsia="Tahoma" w:hAnsi="Tahoma"/>
          <w:sz w:val="20"/>
          <w:szCs w:val="20"/>
        </w:rPr>
        <w:t xml:space="preserve">Bursting/explosion/collapse of any pipeline; failure of a freight container or load-bearing part;</w:t>
      </w:r>
    </w:p>
    <w:p>
      <w:pPr>
        <w:pStyle w:val="ListParagraph"/>
        <w:numPr>
          <w:ilvl w:val="0"/>
          <w:numId w:val="2"/>
        </w:numPr>
        <w:spacing w:after="60" w:line="268"/>
        <w:jc w:val="both"/>
      </w:pPr>
      <w:r>
        <w:rPr>
          <w:rFonts w:ascii="Tahoma" w:cs="Tahoma" w:eastAsia="Tahoma" w:hAnsi="Tahoma"/>
          <w:sz w:val="20"/>
          <w:szCs w:val="20"/>
        </w:rPr>
        <w:t xml:space="preserve">Road-tanker overturn or serious tank damage conveying a dangerous substance; breathing-apparatus malfunction depriving the wearer of oxygen;</w:t>
      </w:r>
    </w:p>
    <w:p>
      <w:pPr>
        <w:pStyle w:val="ListParagraph"/>
        <w:numPr>
          <w:ilvl w:val="0"/>
          <w:numId w:val="2"/>
        </w:numPr>
        <w:spacing w:after="60" w:line="268"/>
        <w:jc w:val="both"/>
      </w:pPr>
      <w:r>
        <w:rPr>
          <w:rFonts w:ascii="Tahoma" w:cs="Tahoma" w:eastAsia="Tahoma" w:hAnsi="Tahoma"/>
          <w:sz w:val="20"/>
          <w:szCs w:val="20"/>
        </w:rPr>
        <w:t xml:space="preserve">Plant or equipment contacting overhead electric lines exceeding 200 volts.</w:t>
      </w:r>
    </w:p>
    <w:p>
      <w:pPr>
        <w:pStyle w:val="Heading1"/>
      </w:pPr>
      <w:r>
        <w:t xml:space="preserve">6. Incident Classification</w:t>
      </w:r>
    </w:p>
    <w:p>
      <w:pPr>
        <w:spacing w:after="120" w:line="276"/>
        <w:jc w:val="both"/>
      </w:pPr>
      <w:r>
        <w:rPr>
          <w:rFonts w:ascii="Tahoma" w:cs="Tahoma" w:eastAsia="Tahoma" w:hAnsi="Tahoma"/>
          <w:sz w:val="20"/>
          <w:szCs w:val="20"/>
        </w:rPr>
        <w:t xml:space="preserve">Incidents are classified into three levels of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Level 1 — Low</w:t>
            </w:r>
          </w:p>
        </w:tc>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Level 2 — Medium</w:t>
            </w:r>
          </w:p>
        </w:tc>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Level 3 — High</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Aid Case; Minor Incident; Near Miss</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Restricted Workday Case; Medical Treatment Case; Moderate Incident; Heat Stress Case</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Fatality; Non-accidental death; Lost Workday / Time Injury</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RTA (minor injury / minor damage); Environmental Harm (oil spill 100–200 L); Property Damage ≤ SAR 38,000</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Permanent Partial / Total Disability; Property Damage &gt; SAR 38,000</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Occupational Illness; Security Breach</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Significant Environmental Incident (oil spill &gt; 200 L); RTA (lost workday/time injury or fatality); Heat stress with multiple casualties; food poisoning; Significant Dangerous Occurrence; Significant Near Miss</w:t>
            </w:r>
          </w:p>
        </w:tc>
      </w:tr>
    </w:tbl>
    <w:p>
      <w:pPr>
        <w:pStyle w:val="Heading1"/>
      </w:pPr>
      <w:r>
        <w:t xml:space="preserve">7. Incident Reporting</w:t>
      </w:r>
    </w:p>
    <w:p>
      <w:pPr>
        <w:pStyle w:val="Heading2"/>
      </w:pPr>
      <w:r>
        <w:t xml:space="preserve">7.1 Incident Notification</w:t>
      </w:r>
    </w:p>
    <w:p>
      <w:pPr>
        <w:pStyle w:val="ListParagraph"/>
        <w:numPr>
          <w:ilvl w:val="0"/>
          <w:numId w:val="2"/>
        </w:numPr>
        <w:spacing w:after="60" w:line="268"/>
        <w:jc w:val="both"/>
      </w:pPr>
      <w:r>
        <w:rPr>
          <w:rFonts w:ascii="Tahoma" w:cs="Tahoma" w:eastAsia="Tahoma" w:hAnsi="Tahoma"/>
          <w:sz w:val="20"/>
          <w:szCs w:val="20"/>
        </w:rPr>
        <w:t xml:space="preserve">The DAN Incident Notification Form shall be used to alert DAN to the occurrence of any incident.</w:t>
      </w:r>
    </w:p>
    <w:p>
      <w:pPr>
        <w:pStyle w:val="ListParagraph"/>
        <w:numPr>
          <w:ilvl w:val="0"/>
          <w:numId w:val="2"/>
        </w:numPr>
        <w:spacing w:after="60" w:line="268"/>
        <w:jc w:val="both"/>
      </w:pPr>
      <w:r>
        <w:rPr>
          <w:rFonts w:ascii="Tahoma" w:cs="Tahoma" w:eastAsia="Tahoma" w:hAnsi="Tahoma"/>
          <w:sz w:val="20"/>
          <w:szCs w:val="20"/>
        </w:rPr>
        <w:t xml:space="preserve">Upload the form to the Project Management Information System (PMIS) and send it by email within 24 hours.</w:t>
      </w:r>
    </w:p>
    <w:p>
      <w:pPr>
        <w:pStyle w:val="Heading2"/>
      </w:pPr>
      <w:r>
        <w:t xml:space="preserve">7.2 Incident Report</w:t>
      </w:r>
    </w:p>
    <w:p>
      <w:pPr>
        <w:pStyle w:val="ListParagraph"/>
        <w:numPr>
          <w:ilvl w:val="0"/>
          <w:numId w:val="2"/>
        </w:numPr>
        <w:spacing w:after="60" w:line="268"/>
        <w:jc w:val="both"/>
      </w:pPr>
      <w:r>
        <w:rPr>
          <w:rFonts w:ascii="Tahoma" w:cs="Tahoma" w:eastAsia="Tahoma" w:hAnsi="Tahoma"/>
          <w:sz w:val="20"/>
          <w:szCs w:val="20"/>
        </w:rPr>
        <w:t xml:space="preserve">The DAN Incident Report Form shall provide an in-depth report of any incident to DAN within 72 hours of occurrence.</w:t>
      </w:r>
    </w:p>
    <w:p>
      <w:pPr>
        <w:pStyle w:val="Heading2"/>
      </w:pPr>
      <w:r>
        <w:t xml:space="preserve">7.3 Reporting Matrix</w:t>
      </w:r>
    </w:p>
    <w:p>
      <w:pPr>
        <w:spacing w:after="120" w:line="276"/>
        <w:jc w:val="both"/>
      </w:pPr>
      <w:r>
        <w:rPr>
          <w:rFonts w:ascii="Tahoma" w:cs="Tahoma" w:eastAsia="Tahoma" w:hAnsi="Tahoma"/>
          <w:sz w:val="20"/>
          <w:szCs w:val="20"/>
        </w:rPr>
        <w:t xml:space="preserve">All incidents shall be reported to the DAN Representative using the DAN reporting system and the timelines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Action</w:t>
            </w:r>
          </w:p>
        </w:tc>
        <w:tc>
          <w:tcPr>
            <w:tcW w:type="dxa" w:w="2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Level 1</w:t>
            </w:r>
          </w:p>
        </w:tc>
        <w:tc>
          <w:tcPr>
            <w:tcW w:type="dxa" w:w="2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Level 2</w:t>
            </w:r>
          </w:p>
        </w:tc>
        <w:tc>
          <w:tcPr>
            <w:tcW w:type="dxa" w:w="2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Level 3</w:t>
            </w:r>
          </w:p>
        </w:tc>
      </w:tr>
      <w:tr>
        <w:tc>
          <w:tcPr>
            <w:tcW w:type="dxa" w:w="2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Notify DAN (text &amp; call)</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Within 1 hour</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15 – 60 minutes</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Immediately (≤ 15 minutes)</w:t>
            </w:r>
          </w:p>
        </w:tc>
      </w:tr>
      <w:tr>
        <w:tc>
          <w:tcPr>
            <w:tcW w:type="dxa" w:w="2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Initial notification report</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 hours</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hour</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Within 1 hour (update within 24 hrs)</w:t>
            </w:r>
          </w:p>
        </w:tc>
      </w:tr>
      <w:tr>
        <w:tc>
          <w:tcPr>
            <w:tcW w:type="dxa" w:w="2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Preliminary incident report</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Within 1 calendar day</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Within 1 calendar day</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Within 1 calendar day</w:t>
            </w:r>
          </w:p>
        </w:tc>
      </w:tr>
      <w:tr>
        <w:tc>
          <w:tcPr>
            <w:tcW w:type="dxa" w:w="2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Incident investigation report</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Within 3 calendar days</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Within 5 calendar days</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Incident Investigation Report submittal is subject to the above timelines unless specifically approved otherwise by the DAN Representative.</w:t>
      </w:r>
    </w:p>
    <w:p>
      <w:pPr>
        <w:pStyle w:val="Heading1"/>
      </w:pPr>
      <w:r>
        <w:t xml:space="preserve">8. Investigation</w:t>
      </w:r>
    </w:p>
    <w:p>
      <w:pPr>
        <w:spacing w:after="120" w:line="276"/>
        <w:jc w:val="both"/>
      </w:pPr>
      <w:r>
        <w:rPr>
          <w:rFonts w:ascii="Tahoma" w:cs="Tahoma" w:eastAsia="Tahoma" w:hAnsi="Tahoma"/>
          <w:sz w:val="20"/>
          <w:szCs w:val="20"/>
        </w:rPr>
        <w:t xml:space="preserve">Any Level 3 incident requires the formation of an Incident Investigation Team (members from both DAN and the CONTRACTOR, identified by DAN) to gather the relevant details and prepare an Incident Investigation Report focusing on:</w:t>
      </w:r>
    </w:p>
    <w:p>
      <w:pPr>
        <w:pStyle w:val="ListParagraph"/>
        <w:numPr>
          <w:ilvl w:val="0"/>
          <w:numId w:val="2"/>
        </w:numPr>
        <w:spacing w:after="60" w:line="268"/>
        <w:jc w:val="both"/>
      </w:pPr>
      <w:r>
        <w:rPr>
          <w:rFonts w:ascii="Tahoma" w:cs="Tahoma" w:eastAsia="Tahoma" w:hAnsi="Tahoma"/>
          <w:sz w:val="20"/>
          <w:szCs w:val="20"/>
        </w:rPr>
        <w:t xml:space="preserve">Root cause(s) of the incident;</w:t>
      </w:r>
    </w:p>
    <w:p>
      <w:pPr>
        <w:pStyle w:val="ListParagraph"/>
        <w:numPr>
          <w:ilvl w:val="0"/>
          <w:numId w:val="2"/>
        </w:numPr>
        <w:spacing w:after="60" w:line="268"/>
        <w:jc w:val="both"/>
      </w:pPr>
      <w:r>
        <w:rPr>
          <w:rFonts w:ascii="Tahoma" w:cs="Tahoma" w:eastAsia="Tahoma" w:hAnsi="Tahoma"/>
          <w:sz w:val="20"/>
          <w:szCs w:val="20"/>
        </w:rPr>
        <w:t xml:space="preserve">Corrective measures to prevent recurrence;</w:t>
      </w:r>
    </w:p>
    <w:p>
      <w:pPr>
        <w:pStyle w:val="ListParagraph"/>
        <w:numPr>
          <w:ilvl w:val="0"/>
          <w:numId w:val="2"/>
        </w:numPr>
        <w:spacing w:after="60" w:line="268"/>
        <w:jc w:val="both"/>
      </w:pPr>
      <w:r>
        <w:rPr>
          <w:rFonts w:ascii="Tahoma" w:cs="Tahoma" w:eastAsia="Tahoma" w:hAnsi="Tahoma"/>
          <w:sz w:val="20"/>
          <w:szCs w:val="20"/>
        </w:rPr>
        <w:t xml:space="preserve">Lessons learned.</w:t>
      </w:r>
    </w:p>
    <w:p>
      <w:pPr>
        <w:spacing w:after="120" w:line="276"/>
        <w:jc w:val="both"/>
      </w:pPr>
      <w:r>
        <w:rPr>
          <w:rFonts w:ascii="Tahoma" w:cs="Tahoma" w:eastAsia="Tahoma" w:hAnsi="Tahoma"/>
          <w:sz w:val="20"/>
          <w:szCs w:val="20"/>
        </w:rPr>
        <w:t xml:space="preserve">On completion, the team submits the Incident Investigation Report (using the CONTRACTOR’s or DAN’s template) within the matrix timelines. The CONTRACTOR then prepares and delivers a presentation to DAN detailing the incident, followed by detailed lessons learned.</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A fatality may be closed out ONLY when all reports and actions — including insurance, GOSI notification, compensation, repatriation of remains (if required) and HR clearance — have been completed.</w:t>
      </w:r>
    </w:p>
    <w:p>
      <w:pPr>
        <w:pStyle w:val="Heading1"/>
      </w:pPr>
      <w:r>
        <w:t xml:space="preserve">9. Report Contents</w:t>
      </w:r>
    </w:p>
    <w:p>
      <w:pPr>
        <w:pStyle w:val="Heading2"/>
      </w:pPr>
      <w:r>
        <w:t xml:space="preserve">9.1 Level 3 Incident Investigation Report</w:t>
      </w:r>
    </w:p>
    <w:p>
      <w:pPr>
        <w:pStyle w:val="ListParagraph"/>
        <w:numPr>
          <w:ilvl w:val="0"/>
          <w:numId w:val="2"/>
        </w:numPr>
        <w:spacing w:after="60" w:line="268"/>
        <w:jc w:val="both"/>
      </w:pPr>
      <w:r>
        <w:rPr>
          <w:rFonts w:ascii="Tahoma" w:cs="Tahoma" w:eastAsia="Tahoma" w:hAnsi="Tahoma"/>
          <w:sz w:val="20"/>
          <w:szCs w:val="20"/>
        </w:rPr>
        <w:t xml:space="preserve">Event description, exact location, and date/time of occurrence;</w:t>
      </w:r>
    </w:p>
    <w:p>
      <w:pPr>
        <w:pStyle w:val="ListParagraph"/>
        <w:numPr>
          <w:ilvl w:val="0"/>
          <w:numId w:val="2"/>
        </w:numPr>
        <w:spacing w:after="60" w:line="268"/>
        <w:jc w:val="both"/>
      </w:pPr>
      <w:r>
        <w:rPr>
          <w:rFonts w:ascii="Tahoma" w:cs="Tahoma" w:eastAsia="Tahoma" w:hAnsi="Tahoma"/>
          <w:sz w:val="20"/>
          <w:szCs w:val="20"/>
        </w:rPr>
        <w:t xml:space="preserve">Investigation team members; background and environment before the incident;</w:t>
      </w:r>
    </w:p>
    <w:p>
      <w:pPr>
        <w:pStyle w:val="ListParagraph"/>
        <w:numPr>
          <w:ilvl w:val="0"/>
          <w:numId w:val="2"/>
        </w:numPr>
        <w:spacing w:after="60" w:line="268"/>
        <w:jc w:val="both"/>
      </w:pPr>
      <w:r>
        <w:rPr>
          <w:rFonts w:ascii="Tahoma" w:cs="Tahoma" w:eastAsia="Tahoma" w:hAnsi="Tahoma"/>
          <w:sz w:val="20"/>
          <w:szCs w:val="20"/>
        </w:rPr>
        <w:t xml:space="preserve">The incident: detailed sequence of events and rescue actions taken;</w:t>
      </w:r>
    </w:p>
    <w:p>
      <w:pPr>
        <w:pStyle w:val="ListParagraph"/>
        <w:numPr>
          <w:ilvl w:val="0"/>
          <w:numId w:val="2"/>
        </w:numPr>
        <w:spacing w:after="60" w:line="268"/>
        <w:jc w:val="both"/>
      </w:pPr>
      <w:r>
        <w:rPr>
          <w:rFonts w:ascii="Tahoma" w:cs="Tahoma" w:eastAsia="Tahoma" w:hAnsi="Tahoma"/>
          <w:sz w:val="20"/>
          <w:szCs w:val="20"/>
        </w:rPr>
        <w:t xml:space="preserve">Immediate cause (direct and indirect) and root cause (five-factor analysis with diagram);</w:t>
      </w:r>
    </w:p>
    <w:p>
      <w:pPr>
        <w:pStyle w:val="ListParagraph"/>
        <w:numPr>
          <w:ilvl w:val="0"/>
          <w:numId w:val="2"/>
        </w:numPr>
        <w:spacing w:after="60" w:line="268"/>
        <w:jc w:val="both"/>
      </w:pPr>
      <w:r>
        <w:rPr>
          <w:rFonts w:ascii="Tahoma" w:cs="Tahoma" w:eastAsia="Tahoma" w:hAnsi="Tahoma"/>
          <w:sz w:val="20"/>
          <w:szCs w:val="20"/>
        </w:rPr>
        <w:t xml:space="preserve">Investigation findings: scene sketch, photographs, diagrams, physical evidence, witnesses and statements;</w:t>
      </w:r>
    </w:p>
    <w:p>
      <w:pPr>
        <w:pStyle w:val="ListParagraph"/>
        <w:numPr>
          <w:ilvl w:val="0"/>
          <w:numId w:val="2"/>
        </w:numPr>
        <w:spacing w:after="60" w:line="268"/>
        <w:jc w:val="both"/>
      </w:pPr>
      <w:r>
        <w:rPr>
          <w:rFonts w:ascii="Tahoma" w:cs="Tahoma" w:eastAsia="Tahoma" w:hAnsi="Tahoma"/>
          <w:sz w:val="20"/>
          <w:szCs w:val="20"/>
        </w:rPr>
        <w:t xml:space="preserve">Recommendations: immediate/short/long-term corrective actions and risk-mitigation measures with target dates;</w:t>
      </w:r>
    </w:p>
    <w:p>
      <w:pPr>
        <w:pStyle w:val="ListParagraph"/>
        <w:numPr>
          <w:ilvl w:val="0"/>
          <w:numId w:val="2"/>
        </w:numPr>
        <w:spacing w:after="60" w:line="268"/>
        <w:jc w:val="both"/>
      </w:pPr>
      <w:r>
        <w:rPr>
          <w:rFonts w:ascii="Tahoma" w:cs="Tahoma" w:eastAsia="Tahoma" w:hAnsi="Tahoma"/>
          <w:sz w:val="20"/>
          <w:szCs w:val="20"/>
        </w:rPr>
        <w:t xml:space="preserve">Lessons learned, eyewitness and victim statements, distribution list and supporting documents.</w:t>
      </w:r>
    </w:p>
    <w:p>
      <w:pPr>
        <w:pStyle w:val="Heading2"/>
      </w:pPr>
      <w:r>
        <w:t xml:space="preserve">9.2 Level 1 and 2 Incident Report</w:t>
      </w:r>
    </w:p>
    <w:p>
      <w:pPr>
        <w:spacing w:after="120" w:line="276"/>
        <w:jc w:val="both"/>
      </w:pPr>
      <w:r>
        <w:rPr>
          <w:rFonts w:ascii="Tahoma" w:cs="Tahoma" w:eastAsia="Tahoma" w:hAnsi="Tahoma"/>
          <w:sz w:val="20"/>
          <w:szCs w:val="20"/>
        </w:rPr>
        <w:t xml:space="preserve">As a minimum: purpose, the incident, immediate cause, root cause, investigation findings, recommendations, and photos/diagrams/sketches and a location map.</w:t>
      </w:r>
    </w:p>
    <w:p>
      <w:pPr>
        <w:pStyle w:val="Heading1"/>
      </w:pPr>
      <w:r>
        <w:t xml:space="preserve">10. Records</w:t>
      </w:r>
    </w:p>
    <w:p>
      <w:pPr>
        <w:spacing w:after="120" w:line="276"/>
        <w:jc w:val="both"/>
      </w:pPr>
      <w:r>
        <w:rPr>
          <w:rFonts w:ascii="Tahoma" w:cs="Tahoma" w:eastAsia="Tahoma" w:hAnsi="Tahoma"/>
          <w:sz w:val="20"/>
          <w:szCs w:val="20"/>
        </w:rPr>
        <w:t xml:space="preserve">Incident notification forms, incident reports, investigation reports, the incident log and lessons-learned records shall be maintained and made available to the DAN Representative as required.</w:t>
      </w:r>
    </w:p>
    <w:p>
      <w:pPr>
        <w:pStyle w:val="Heading1"/>
      </w:pPr>
      <w:r>
        <w:t xml:space="preserve">11. Related Documents</w:t>
      </w:r>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DAN Incident Notification Form</w:t>
      </w:r>
    </w:p>
    <w:p>
      <w:pPr>
        <w:pStyle w:val="ListParagraph"/>
        <w:numPr>
          <w:ilvl w:val="0"/>
          <w:numId w:val="2"/>
        </w:numPr>
        <w:spacing w:after="60" w:line="268"/>
        <w:jc w:val="both"/>
      </w:pPr>
      <w:r>
        <w:rPr>
          <w:rFonts w:ascii="Tahoma" w:cs="Tahoma" w:eastAsia="Tahoma" w:hAnsi="Tahoma"/>
          <w:sz w:val="20"/>
          <w:szCs w:val="20"/>
        </w:rPr>
        <w:t xml:space="preserve">DAN Incident Report Form</w:t>
      </w:r>
    </w:p>
    <w:p>
      <w:pPr>
        <w:pStyle w:val="ListParagraph"/>
        <w:numPr>
          <w:ilvl w:val="0"/>
          <w:numId w:val="2"/>
        </w:numPr>
        <w:spacing w:after="60" w:line="268"/>
        <w:jc w:val="both"/>
      </w:pPr>
      <w:r>
        <w:rPr>
          <w:rFonts w:ascii="Tahoma" w:cs="Tahoma" w:eastAsia="Tahoma" w:hAnsi="Tahoma"/>
          <w:sz w:val="20"/>
          <w:szCs w:val="20"/>
        </w:rPr>
        <w:t xml:space="preserve">DAN Incident Investigation Template</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160"/>
        <w:gridCol w:w="2400"/>
      </w:tblGrid>
      <w:tr>
        <w:trPr>
          <w:tblHeader/>
        </w:trPr>
        <w:tc>
          <w:tcPr>
            <w:tcW w:type="dxa" w:w="1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Accident / Incident Reporting</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01-000001-000000-DAN-PRC-HSE-000012-ACCRPT · R00</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Accident / Incident Reporting and Investigation</dc:title>
  <dc:creator>DAN HSSE Management System</dc:creator>
  <cp:lastModifiedBy>Un-named</cp:lastModifiedBy>
  <cp:revision>1</cp:revision>
  <dcterms:created xsi:type="dcterms:W3CDTF">2026-06-27T21:07:07.153Z</dcterms:created>
  <dcterms:modified xsi:type="dcterms:W3CDTF">2026-06-27T21:07:07.153Z</dcterms:modified>
</cp:coreProperties>
</file>

<file path=docProps/custom.xml><?xml version="1.0" encoding="utf-8"?>
<Properties xmlns="http://schemas.openxmlformats.org/officeDocument/2006/custom-properties" xmlns:vt="http://schemas.openxmlformats.org/officeDocument/2006/docPropsVTypes"/>
</file>