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Night Work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01-DAN-PRC-HSE-000048-NHTWRK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requirements and responsibilities for any work activity carried out during the hours of darkness, in areas where general illumination is required, on DAN projects.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night work on DAN projects — planning and risk assessment, fatigue management, area lighting, light fixtures and PPE.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1926.56 — Illumination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Safety; DCSM — Permit to Work; DCSM — Signage, Barrication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SH&amp;E Risk Management; DCSM — Personal Protective Equipment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Night Works Plan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An approved plan defining the scope, controls and resources for work performed during darkness.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SWMS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Safe Work Method Statement.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Sufficient Sleep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At least a continuous 8-hour sleep period in the previous 24 hours.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Lux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The SI unit of illuminance used to specify and measure lighting levels.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Night Work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Safe Work Method Statement (SWMS)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Night Works Plan; illumination-level records</w:t>
      </w:r>
    </w:p>
    <w:p>
      <w:pPr>
        <w:pStyle w:val="Heading1"/>
      </w:pPr>
      <w:r>
        <w:t xml:space="preserve">6. Risk Assessment and Night Works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Risk assessments shall be conducted at the planning stage and completed before any night work commences.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Night Works Plan shall be submitted to the SH&amp;E Representative and Superintendent for approval, containing the scope, location, resources, emergency response, risk assessment/AHA, night-shift-specific training, permit-to-work, employee welfare, traffic and fatigue management, specific PPE, transportation and key contacts.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formal job briefing shall be performed before work, highlighting hazards and controls; the approved plan shall be available on-site; additional work outside the scope requires Superintendent agreement and a SWMS reviewed by the SH&amp;E Representative and approved by the Project Manager; revisions follow the same approval route.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The following activities are PROHIBITED on night shifts: removal of flooring or grid mesh; operating vehicles/equipment without headlights; and any work requiring a man-cage.</w:t>
      </w:r>
    </w:p>
    <w:p>
      <w:pPr>
        <w:pStyle w:val="Heading1"/>
      </w:pPr>
      <w:r>
        <w:t xml:space="preserve">7. General Requirements and Fatigue Management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Every effort shall be made to minimise night-working hours; adequate barriers shall surround hazard areas, and all hazards shall be clearly lit.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Fatigue management is the responsibility of supervisors and each individual; personnel shall arrive fit for work, having had "sufficient sleep" (at least 8 continuous hours in the previous 24), and shall recognise fatigue in themselves and others.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immediately stop operating machinery or mobile equipment and notify the supervisor if they did not get sufficient sleep, feel fatigued/drowsy, fall asleep, or take medication causing drowsiness; supervisors shall track each crew member's fatigue status at shift start and during the shift.</w:t>
      </w:r>
    </w:p>
    <w:p>
      <w:pPr>
        <w:pStyle w:val="Heading1"/>
      </w:pPr>
      <w:r>
        <w:t xml:space="preserve">8. Area Lighting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Area lighting shall provide illumination sufficient for personnel and equipment to move and work safely, based on the activity, area and crew size; all installed lighting shall be inspected, meet project and local code, and be regularly maintained.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Illumination shall be measured with a calibrated lux light meter at setup and periodically, with records maintained; exits, pathways, muster points and ladder access shall be clearly illuminated and marked.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Lights shall be positioned to avoid glare; tower lighting shall illuminate all work areas; confined spaces shall be lit; back-up lighting shall be provided against power failure; portable generators shall meet the Electrical Safety chapter; supporting cables shall be routed clear of hazards and fixtures secured against falling.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Minimum lighting requirements by work activity: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tblHeader/>
        </w:trP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Work Activity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Lux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Foot-candles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Interior movement only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Handling material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80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8.0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General rough work / interior working places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Interior reinforcing / concrete placement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Bricklaying / office lighting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320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32.0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Bench work / plastering / interior workshops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400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40.0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Drawing boards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60.0</w:t>
            </w:r>
          </w:p>
        </w:tc>
      </w:tr>
    </w:tbl>
    <w:p>
      <w:pPr>
        <w:pStyle w:val="Heading1"/>
      </w:pPr>
      <w:r>
        <w:t xml:space="preserve">9. Light Placement, Bulbs and Fixtures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Layouts shall illuminate all areas from at least two directions to prevent shadows; lighting shall be mounted on poles/towers and spaced for optimal distribution, positioned so personnel do not encounter fixtures during work.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Cables and materials shall be positioned to prevent trip/fall hazards; portable cord trees, stands and poles shall suspend cords and lighting; light stringers and cords shall not be hung from scaffolding, and attachments to structural steel/piping shall be indirect using non-conductive ties.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Conventional tungsten or tungsten-halogen lighting should be used where possible; high/low-pressure sodium should be avoided (fire risk and specialised disposal); MSDS shall be checked for each bulb type, and bulbs protected from breakage with lamp guards/cages, with broken bulbs replaced promptly.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Lighting fixtures shall be certified to the local electrical code, securely installed, with supply cords per good wiring practice; metal poles and metal-case sockets shall be earthed/grounded with the circuit fitted with residual-current devices; temporary lighting strings shall use non-conductive sockets moulded to the conductor insulation.</w:t>
      </w:r>
    </w:p>
    <w:p>
      <w:pPr>
        <w:pStyle w:val="Heading1"/>
      </w:pPr>
      <w:r>
        <w:t xml:space="preserve">10. Personal Protective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PPE for night work or dark areas shall be identified on the SWMS/AHA and selected for the expected hazards including low-light conditions.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Safety glasses shall be clear or light-enhancing; shirts/jackets shall be long-sleeved with 50 mm reflective tape on chest, back and sleeves; trousers shall have 50 mm reflective tape around the knees; all personnel shall carry a ready flashlight; crews out of direct verbal range of the supervisor shall have radio or telephone communication.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Flashlights MAY NOT be substituted for area lighting.</w:t>
      </w:r>
    </w:p>
    <w:p>
      <w:pPr>
        <w:pStyle w:val="Heading1"/>
      </w:pPr>
      <w:r>
        <w:t xml:space="preserve">11. Records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Night Works Plans, SWMS, illumination-level records and training records shall be maintained on-site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Permit to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Signage, Barrication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Night Work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01-DAN-PRC-HSE-000048-NHTWRK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Night Work</dc:title>
  <dc:creator>DAN HSSE Management System</dc:creator>
  <cp:lastModifiedBy>Un-named</cp:lastModifiedBy>
  <cp:revision>1</cp:revision>
  <dcterms:created xsi:type="dcterms:W3CDTF">2026-06-27T22:16:13.617Z</dcterms:created>
  <dcterms:modified xsi:type="dcterms:W3CDTF">2026-06-27T22:16:13.617Z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