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HSE Minimum Requirements</w:t>
      </w:r>
    </w:p>
    <w:p>
      <w:pPr>
        <w:spacing w:after="0" w:before="720"/>
      </w:pPr>
      <w:r>
        <w:rPr>
          <w:rFonts w:ascii="Tahoma" w:cs="Tahoma" w:eastAsia="Tahoma" w:hAnsi="Tahoma"/>
          <w:b/>
          <w:bCs/>
          <w:color w:val="542A12"/>
          <w:sz w:val="44"/>
          <w:szCs w:val="44"/>
        </w:rPr>
        <w:t xml:space="preserve">General Site Safety Rules</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01-000001-000000-DAN-HSE-MNR-000002</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Purpose</w:t>
            </w:r>
          </w:hyperlink>
        </w:p>
        <w:p>
          <w:pPr>
            <w:spacing w:after="40" w:line="259"/>
            <w:ind w:left="0"/>
          </w:pPr>
          <w:hyperlink w:anchor="_DanToc9001" w:history="1">
            <w:r>
              <w:rPr>
                <w:rFonts w:ascii="Tahoma" w:hAnsi="Tahoma" w:cs="Tahoma"/>
                <w:b/>
                <w:color w:val="542A12"/>
                <w:sz w:val="20"/>
              </w:rPr>
              <w:t xml:space="preserve">Scope</w:t>
            </w:r>
          </w:hyperlink>
        </w:p>
        <w:p>
          <w:pPr>
            <w:spacing w:after="40" w:line="259"/>
            <w:ind w:left="0"/>
          </w:pPr>
          <w:hyperlink w:anchor="_DanToc9002" w:history="1">
            <w:r>
              <w:rPr>
                <w:rFonts w:ascii="Tahoma" w:hAnsi="Tahoma" w:cs="Tahoma"/>
                <w:b/>
                <w:color w:val="542A12"/>
                <w:sz w:val="20"/>
              </w:rPr>
              <w:t xml:space="preserve">Definitions</w:t>
            </w:r>
          </w:hyperlink>
        </w:p>
        <w:p>
          <w:pPr>
            <w:spacing w:after="40" w:line="259"/>
            <w:ind w:left="0"/>
          </w:pPr>
          <w:hyperlink w:anchor="_DanToc9003" w:history="1">
            <w:r>
              <w:rPr>
                <w:rFonts w:ascii="Tahoma" w:hAnsi="Tahoma" w:cs="Tahoma"/>
                <w:b/>
                <w:color w:val="542A12"/>
                <w:sz w:val="20"/>
              </w:rPr>
              <w:t xml:space="preserve">1. Logistics – deliveries and storage</w:t>
            </w:r>
          </w:hyperlink>
        </w:p>
        <w:p>
          <w:pPr>
            <w:spacing w:after="40" w:line="259"/>
            <w:ind w:left="0"/>
          </w:pPr>
          <w:hyperlink w:anchor="_DanToc9004" w:history="1">
            <w:r>
              <w:rPr>
                <w:rFonts w:ascii="Tahoma" w:hAnsi="Tahoma" w:cs="Tahoma"/>
                <w:b/>
                <w:color w:val="542A12"/>
                <w:sz w:val="20"/>
              </w:rPr>
              <w:t xml:space="preserve">2. Workers’ Transportation</w:t>
            </w:r>
          </w:hyperlink>
        </w:p>
        <w:p>
          <w:pPr>
            <w:spacing w:after="40" w:line="259"/>
            <w:ind w:left="0"/>
          </w:pPr>
          <w:hyperlink w:anchor="_DanToc9005" w:history="1">
            <w:r>
              <w:rPr>
                <w:rFonts w:ascii="Tahoma" w:hAnsi="Tahoma" w:cs="Tahoma"/>
                <w:b/>
                <w:color w:val="542A12"/>
                <w:sz w:val="20"/>
              </w:rPr>
              <w:t xml:space="preserve">3. Housekeeping</w:t>
            </w:r>
          </w:hyperlink>
        </w:p>
        <w:p>
          <w:pPr>
            <w:spacing w:after="40" w:line="259"/>
            <w:ind w:left="0"/>
          </w:pPr>
          <w:hyperlink w:anchor="_DanToc9006" w:history="1">
            <w:r>
              <w:rPr>
                <w:rFonts w:ascii="Tahoma" w:hAnsi="Tahoma" w:cs="Tahoma"/>
                <w:b/>
                <w:color w:val="542A12"/>
                <w:sz w:val="20"/>
              </w:rPr>
              <w:t xml:space="preserve">4. Lighting</w:t>
            </w:r>
          </w:hyperlink>
        </w:p>
        <w:p>
          <w:pPr>
            <w:spacing w:after="40" w:line="259"/>
            <w:ind w:left="0"/>
          </w:pPr>
          <w:hyperlink w:anchor="_DanToc9007" w:history="1">
            <w:r>
              <w:rPr>
                <w:rFonts w:ascii="Tahoma" w:hAnsi="Tahoma" w:cs="Tahoma"/>
                <w:b/>
                <w:color w:val="542A12"/>
                <w:sz w:val="20"/>
              </w:rPr>
              <w:t xml:space="preserve">5. Temporary work</w:t>
            </w:r>
          </w:hyperlink>
        </w:p>
        <w:p>
          <w:pPr>
            <w:spacing w:after="40" w:line="259"/>
            <w:ind w:left="0"/>
          </w:pPr>
          <w:hyperlink w:anchor="_DanToc9008" w:history="1">
            <w:r>
              <w:rPr>
                <w:rFonts w:ascii="Tahoma" w:hAnsi="Tahoma" w:cs="Tahoma"/>
                <w:b/>
                <w:color w:val="542A12"/>
                <w:sz w:val="20"/>
              </w:rPr>
              <w:t xml:space="preserve">Standards</w:t>
            </w:r>
          </w:hyperlink>
        </w:p>
        <w:p>
          <w:pPr>
            <w:spacing w:after="40" w:line="259"/>
            <w:ind w:left="0"/>
          </w:pPr>
          <w:hyperlink w:anchor="_DanToc9009" w:history="1">
            <w:r>
              <w:rPr>
                <w:rFonts w:ascii="Tahoma" w:hAnsi="Tahoma" w:cs="Tahoma"/>
                <w:b/>
                <w:color w:val="542A12"/>
                <w:sz w:val="20"/>
              </w:rPr>
              <w:t xml:space="preserve">Tools and References</w:t>
            </w:r>
          </w:hyperlink>
        </w:p>
        <w:p>
          <w:pPr>
            <w:spacing w:after="40" w:line="259"/>
            <w:ind w:left="0"/>
          </w:pPr>
          <w:hyperlink w:anchor="_DanToc9010"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Purpose</w:t>
      </w:r>
      <w:bookmarkEnd w:id="9000"/>
    </w:p>
    <w:p>
      <w:pPr>
        <w:spacing w:after="120" w:line="276"/>
        <w:jc w:val="both"/>
      </w:pPr>
      <w:r>
        <w:rPr>
          <w:rFonts w:ascii="Tahoma" w:cs="Tahoma" w:eastAsia="Tahoma" w:hAnsi="Tahoma"/>
          <w:sz w:val="20"/>
          <w:szCs w:val="20"/>
        </w:rPr>
        <w:t xml:space="preserve">The purpose of General Site Safety Rules HSE requirement is to provide efficient and coordinated logistics services, to ensure an uninterrupted and safe storage process to allow safe movement around the stored materials to prevent the risk of slip, trip, fall, injury, and property damage.</w:t>
      </w:r>
    </w:p>
    <w:p>
      <w:pPr>
        <w:pStyle w:val="Heading1"/>
      </w:pPr>
      <w:bookmarkStart w:id="9001" w:name="_DanToc9001"/>
      <w:r>
        <w:t xml:space="preserve">Scope</w:t>
      </w:r>
      <w:bookmarkEnd w:id="9001"/>
    </w:p>
    <w:p>
      <w:pPr>
        <w:spacing w:after="120" w:line="276"/>
        <w:jc w:val="both"/>
      </w:pPr>
      <w:r>
        <w:rPr>
          <w:rFonts w:ascii="Tahoma" w:cs="Tahoma" w:eastAsia="Tahoma" w:hAnsi="Tahoma"/>
          <w:sz w:val="20"/>
          <w:szCs w:val="20"/>
        </w:rPr>
        <w:t xml:space="preserve">This HSE minimum requirement applies to all parties’ personnel working within DAN Company Company Limited “DAN” projects, site offices, or DAN-controlled work areas.</w:t>
      </w:r>
    </w:p>
    <w:p>
      <w:pPr>
        <w:pStyle w:val="Heading1"/>
      </w:pPr>
      <w:bookmarkStart w:id="9002" w:name="_DanToc9002"/>
      <w:r>
        <w:t xml:space="preserve">Definitions</w:t>
      </w:r>
      <w:bookmarkEnd w:id="900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Logistic</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overall process of managing how resources are acquired, stored, and transported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Coupling device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method is used to connect two shafts at their ends to transmit power.</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Uncoupling</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act or process of detaching</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Worker transportation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motor vehicle that is provided by or arranged by an employer to transport 3 or more workers to and or from a workplace.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Glare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visual sensation caused by excessive and uncontrolled brightness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Strobing effects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Producing very short and intense flashes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Led</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Light-emitting diode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Lux level</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si unit of illuminance. One lux is one lumen per square meter (lm/m2)</w:t>
            </w:r>
          </w:p>
        </w:tc>
      </w:tr>
    </w:tbl>
    <w:p>
      <w:pPr>
        <w:pStyle w:val="Heading1"/>
      </w:pPr>
      <w:bookmarkStart w:id="9003" w:name="_DanToc9003"/>
      <w:r>
        <w:t xml:space="preserve">1. Logistics – deliveries and storage</w:t>
      </w:r>
      <w:bookmarkEnd w:id="9003"/>
    </w:p>
    <w:p>
      <w:pPr>
        <w:pStyle w:val="ListParagraph"/>
        <w:numPr>
          <w:ilvl w:val="0"/>
          <w:numId w:val="2"/>
        </w:numPr>
        <w:spacing w:after="60" w:line="268"/>
        <w:jc w:val="both"/>
      </w:pPr>
      <w:r>
        <w:rPr>
          <w:rFonts w:ascii="Tahoma" w:cs="Tahoma" w:eastAsia="Tahoma" w:hAnsi="Tahoma"/>
          <w:sz w:val="20"/>
          <w:szCs w:val="20"/>
        </w:rPr>
        <w:t xml:space="preserve">Material deliveries/collection processes will be established to ensure:</w:t>
      </w:r>
    </w:p>
    <w:p>
      <w:pPr>
        <w:pStyle w:val="ListParagraph"/>
        <w:numPr>
          <w:ilvl w:val="0"/>
          <w:numId w:val="3"/>
        </w:numPr>
        <w:spacing w:after="40" w:line="264"/>
      </w:pPr>
      <w:r>
        <w:rPr>
          <w:rFonts w:ascii="Tahoma" w:cs="Tahoma" w:eastAsia="Tahoma" w:hAnsi="Tahoma"/>
          <w:sz w:val="18"/>
          <w:szCs w:val="18"/>
        </w:rPr>
        <w:t xml:space="preserve">All drivers report to security upon arrival</w:t>
      </w:r>
    </w:p>
    <w:p>
      <w:pPr>
        <w:pStyle w:val="ListParagraph"/>
        <w:numPr>
          <w:ilvl w:val="0"/>
          <w:numId w:val="3"/>
        </w:numPr>
        <w:spacing w:after="40" w:line="264"/>
      </w:pPr>
      <w:r>
        <w:rPr>
          <w:rFonts w:ascii="Tahoma" w:cs="Tahoma" w:eastAsia="Tahoma" w:hAnsi="Tahoma"/>
          <w:sz w:val="18"/>
          <w:szCs w:val="18"/>
        </w:rPr>
        <w:t xml:space="preserve">Drivers are given an HSE briefing/induction before entry onto the site.</w:t>
      </w:r>
    </w:p>
    <w:p>
      <w:pPr>
        <w:pStyle w:val="ListParagraph"/>
        <w:numPr>
          <w:ilvl w:val="0"/>
          <w:numId w:val="3"/>
        </w:numPr>
        <w:spacing w:after="40" w:line="264"/>
      </w:pPr>
      <w:r>
        <w:rPr>
          <w:rFonts w:ascii="Tahoma" w:cs="Tahoma" w:eastAsia="Tahoma" w:hAnsi="Tahoma"/>
          <w:sz w:val="18"/>
          <w:szCs w:val="18"/>
        </w:rPr>
        <w:t xml:space="preserve">Delivery/collection vehicles are given instructions to reach storage/collection areas.</w:t>
      </w:r>
    </w:p>
    <w:p>
      <w:pPr>
        <w:pStyle w:val="ListParagraph"/>
        <w:numPr>
          <w:ilvl w:val="0"/>
          <w:numId w:val="3"/>
        </w:numPr>
        <w:spacing w:after="40" w:line="264"/>
      </w:pPr>
      <w:r>
        <w:rPr>
          <w:rFonts w:ascii="Tahoma" w:cs="Tahoma" w:eastAsia="Tahoma" w:hAnsi="Tahoma"/>
          <w:sz w:val="18"/>
          <w:szCs w:val="18"/>
        </w:rPr>
        <w:t xml:space="preserve">Vehicle loads are checked before entering the site.</w:t>
      </w:r>
    </w:p>
    <w:p>
      <w:pPr>
        <w:pStyle w:val="ListParagraph"/>
        <w:numPr>
          <w:ilvl w:val="0"/>
          <w:numId w:val="3"/>
        </w:numPr>
        <w:spacing w:after="40" w:line="264"/>
      </w:pPr>
      <w:r>
        <w:rPr>
          <w:rFonts w:ascii="Tahoma" w:cs="Tahoma" w:eastAsia="Tahoma" w:hAnsi="Tahoma"/>
          <w:sz w:val="18"/>
          <w:szCs w:val="18"/>
        </w:rPr>
        <w:t xml:space="preserve">Vehicle loads are checked and approved before exiting the site.</w:t>
      </w:r>
    </w:p>
    <w:p>
      <w:pPr>
        <w:pStyle w:val="ListParagraph"/>
        <w:numPr>
          <w:ilvl w:val="0"/>
          <w:numId w:val="3"/>
        </w:numPr>
        <w:spacing w:after="40" w:line="264"/>
      </w:pPr>
      <w:r>
        <w:rPr>
          <w:rFonts w:ascii="Tahoma" w:cs="Tahoma" w:eastAsia="Tahoma" w:hAnsi="Tahoma"/>
          <w:sz w:val="18"/>
          <w:szCs w:val="18"/>
        </w:rPr>
        <w:t xml:space="preserve">Uncoupling/coupling of trailers takes place in a designated area.</w:t>
      </w:r>
    </w:p>
    <w:p>
      <w:pPr>
        <w:pStyle w:val="ListParagraph"/>
        <w:numPr>
          <w:ilvl w:val="0"/>
          <w:numId w:val="2"/>
        </w:numPr>
        <w:spacing w:after="60" w:line="268"/>
        <w:jc w:val="both"/>
      </w:pPr>
      <w:r>
        <w:rPr>
          <w:rFonts w:ascii="Tahoma" w:cs="Tahoma" w:eastAsia="Tahoma" w:hAnsi="Tahoma"/>
          <w:sz w:val="20"/>
          <w:szCs w:val="20"/>
        </w:rPr>
        <w:t xml:space="preserve">Storage areas will be:</w:t>
      </w:r>
    </w:p>
    <w:p>
      <w:pPr>
        <w:pStyle w:val="ListParagraph"/>
        <w:numPr>
          <w:ilvl w:val="0"/>
          <w:numId w:val="3"/>
        </w:numPr>
        <w:spacing w:after="40" w:line="264"/>
      </w:pPr>
      <w:r>
        <w:rPr>
          <w:rFonts w:ascii="Tahoma" w:cs="Tahoma" w:eastAsia="Tahoma" w:hAnsi="Tahoma"/>
          <w:sz w:val="18"/>
          <w:szCs w:val="18"/>
        </w:rPr>
        <w:t xml:space="preserve">Of suitable size with space to allow safe movement around the stored materials.</w:t>
      </w:r>
    </w:p>
    <w:p>
      <w:pPr>
        <w:pStyle w:val="ListParagraph"/>
        <w:numPr>
          <w:ilvl w:val="0"/>
          <w:numId w:val="3"/>
        </w:numPr>
        <w:spacing w:after="40" w:line="264"/>
      </w:pPr>
      <w:r>
        <w:rPr>
          <w:rFonts w:ascii="Tahoma" w:cs="Tahoma" w:eastAsia="Tahoma" w:hAnsi="Tahoma"/>
          <w:sz w:val="18"/>
          <w:szCs w:val="18"/>
        </w:rPr>
        <w:t xml:space="preserve">Located to minimize disruption to construction activities.</w:t>
      </w:r>
    </w:p>
    <w:p>
      <w:pPr>
        <w:pStyle w:val="ListParagraph"/>
        <w:numPr>
          <w:ilvl w:val="0"/>
          <w:numId w:val="3"/>
        </w:numPr>
        <w:spacing w:after="40" w:line="264"/>
      </w:pPr>
      <w:r>
        <w:rPr>
          <w:rFonts w:ascii="Tahoma" w:cs="Tahoma" w:eastAsia="Tahoma" w:hAnsi="Tahoma"/>
          <w:sz w:val="18"/>
          <w:szCs w:val="18"/>
        </w:rPr>
        <w:t xml:space="preserve">Located away from emergency routes.</w:t>
      </w:r>
    </w:p>
    <w:p>
      <w:pPr>
        <w:pStyle w:val="ListParagraph"/>
        <w:numPr>
          <w:ilvl w:val="0"/>
          <w:numId w:val="3"/>
        </w:numPr>
        <w:spacing w:after="40" w:line="264"/>
      </w:pPr>
      <w:r>
        <w:rPr>
          <w:rFonts w:ascii="Tahoma" w:cs="Tahoma" w:eastAsia="Tahoma" w:hAnsi="Tahoma"/>
          <w:sz w:val="18"/>
          <w:szCs w:val="18"/>
        </w:rPr>
        <w:t xml:space="preserve">Managed by a responsible person [logistics manager]</w:t>
      </w:r>
    </w:p>
    <w:p>
      <w:pPr>
        <w:pStyle w:val="ListParagraph"/>
        <w:numPr>
          <w:ilvl w:val="0"/>
          <w:numId w:val="2"/>
        </w:numPr>
        <w:spacing w:after="60" w:line="268"/>
        <w:jc w:val="both"/>
      </w:pPr>
      <w:r>
        <w:rPr>
          <w:rFonts w:ascii="Tahoma" w:cs="Tahoma" w:eastAsia="Tahoma" w:hAnsi="Tahoma"/>
          <w:sz w:val="20"/>
          <w:szCs w:val="20"/>
        </w:rPr>
        <w:t xml:space="preserve">Storage areas will be considered controlled work environments, this includes:</w:t>
      </w:r>
    </w:p>
    <w:p>
      <w:pPr>
        <w:pStyle w:val="ListParagraph"/>
        <w:numPr>
          <w:ilvl w:val="0"/>
          <w:numId w:val="3"/>
        </w:numPr>
        <w:spacing w:after="40" w:line="264"/>
      </w:pPr>
      <w:r>
        <w:rPr>
          <w:rFonts w:ascii="Tahoma" w:cs="Tahoma" w:eastAsia="Tahoma" w:hAnsi="Tahoma"/>
          <w:sz w:val="18"/>
          <w:szCs w:val="18"/>
        </w:rPr>
        <w:t xml:space="preserve">Clear demarcation, secure barriers, sign-posted and adequate lighting</w:t>
      </w:r>
    </w:p>
    <w:p>
      <w:pPr>
        <w:pStyle w:val="ListParagraph"/>
        <w:numPr>
          <w:ilvl w:val="0"/>
          <w:numId w:val="3"/>
        </w:numPr>
        <w:spacing w:after="40" w:line="264"/>
      </w:pPr>
      <w:r>
        <w:rPr>
          <w:rFonts w:ascii="Tahoma" w:cs="Tahoma" w:eastAsia="Tahoma" w:hAnsi="Tahoma"/>
          <w:sz w:val="18"/>
          <w:szCs w:val="18"/>
        </w:rPr>
        <w:t xml:space="preserve">Compacted hard standing - concrete hard standing for palletized materials</w:t>
      </w:r>
    </w:p>
    <w:p>
      <w:pPr>
        <w:pStyle w:val="ListParagraph"/>
        <w:numPr>
          <w:ilvl w:val="0"/>
          <w:numId w:val="3"/>
        </w:numPr>
        <w:spacing w:after="40" w:line="264"/>
      </w:pPr>
      <w:r>
        <w:rPr>
          <w:rFonts w:ascii="Tahoma" w:cs="Tahoma" w:eastAsia="Tahoma" w:hAnsi="Tahoma"/>
          <w:sz w:val="18"/>
          <w:szCs w:val="18"/>
        </w:rPr>
        <w:t xml:space="preserve">Specified limits on pallet stacks to prevent toppling/overturning</w:t>
      </w:r>
    </w:p>
    <w:p>
      <w:pPr>
        <w:pStyle w:val="ListParagraph"/>
        <w:numPr>
          <w:ilvl w:val="0"/>
          <w:numId w:val="3"/>
        </w:numPr>
        <w:spacing w:after="40" w:line="264"/>
      </w:pPr>
      <w:r>
        <w:rPr>
          <w:rFonts w:ascii="Tahoma" w:cs="Tahoma" w:eastAsia="Tahoma" w:hAnsi="Tahoma"/>
          <w:sz w:val="18"/>
          <w:szCs w:val="18"/>
        </w:rPr>
        <w:t xml:space="preserve">Safe unloading/loading methods - controls for working at height</w:t>
      </w:r>
    </w:p>
    <w:p>
      <w:pPr>
        <w:pStyle w:val="ListParagraph"/>
        <w:numPr>
          <w:ilvl w:val="0"/>
          <w:numId w:val="3"/>
        </w:numPr>
        <w:spacing w:after="40" w:line="264"/>
      </w:pPr>
      <w:r>
        <w:rPr>
          <w:rFonts w:ascii="Tahoma" w:cs="Tahoma" w:eastAsia="Tahoma" w:hAnsi="Tahoma"/>
          <w:sz w:val="18"/>
          <w:szCs w:val="18"/>
        </w:rPr>
        <w:t xml:space="preserve">Use of storage racks will require inspections and mark-up with safe working limits [swl]</w:t>
      </w:r>
    </w:p>
    <w:p>
      <w:pPr>
        <w:pStyle w:val="ListParagraph"/>
        <w:numPr>
          <w:ilvl w:val="0"/>
          <w:numId w:val="3"/>
        </w:numPr>
        <w:spacing w:after="40" w:line="264"/>
      </w:pPr>
      <w:r>
        <w:rPr>
          <w:rFonts w:ascii="Tahoma" w:cs="Tahoma" w:eastAsia="Tahoma" w:hAnsi="Tahoma"/>
          <w:sz w:val="18"/>
          <w:szCs w:val="18"/>
        </w:rPr>
        <w:t xml:space="preserve">Equipped with emergency resources including proper backup generator, fire detection, alarms, and extinguishers.</w:t>
      </w:r>
    </w:p>
    <w:p>
      <w:pPr>
        <w:pStyle w:val="ListParagraph"/>
        <w:numPr>
          <w:ilvl w:val="0"/>
          <w:numId w:val="2"/>
        </w:numPr>
        <w:spacing w:after="60" w:line="268"/>
        <w:jc w:val="both"/>
      </w:pPr>
      <w:r>
        <w:rPr>
          <w:rFonts w:ascii="Tahoma" w:cs="Tahoma" w:eastAsia="Tahoma" w:hAnsi="Tahoma"/>
          <w:sz w:val="20"/>
          <w:szCs w:val="20"/>
        </w:rPr>
        <w:t xml:space="preserve">Materials must not be stored outside the designated areas</w:t>
      </w:r>
    </w:p>
    <w:p>
      <w:pPr>
        <w:pStyle w:val="ListParagraph"/>
        <w:numPr>
          <w:ilvl w:val="0"/>
          <w:numId w:val="2"/>
        </w:numPr>
        <w:spacing w:after="60" w:line="268"/>
        <w:jc w:val="both"/>
      </w:pPr>
      <w:r>
        <w:rPr>
          <w:rFonts w:ascii="Tahoma" w:cs="Tahoma" w:eastAsia="Tahoma" w:hAnsi="Tahoma"/>
          <w:sz w:val="20"/>
          <w:szCs w:val="20"/>
        </w:rPr>
        <w:t xml:space="preserve">Material storage areas must not be used by workers as alternative rest areas</w:t>
      </w:r>
    </w:p>
    <w:p>
      <w:pPr>
        <w:pStyle w:val="ListParagraph"/>
        <w:numPr>
          <w:ilvl w:val="0"/>
          <w:numId w:val="2"/>
        </w:numPr>
        <w:spacing w:after="60" w:line="268"/>
        <w:jc w:val="both"/>
      </w:pPr>
      <w:r>
        <w:rPr>
          <w:rFonts w:ascii="Tahoma" w:cs="Tahoma" w:eastAsia="Tahoma" w:hAnsi="Tahoma"/>
          <w:sz w:val="20"/>
          <w:szCs w:val="20"/>
        </w:rPr>
        <w:t xml:space="preserve">Material storage areas will be:</w:t>
      </w:r>
    </w:p>
    <w:p>
      <w:pPr>
        <w:pStyle w:val="ListParagraph"/>
        <w:numPr>
          <w:ilvl w:val="0"/>
          <w:numId w:val="3"/>
        </w:numPr>
        <w:spacing w:after="40" w:line="264"/>
      </w:pPr>
      <w:r>
        <w:rPr>
          <w:rFonts w:ascii="Tahoma" w:cs="Tahoma" w:eastAsia="Tahoma" w:hAnsi="Tahoma"/>
          <w:sz w:val="18"/>
          <w:szCs w:val="18"/>
        </w:rPr>
        <w:t xml:space="preserve">Visually inspected daily</w:t>
      </w:r>
    </w:p>
    <w:p>
      <w:pPr>
        <w:pStyle w:val="ListParagraph"/>
        <w:numPr>
          <w:ilvl w:val="0"/>
          <w:numId w:val="3"/>
        </w:numPr>
        <w:spacing w:after="40" w:line="264"/>
      </w:pPr>
      <w:r>
        <w:rPr>
          <w:rFonts w:ascii="Tahoma" w:cs="Tahoma" w:eastAsia="Tahoma" w:hAnsi="Tahoma"/>
          <w:sz w:val="18"/>
          <w:szCs w:val="18"/>
        </w:rPr>
        <w:t xml:space="preserve">Inspected weekly and the outcomes documented</w:t>
      </w:r>
    </w:p>
    <w:p>
      <w:pPr>
        <w:pStyle w:val="Heading1"/>
      </w:pPr>
      <w:bookmarkStart w:id="9004" w:name="_DanToc9004"/>
      <w:r>
        <w:t xml:space="preserve">2. Workers’ Transportation</w:t>
      </w:r>
      <w:bookmarkEnd w:id="9004"/>
    </w:p>
    <w:p>
      <w:pPr>
        <w:pStyle w:val="ListParagraph"/>
        <w:numPr>
          <w:ilvl w:val="0"/>
          <w:numId w:val="2"/>
        </w:numPr>
        <w:spacing w:after="60" w:line="268"/>
        <w:jc w:val="both"/>
      </w:pPr>
      <w:r>
        <w:rPr>
          <w:rFonts w:ascii="Tahoma" w:cs="Tahoma" w:eastAsia="Tahoma" w:hAnsi="Tahoma"/>
          <w:sz w:val="20"/>
          <w:szCs w:val="20"/>
        </w:rPr>
        <w:t xml:space="preserve">Employer-provided transportation will meet the following requirements:</w:t>
      </w:r>
    </w:p>
    <w:p>
      <w:pPr>
        <w:pStyle w:val="ListParagraph"/>
        <w:numPr>
          <w:ilvl w:val="0"/>
          <w:numId w:val="3"/>
        </w:numPr>
        <w:spacing w:after="40" w:line="264"/>
      </w:pPr>
      <w:r>
        <w:rPr>
          <w:rFonts w:ascii="Tahoma" w:cs="Tahoma" w:eastAsia="Tahoma" w:hAnsi="Tahoma"/>
          <w:sz w:val="18"/>
          <w:szCs w:val="18"/>
        </w:rPr>
        <w:t xml:space="preserve">Compliant with Ministry of Health seating and occupancy requirements</w:t>
      </w:r>
    </w:p>
    <w:p>
      <w:pPr>
        <w:pStyle w:val="ListParagraph"/>
        <w:numPr>
          <w:ilvl w:val="0"/>
          <w:numId w:val="3"/>
        </w:numPr>
        <w:spacing w:after="40" w:line="264"/>
      </w:pPr>
      <w:r>
        <w:rPr>
          <w:rFonts w:ascii="Tahoma" w:cs="Tahoma" w:eastAsia="Tahoma" w:hAnsi="Tahoma"/>
          <w:sz w:val="18"/>
          <w:szCs w:val="18"/>
        </w:rPr>
        <w:t xml:space="preserve">All vehicles will be maintained and remain safe for use</w:t>
      </w:r>
    </w:p>
    <w:p>
      <w:pPr>
        <w:pStyle w:val="ListParagraph"/>
        <w:numPr>
          <w:ilvl w:val="0"/>
          <w:numId w:val="3"/>
        </w:numPr>
        <w:spacing w:after="40" w:line="264"/>
      </w:pPr>
      <w:r>
        <w:rPr>
          <w:rFonts w:ascii="Tahoma" w:cs="Tahoma" w:eastAsia="Tahoma" w:hAnsi="Tahoma"/>
          <w:sz w:val="18"/>
          <w:szCs w:val="18"/>
        </w:rPr>
        <w:t xml:space="preserve">Vehicles used will be subject to an annual inspection by the competent local authority</w:t>
      </w:r>
    </w:p>
    <w:p>
      <w:pPr>
        <w:pStyle w:val="ListParagraph"/>
        <w:numPr>
          <w:ilvl w:val="0"/>
          <w:numId w:val="3"/>
        </w:numPr>
        <w:spacing w:after="40" w:line="264"/>
      </w:pPr>
      <w:r>
        <w:rPr>
          <w:rFonts w:ascii="Tahoma" w:cs="Tahoma" w:eastAsia="Tahoma" w:hAnsi="Tahoma"/>
          <w:sz w:val="18"/>
          <w:szCs w:val="18"/>
        </w:rPr>
        <w:t xml:space="preserve">Drivers will be licensed by road transport authority requirements.</w:t>
      </w:r>
    </w:p>
    <w:p>
      <w:pPr>
        <w:pStyle w:val="ListParagraph"/>
        <w:numPr>
          <w:ilvl w:val="0"/>
          <w:numId w:val="3"/>
        </w:numPr>
        <w:spacing w:after="40" w:line="264"/>
      </w:pPr>
      <w:r>
        <w:rPr>
          <w:rFonts w:ascii="Tahoma" w:cs="Tahoma" w:eastAsia="Tahoma" w:hAnsi="Tahoma"/>
          <w:sz w:val="18"/>
          <w:szCs w:val="18"/>
        </w:rPr>
        <w:t xml:space="preserve">Vehicle’s safety controls for the driver and all passengers and the wellbeing provisions will remain operational, including;</w:t>
      </w:r>
    </w:p>
    <w:p>
      <w:pPr>
        <w:pStyle w:val="ListParagraph"/>
        <w:numPr>
          <w:ilvl w:val="0"/>
          <w:numId w:val="3"/>
        </w:numPr>
        <w:spacing w:after="40" w:line="264"/>
      </w:pPr>
      <w:r>
        <w:rPr>
          <w:rFonts w:ascii="Tahoma" w:cs="Tahoma" w:eastAsia="Tahoma" w:hAnsi="Tahoma"/>
          <w:sz w:val="18"/>
          <w:szCs w:val="18"/>
        </w:rPr>
        <w:t xml:space="preserve">i. Air-conditioning,</w:t>
      </w:r>
    </w:p>
    <w:p>
      <w:pPr>
        <w:pStyle w:val="ListParagraph"/>
        <w:numPr>
          <w:ilvl w:val="0"/>
          <w:numId w:val="3"/>
        </w:numPr>
        <w:spacing w:after="40" w:line="264"/>
      </w:pPr>
      <w:r>
        <w:rPr>
          <w:rFonts w:ascii="Tahoma" w:cs="Tahoma" w:eastAsia="Tahoma" w:hAnsi="Tahoma"/>
          <w:sz w:val="18"/>
          <w:szCs w:val="18"/>
        </w:rPr>
        <w:t xml:space="preserve">ii. Safety controls [seat belts and handgrips],</w:t>
      </w:r>
    </w:p>
    <w:p>
      <w:pPr>
        <w:pStyle w:val="ListParagraph"/>
        <w:numPr>
          <w:ilvl w:val="0"/>
          <w:numId w:val="3"/>
        </w:numPr>
        <w:spacing w:after="40" w:line="264"/>
      </w:pPr>
      <w:r>
        <w:rPr>
          <w:rFonts w:ascii="Tahoma" w:cs="Tahoma" w:eastAsia="Tahoma" w:hAnsi="Tahoma"/>
          <w:sz w:val="18"/>
          <w:szCs w:val="18"/>
        </w:rPr>
        <w:t xml:space="preserve">iii. Emergency arrangements [first-aid kits, fire extinguishers, emergency exit windows, emergency lighting, and signage]</w:t>
      </w:r>
    </w:p>
    <w:p>
      <w:pPr>
        <w:pStyle w:val="ListParagraph"/>
        <w:numPr>
          <w:ilvl w:val="0"/>
          <w:numId w:val="2"/>
        </w:numPr>
        <w:spacing w:after="60" w:line="268"/>
        <w:jc w:val="both"/>
      </w:pPr>
      <w:r>
        <w:rPr>
          <w:rFonts w:ascii="Tahoma" w:cs="Tahoma" w:eastAsia="Tahoma" w:hAnsi="Tahoma"/>
          <w:sz w:val="20"/>
          <w:szCs w:val="20"/>
        </w:rPr>
        <w:t xml:space="preserve">Workers’ transportation will be frequently inspected by a competent person and the outcomes documented</w:t>
      </w:r>
    </w:p>
    <w:p>
      <w:pPr>
        <w:pStyle w:val="Heading1"/>
      </w:pPr>
      <w:bookmarkStart w:id="9005" w:name="_DanToc9005"/>
      <w:r>
        <w:t xml:space="preserve">3. Housekeeping</w:t>
      </w:r>
      <w:bookmarkEnd w:id="9005"/>
    </w:p>
    <w:p>
      <w:pPr>
        <w:spacing w:after="120" w:line="276"/>
        <w:jc w:val="both"/>
      </w:pPr>
      <w:r>
        <w:rPr>
          <w:rFonts w:ascii="Tahoma" w:cs="Tahoma" w:eastAsia="Tahoma" w:hAnsi="Tahoma"/>
          <w:sz w:val="20"/>
          <w:szCs w:val="20"/>
        </w:rPr>
        <w:t xml:space="preserve">All workplaces shall be kept free from safety and health hazards.</w:t>
      </w:r>
    </w:p>
    <w:p>
      <w:pPr>
        <w:pStyle w:val="ListParagraph"/>
        <w:numPr>
          <w:ilvl w:val="0"/>
          <w:numId w:val="2"/>
        </w:numPr>
        <w:spacing w:after="60" w:line="268"/>
        <w:jc w:val="both"/>
      </w:pPr>
      <w:r>
        <w:rPr>
          <w:rFonts w:ascii="Tahoma" w:cs="Tahoma" w:eastAsia="Tahoma" w:hAnsi="Tahoma"/>
          <w:sz w:val="20"/>
          <w:szCs w:val="20"/>
        </w:rPr>
        <w:t xml:space="preserve">It is everyone’s responsibility to make sure housekeeping is a daily activity.</w:t>
      </w:r>
    </w:p>
    <w:p>
      <w:pPr>
        <w:pStyle w:val="ListParagraph"/>
        <w:numPr>
          <w:ilvl w:val="0"/>
          <w:numId w:val="2"/>
        </w:numPr>
        <w:spacing w:after="60" w:line="268"/>
        <w:jc w:val="both"/>
      </w:pPr>
      <w:r>
        <w:rPr>
          <w:rFonts w:ascii="Tahoma" w:cs="Tahoma" w:eastAsia="Tahoma" w:hAnsi="Tahoma"/>
          <w:sz w:val="20"/>
          <w:szCs w:val="20"/>
        </w:rPr>
        <w:t xml:space="preserve">Good housekeeping will be the norm and there are no acceptable excuses for poor housekeeping</w:t>
      </w:r>
    </w:p>
    <w:p>
      <w:pPr>
        <w:pStyle w:val="ListParagraph"/>
        <w:numPr>
          <w:ilvl w:val="0"/>
          <w:numId w:val="2"/>
        </w:numPr>
        <w:spacing w:after="60" w:line="268"/>
        <w:jc w:val="both"/>
      </w:pPr>
      <w:r>
        <w:rPr>
          <w:rFonts w:ascii="Tahoma" w:cs="Tahoma" w:eastAsia="Tahoma" w:hAnsi="Tahoma"/>
          <w:sz w:val="20"/>
          <w:szCs w:val="20"/>
        </w:rPr>
        <w:t xml:space="preserve">All places of work will be kept clean, orderly, and in a sanitary condition to prevent injury, harm, and disease</w:t>
      </w:r>
    </w:p>
    <w:p>
      <w:pPr>
        <w:pStyle w:val="ListParagraph"/>
        <w:numPr>
          <w:ilvl w:val="0"/>
          <w:numId w:val="2"/>
        </w:numPr>
        <w:spacing w:after="60" w:line="268"/>
        <w:jc w:val="both"/>
      </w:pPr>
      <w:r>
        <w:rPr>
          <w:rFonts w:ascii="Tahoma" w:cs="Tahoma" w:eastAsia="Tahoma" w:hAnsi="Tahoma"/>
          <w:sz w:val="20"/>
          <w:szCs w:val="20"/>
        </w:rPr>
        <w:t xml:space="preserve">The floor of every workplace will be maintained and kept in a clean and dry condition to prevent slips, trips, and falls.</w:t>
      </w:r>
    </w:p>
    <w:p>
      <w:pPr>
        <w:pStyle w:val="ListParagraph"/>
        <w:numPr>
          <w:ilvl w:val="0"/>
          <w:numId w:val="2"/>
        </w:numPr>
        <w:spacing w:after="60" w:line="268"/>
        <w:jc w:val="both"/>
      </w:pPr>
      <w:r>
        <w:rPr>
          <w:rFonts w:ascii="Tahoma" w:cs="Tahoma" w:eastAsia="Tahoma" w:hAnsi="Tahoma"/>
          <w:sz w:val="20"/>
          <w:szCs w:val="20"/>
        </w:rPr>
        <w:t xml:space="preserve">Workplaces will be kept free from biological and chemical hazards.</w:t>
      </w:r>
    </w:p>
    <w:p>
      <w:pPr>
        <w:pStyle w:val="ListParagraph"/>
        <w:numPr>
          <w:ilvl w:val="0"/>
          <w:numId w:val="3"/>
        </w:numPr>
        <w:spacing w:after="40" w:line="264"/>
      </w:pPr>
      <w:r>
        <w:rPr>
          <w:rFonts w:ascii="Tahoma" w:cs="Tahoma" w:eastAsia="Tahoma" w:hAnsi="Tahoma"/>
          <w:sz w:val="18"/>
          <w:szCs w:val="18"/>
        </w:rPr>
        <w:t xml:space="preserve">Use of hazardous materials must only be carried out using an approved MSRA</w:t>
      </w:r>
    </w:p>
    <w:p>
      <w:pPr>
        <w:pStyle w:val="ListParagraph"/>
        <w:numPr>
          <w:ilvl w:val="0"/>
          <w:numId w:val="2"/>
        </w:numPr>
        <w:spacing w:after="60" w:line="268"/>
        <w:jc w:val="both"/>
      </w:pPr>
      <w:r>
        <w:rPr>
          <w:rFonts w:ascii="Tahoma" w:cs="Tahoma" w:eastAsia="Tahoma" w:hAnsi="Tahoma"/>
          <w:sz w:val="20"/>
          <w:szCs w:val="20"/>
        </w:rPr>
        <w:t xml:space="preserve">Workplaces will be kept free from excessive storage of materials and waste to prevent fire hazards and public health issues</w:t>
      </w:r>
    </w:p>
    <w:p>
      <w:pPr>
        <w:pStyle w:val="ListParagraph"/>
        <w:numPr>
          <w:ilvl w:val="0"/>
          <w:numId w:val="2"/>
        </w:numPr>
        <w:spacing w:after="60" w:line="268"/>
        <w:jc w:val="both"/>
      </w:pPr>
      <w:r>
        <w:rPr>
          <w:rFonts w:ascii="Tahoma" w:cs="Tahoma" w:eastAsia="Tahoma" w:hAnsi="Tahoma"/>
          <w:sz w:val="20"/>
          <w:szCs w:val="20"/>
        </w:rPr>
        <w:t xml:space="preserve">Workplaces will be kept clear of dust accumulation to protect occupational health</w:t>
      </w:r>
    </w:p>
    <w:p>
      <w:pPr>
        <w:pStyle w:val="ListParagraph"/>
        <w:numPr>
          <w:ilvl w:val="0"/>
          <w:numId w:val="2"/>
        </w:numPr>
        <w:spacing w:after="60" w:line="268"/>
        <w:jc w:val="both"/>
      </w:pPr>
      <w:r>
        <w:rPr>
          <w:rFonts w:ascii="Tahoma" w:cs="Tahoma" w:eastAsia="Tahoma" w:hAnsi="Tahoma"/>
          <w:sz w:val="20"/>
          <w:szCs w:val="20"/>
        </w:rPr>
        <w:t xml:space="preserve">Waste stockpiling must only be permitted in approved locations</w:t>
      </w:r>
    </w:p>
    <w:p>
      <w:pPr>
        <w:pStyle w:val="ListParagraph"/>
        <w:numPr>
          <w:ilvl w:val="0"/>
          <w:numId w:val="2"/>
        </w:numPr>
        <w:spacing w:after="60" w:line="268"/>
        <w:jc w:val="both"/>
      </w:pPr>
      <w:r>
        <w:rPr>
          <w:rFonts w:ascii="Tahoma" w:cs="Tahoma" w:eastAsia="Tahoma" w:hAnsi="Tahoma"/>
          <w:sz w:val="20"/>
          <w:szCs w:val="20"/>
        </w:rPr>
        <w:t xml:space="preserve">Material stockpiling must only be permitted in approved locations</w:t>
      </w:r>
    </w:p>
    <w:p>
      <w:pPr>
        <w:pStyle w:val="ListParagraph"/>
        <w:numPr>
          <w:ilvl w:val="0"/>
          <w:numId w:val="2"/>
        </w:numPr>
        <w:spacing w:after="60" w:line="268"/>
        <w:jc w:val="both"/>
      </w:pPr>
      <w:r>
        <w:rPr>
          <w:rFonts w:ascii="Tahoma" w:cs="Tahoma" w:eastAsia="Tahoma" w:hAnsi="Tahoma"/>
          <w:sz w:val="20"/>
          <w:szCs w:val="20"/>
        </w:rPr>
        <w:t xml:space="preserve">All tools and portal equipment will be removed and stored in approved locations</w:t>
      </w:r>
    </w:p>
    <w:p>
      <w:pPr>
        <w:pStyle w:val="Heading1"/>
      </w:pPr>
      <w:bookmarkStart w:id="9006" w:name="_DanToc9006"/>
      <w:r>
        <w:t xml:space="preserve">4. Lighting</w:t>
      </w:r>
      <w:bookmarkEnd w:id="9006"/>
    </w:p>
    <w:p>
      <w:pPr>
        <w:spacing w:after="120" w:line="276"/>
        <w:jc w:val="both"/>
      </w:pPr>
      <w:r>
        <w:rPr>
          <w:rFonts w:ascii="Tahoma" w:cs="Tahoma" w:eastAsia="Tahoma" w:hAnsi="Tahoma"/>
          <w:sz w:val="20"/>
          <w:szCs w:val="20"/>
        </w:rPr>
        <w:t xml:space="preserve">It is highly recommended and required, whenever applicable, to install and use Lighting bulbs that don’t produce heat, E.g. LEDs or light-emitting diodes don’t require any heat to help their elements ‘glow’.</w:t>
      </w:r>
    </w:p>
    <w:p>
      <w:pPr>
        <w:pStyle w:val="ListParagraph"/>
        <w:numPr>
          <w:ilvl w:val="0"/>
          <w:numId w:val="2"/>
        </w:numPr>
        <w:spacing w:after="60" w:line="268"/>
        <w:jc w:val="both"/>
      </w:pPr>
      <w:r>
        <w:rPr>
          <w:rFonts w:ascii="Tahoma" w:cs="Tahoma" w:eastAsia="Tahoma" w:hAnsi="Tahoma"/>
          <w:sz w:val="20"/>
          <w:szCs w:val="20"/>
        </w:rPr>
        <w:t xml:space="preserve">All areas of construction must be well-lit, either with natural or artificial lighting.</w:t>
      </w:r>
    </w:p>
    <w:p>
      <w:pPr>
        <w:pStyle w:val="ListParagraph"/>
        <w:numPr>
          <w:ilvl w:val="0"/>
          <w:numId w:val="2"/>
        </w:numPr>
        <w:spacing w:after="60" w:line="268"/>
        <w:jc w:val="both"/>
      </w:pPr>
      <w:r>
        <w:rPr>
          <w:rFonts w:ascii="Tahoma" w:cs="Tahoma" w:eastAsia="Tahoma" w:hAnsi="Tahoma"/>
          <w:sz w:val="20"/>
          <w:szCs w:val="20"/>
        </w:rPr>
        <w:t xml:space="preserve">Where required appropriate artificial lighting levels will be provided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Location / area</w:t>
            </w:r>
          </w:p>
        </w:tc>
        <w:tc>
          <w:tcPr>
            <w:tcW w:type="dxa" w:w="28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Minimum lux level</w:t>
            </w:r>
          </w:p>
        </w:tc>
      </w:tr>
      <w:tr>
        <w:tc>
          <w:tcPr>
            <w:tcW w:type="dxa" w:w="6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offices</w:t>
            </w:r>
          </w:p>
        </w:tc>
        <w:tc>
          <w:tcPr>
            <w:tcW w:type="dxa" w:w="2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323</w:t>
            </w:r>
          </w:p>
        </w:tc>
      </w:tr>
      <w:tr>
        <w:tc>
          <w:tcPr>
            <w:tcW w:type="dxa" w:w="6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First-aid stations / medical treatment centres</w:t>
            </w:r>
          </w:p>
        </w:tc>
        <w:tc>
          <w:tcPr>
            <w:tcW w:type="dxa" w:w="2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323</w:t>
            </w:r>
          </w:p>
        </w:tc>
      </w:tr>
      <w:tr>
        <w:tc>
          <w:tcPr>
            <w:tcW w:type="dxa" w:w="6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General work areas</w:t>
            </w:r>
          </w:p>
        </w:tc>
        <w:tc>
          <w:tcPr>
            <w:tcW w:type="dxa" w:w="2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323</w:t>
            </w:r>
          </w:p>
        </w:tc>
      </w:tr>
      <w:tr>
        <w:tc>
          <w:tcPr>
            <w:tcW w:type="dxa" w:w="6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Welfare facilities</w:t>
            </w:r>
          </w:p>
        </w:tc>
        <w:tc>
          <w:tcPr>
            <w:tcW w:type="dxa" w:w="2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108</w:t>
            </w:r>
          </w:p>
        </w:tc>
      </w:tr>
      <w:tr>
        <w:tc>
          <w:tcPr>
            <w:tcW w:type="dxa" w:w="6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Mechanical and electrical equipment rooms</w:t>
            </w:r>
          </w:p>
        </w:tc>
        <w:tc>
          <w:tcPr>
            <w:tcW w:type="dxa" w:w="2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108</w:t>
            </w:r>
          </w:p>
        </w:tc>
      </w:tr>
      <w:tr>
        <w:tc>
          <w:tcPr>
            <w:tcW w:type="dxa" w:w="6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General construction plant and shops</w:t>
            </w:r>
          </w:p>
        </w:tc>
        <w:tc>
          <w:tcPr>
            <w:tcW w:type="dxa" w:w="2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108</w:t>
            </w:r>
          </w:p>
        </w:tc>
      </w:tr>
      <w:tr>
        <w:tc>
          <w:tcPr>
            <w:tcW w:type="dxa" w:w="6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General access / egress routes</w:t>
            </w:r>
          </w:p>
        </w:tc>
        <w:tc>
          <w:tcPr>
            <w:tcW w:type="dxa" w:w="2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54</w:t>
            </w:r>
          </w:p>
        </w:tc>
      </w:tr>
      <w:tr>
        <w:tc>
          <w:tcPr>
            <w:tcW w:type="dxa" w:w="6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Loading platforms</w:t>
            </w:r>
          </w:p>
        </w:tc>
        <w:tc>
          <w:tcPr>
            <w:tcW w:type="dxa" w:w="2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54</w:t>
            </w:r>
          </w:p>
        </w:tc>
      </w:tr>
      <w:tr>
        <w:tc>
          <w:tcPr>
            <w:tcW w:type="dxa" w:w="6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Storage areas</w:t>
            </w:r>
          </w:p>
        </w:tc>
        <w:tc>
          <w:tcPr>
            <w:tcW w:type="dxa" w:w="2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54</w:t>
            </w:r>
          </w:p>
        </w:tc>
      </w:tr>
      <w:tr>
        <w:tc>
          <w:tcPr>
            <w:tcW w:type="dxa" w:w="6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Warehouse</w:t>
            </w:r>
          </w:p>
        </w:tc>
        <w:tc>
          <w:tcPr>
            <w:tcW w:type="dxa" w:w="2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54</w:t>
            </w:r>
          </w:p>
        </w:tc>
      </w:tr>
      <w:tr>
        <w:tc>
          <w:tcPr>
            <w:tcW w:type="dxa" w:w="6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Maintenance areas</w:t>
            </w:r>
          </w:p>
        </w:tc>
        <w:tc>
          <w:tcPr>
            <w:tcW w:type="dxa" w:w="2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54</w:t>
            </w:r>
          </w:p>
        </w:tc>
      </w:tr>
      <w:tr>
        <w:tc>
          <w:tcPr>
            <w:tcW w:type="dxa" w:w="6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General construction sites</w:t>
            </w:r>
          </w:p>
        </w:tc>
        <w:tc>
          <w:tcPr>
            <w:tcW w:type="dxa" w:w="2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54</w:t>
            </w:r>
          </w:p>
        </w:tc>
      </w:tr>
      <w:tr>
        <w:tc>
          <w:tcPr>
            <w:tcW w:type="dxa" w:w="6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Concrete placement</w:t>
            </w:r>
          </w:p>
        </w:tc>
        <w:tc>
          <w:tcPr>
            <w:tcW w:type="dxa" w:w="2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54</w:t>
            </w:r>
          </w:p>
        </w:tc>
      </w:tr>
      <w:tr>
        <w:tc>
          <w:tcPr>
            <w:tcW w:type="dxa" w:w="6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Excavations, tunnels, and shafts</w:t>
            </w:r>
          </w:p>
        </w:tc>
        <w:tc>
          <w:tcPr>
            <w:tcW w:type="dxa" w:w="2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54</w:t>
            </w:r>
          </w:p>
        </w:tc>
      </w:tr>
      <w:tr>
        <w:tc>
          <w:tcPr>
            <w:tcW w:type="dxa" w:w="6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Emergency routes</w:t>
            </w:r>
          </w:p>
        </w:tc>
        <w:tc>
          <w:tcPr>
            <w:tcW w:type="dxa" w:w="2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54</w:t>
            </w:r>
          </w:p>
        </w:tc>
      </w:tr>
    </w:tbl>
    <w:p>
      <w:pPr>
        <w:pStyle w:val="ListParagraph"/>
        <w:numPr>
          <w:ilvl w:val="0"/>
          <w:numId w:val="2"/>
        </w:numPr>
        <w:spacing w:after="60" w:line="268"/>
        <w:jc w:val="both"/>
      </w:pPr>
      <w:r>
        <w:rPr>
          <w:rFonts w:ascii="Tahoma" w:cs="Tahoma" w:eastAsia="Tahoma" w:hAnsi="Tahoma"/>
          <w:sz w:val="20"/>
          <w:szCs w:val="20"/>
        </w:rPr>
        <w:t xml:space="preserve">Artificial lighting sources will be:</w:t>
      </w:r>
    </w:p>
    <w:p>
      <w:pPr>
        <w:pStyle w:val="ListParagraph"/>
        <w:numPr>
          <w:ilvl w:val="0"/>
          <w:numId w:val="3"/>
        </w:numPr>
        <w:spacing w:after="40" w:line="264"/>
      </w:pPr>
      <w:r>
        <w:rPr>
          <w:rFonts w:ascii="Tahoma" w:cs="Tahoma" w:eastAsia="Tahoma" w:hAnsi="Tahoma"/>
          <w:sz w:val="18"/>
          <w:szCs w:val="18"/>
        </w:rPr>
        <w:t xml:space="preserve">Located to prevent glare and shadows</w:t>
      </w:r>
    </w:p>
    <w:p>
      <w:pPr>
        <w:pStyle w:val="ListParagraph"/>
        <w:numPr>
          <w:ilvl w:val="0"/>
          <w:numId w:val="3"/>
        </w:numPr>
        <w:spacing w:after="40" w:line="264"/>
      </w:pPr>
      <w:r>
        <w:rPr>
          <w:rFonts w:ascii="Tahoma" w:cs="Tahoma" w:eastAsia="Tahoma" w:hAnsi="Tahoma"/>
          <w:sz w:val="18"/>
          <w:szCs w:val="18"/>
        </w:rPr>
        <w:t xml:space="preserve">Maintained to prevent strobing effects</w:t>
      </w:r>
    </w:p>
    <w:p>
      <w:pPr>
        <w:pStyle w:val="ListParagraph"/>
        <w:numPr>
          <w:ilvl w:val="0"/>
          <w:numId w:val="2"/>
        </w:numPr>
        <w:spacing w:after="60" w:line="268"/>
        <w:jc w:val="both"/>
      </w:pPr>
      <w:r>
        <w:rPr>
          <w:rFonts w:ascii="Tahoma" w:cs="Tahoma" w:eastAsia="Tahoma" w:hAnsi="Tahoma"/>
          <w:sz w:val="20"/>
          <w:szCs w:val="20"/>
        </w:rPr>
        <w:t xml:space="preserve">Portable task lighting equipment will use LED bulbs only</w:t>
      </w:r>
    </w:p>
    <w:p>
      <w:pPr>
        <w:pStyle w:val="ListParagraph"/>
        <w:numPr>
          <w:ilvl w:val="0"/>
          <w:numId w:val="2"/>
        </w:numPr>
        <w:spacing w:after="60" w:line="268"/>
        <w:jc w:val="both"/>
      </w:pPr>
      <w:r>
        <w:rPr>
          <w:rFonts w:ascii="Tahoma" w:cs="Tahoma" w:eastAsia="Tahoma" w:hAnsi="Tahoma"/>
          <w:sz w:val="20"/>
          <w:szCs w:val="20"/>
        </w:rPr>
        <w:t xml:space="preserve">Temporary artificial lighting will be:</w:t>
      </w:r>
    </w:p>
    <w:p>
      <w:pPr>
        <w:pStyle w:val="ListParagraph"/>
        <w:numPr>
          <w:ilvl w:val="0"/>
          <w:numId w:val="3"/>
        </w:numPr>
        <w:spacing w:after="40" w:line="264"/>
      </w:pPr>
      <w:r>
        <w:rPr>
          <w:rFonts w:ascii="Tahoma" w:cs="Tahoma" w:eastAsia="Tahoma" w:hAnsi="Tahoma"/>
          <w:sz w:val="18"/>
          <w:szCs w:val="18"/>
        </w:rPr>
        <w:t xml:space="preserve">Equipped with guards to prevent accidental contact</w:t>
      </w:r>
    </w:p>
    <w:p>
      <w:pPr>
        <w:pStyle w:val="ListParagraph"/>
        <w:numPr>
          <w:ilvl w:val="0"/>
          <w:numId w:val="3"/>
        </w:numPr>
        <w:spacing w:after="40" w:line="264"/>
      </w:pPr>
      <w:r>
        <w:rPr>
          <w:rFonts w:ascii="Tahoma" w:cs="Tahoma" w:eastAsia="Tahoma" w:hAnsi="Tahoma"/>
          <w:sz w:val="18"/>
          <w:szCs w:val="18"/>
        </w:rPr>
        <w:t xml:space="preserve">Fastened securely to prevent contact with combustible materials</w:t>
      </w:r>
    </w:p>
    <w:p>
      <w:pPr>
        <w:pStyle w:val="ListParagraph"/>
        <w:numPr>
          <w:ilvl w:val="0"/>
          <w:numId w:val="3"/>
        </w:numPr>
        <w:spacing w:after="40" w:line="264"/>
      </w:pPr>
      <w:r>
        <w:rPr>
          <w:rFonts w:ascii="Tahoma" w:cs="Tahoma" w:eastAsia="Tahoma" w:hAnsi="Tahoma"/>
          <w:sz w:val="18"/>
          <w:szCs w:val="18"/>
        </w:rPr>
        <w:t xml:space="preserve">Powered using a heavy-duty electrical feed cord</w:t>
      </w:r>
    </w:p>
    <w:p>
      <w:pPr>
        <w:pStyle w:val="ListParagraph"/>
        <w:numPr>
          <w:ilvl w:val="0"/>
          <w:numId w:val="3"/>
        </w:numPr>
        <w:spacing w:after="40" w:line="264"/>
      </w:pPr>
      <w:r>
        <w:rPr>
          <w:rFonts w:ascii="Tahoma" w:cs="Tahoma" w:eastAsia="Tahoma" w:hAnsi="Tahoma"/>
          <w:sz w:val="18"/>
          <w:szCs w:val="18"/>
        </w:rPr>
        <w:t xml:space="preserve">Suspended using appropriate fixings – not the electrical feed cord</w:t>
      </w:r>
    </w:p>
    <w:p>
      <w:pPr>
        <w:pStyle w:val="ListParagraph"/>
        <w:numPr>
          <w:ilvl w:val="0"/>
          <w:numId w:val="2"/>
        </w:numPr>
        <w:spacing w:after="60" w:line="268"/>
        <w:jc w:val="both"/>
      </w:pPr>
      <w:r>
        <w:rPr>
          <w:rFonts w:ascii="Tahoma" w:cs="Tahoma" w:eastAsia="Tahoma" w:hAnsi="Tahoma"/>
          <w:sz w:val="20"/>
          <w:szCs w:val="20"/>
        </w:rPr>
        <w:t xml:space="preserve">Artificial lighting sources will be inspected, tested, and maintained, and outcomes recorded.</w:t>
      </w:r>
    </w:p>
    <w:p>
      <w:pPr>
        <w:pStyle w:val="ListParagraph"/>
        <w:numPr>
          <w:ilvl w:val="0"/>
          <w:numId w:val="2"/>
        </w:numPr>
        <w:spacing w:after="60" w:line="268"/>
        <w:jc w:val="both"/>
      </w:pPr>
      <w:r>
        <w:rPr>
          <w:rFonts w:ascii="Tahoma" w:cs="Tahoma" w:eastAsia="Tahoma" w:hAnsi="Tahoma"/>
          <w:sz w:val="20"/>
          <w:szCs w:val="20"/>
        </w:rPr>
        <w:t xml:space="preserve">Periodic lighting surveys will be carried out and outcomes recorded</w:t>
      </w:r>
    </w:p>
    <w:p>
      <w:pPr>
        <w:pStyle w:val="Heading1"/>
      </w:pPr>
      <w:bookmarkStart w:id="9007" w:name="_DanToc9007"/>
      <w:r>
        <w:t xml:space="preserve">5. Temporary work</w:t>
      </w:r>
      <w:bookmarkEnd w:id="9007"/>
    </w:p>
    <w:p>
      <w:pPr>
        <w:spacing w:after="120" w:line="276"/>
        <w:jc w:val="both"/>
      </w:pPr>
      <w:r>
        <w:rPr>
          <w:rFonts w:ascii="Tahoma" w:cs="Tahoma" w:eastAsia="Tahoma" w:hAnsi="Tahoma"/>
          <w:sz w:val="20"/>
          <w:szCs w:val="20"/>
        </w:rPr>
        <w:t xml:space="preserve">The Design of temporary structures must be reviewed and approved through the CSC by a chartered Structural Engineer.</w:t>
      </w:r>
    </w:p>
    <w:p>
      <w:pPr>
        <w:pStyle w:val="ListParagraph"/>
        <w:numPr>
          <w:ilvl w:val="0"/>
          <w:numId w:val="2"/>
        </w:numPr>
        <w:spacing w:after="60" w:line="268"/>
        <w:jc w:val="both"/>
      </w:pPr>
      <w:r>
        <w:rPr>
          <w:rFonts w:ascii="Tahoma" w:cs="Tahoma" w:eastAsia="Tahoma" w:hAnsi="Tahoma"/>
          <w:sz w:val="20"/>
          <w:szCs w:val="20"/>
        </w:rPr>
        <w:t xml:space="preserve">Temporary works will apply to the following operations, but are not limited to:</w:t>
      </w:r>
    </w:p>
    <w:p>
      <w:pPr>
        <w:pStyle w:val="ListParagraph"/>
        <w:numPr>
          <w:ilvl w:val="0"/>
          <w:numId w:val="3"/>
        </w:numPr>
        <w:spacing w:after="40" w:line="264"/>
      </w:pPr>
      <w:r>
        <w:rPr>
          <w:rFonts w:ascii="Tahoma" w:cs="Tahoma" w:eastAsia="Tahoma" w:hAnsi="Tahoma"/>
          <w:sz w:val="18"/>
          <w:szCs w:val="18"/>
        </w:rPr>
        <w:t xml:space="preserve">Propping/back propping/formwork/steelwork erection</w:t>
      </w:r>
    </w:p>
    <w:p>
      <w:pPr>
        <w:pStyle w:val="ListParagraph"/>
        <w:numPr>
          <w:ilvl w:val="0"/>
          <w:numId w:val="3"/>
        </w:numPr>
        <w:spacing w:after="40" w:line="264"/>
      </w:pPr>
      <w:r>
        <w:rPr>
          <w:rFonts w:ascii="Tahoma" w:cs="Tahoma" w:eastAsia="Tahoma" w:hAnsi="Tahoma"/>
          <w:sz w:val="18"/>
          <w:szCs w:val="18"/>
        </w:rPr>
        <w:t xml:space="preserve">Crane positioning/tower crane base siting</w:t>
      </w:r>
    </w:p>
    <w:p>
      <w:pPr>
        <w:pStyle w:val="ListParagraph"/>
        <w:numPr>
          <w:ilvl w:val="0"/>
          <w:numId w:val="3"/>
        </w:numPr>
        <w:spacing w:after="40" w:line="264"/>
      </w:pPr>
      <w:r>
        <w:rPr>
          <w:rFonts w:ascii="Tahoma" w:cs="Tahoma" w:eastAsia="Tahoma" w:hAnsi="Tahoma"/>
          <w:sz w:val="18"/>
          <w:szCs w:val="18"/>
        </w:rPr>
        <w:t xml:space="preserve">Temporary access ramps</w:t>
      </w:r>
    </w:p>
    <w:p>
      <w:pPr>
        <w:pStyle w:val="ListParagraph"/>
        <w:numPr>
          <w:ilvl w:val="0"/>
          <w:numId w:val="3"/>
        </w:numPr>
        <w:spacing w:after="40" w:line="264"/>
      </w:pPr>
      <w:r>
        <w:rPr>
          <w:rFonts w:ascii="Tahoma" w:cs="Tahoma" w:eastAsia="Tahoma" w:hAnsi="Tahoma"/>
          <w:sz w:val="18"/>
          <w:szCs w:val="18"/>
        </w:rPr>
        <w:t xml:space="preserve">Working platforms/loading platforms / non-standard scaffold configurations</w:t>
      </w:r>
    </w:p>
    <w:p>
      <w:pPr>
        <w:pStyle w:val="ListParagraph"/>
        <w:numPr>
          <w:ilvl w:val="0"/>
          <w:numId w:val="3"/>
        </w:numPr>
        <w:spacing w:after="40" w:line="264"/>
      </w:pPr>
      <w:r>
        <w:rPr>
          <w:rFonts w:ascii="Tahoma" w:cs="Tahoma" w:eastAsia="Tahoma" w:hAnsi="Tahoma"/>
          <w:sz w:val="18"/>
          <w:szCs w:val="18"/>
        </w:rPr>
        <w:t xml:space="preserve">Security hoardings/project signposts</w:t>
      </w:r>
    </w:p>
    <w:p>
      <w:pPr>
        <w:pStyle w:val="ListParagraph"/>
        <w:numPr>
          <w:ilvl w:val="0"/>
          <w:numId w:val="3"/>
        </w:numPr>
        <w:spacing w:after="40" w:line="264"/>
      </w:pPr>
      <w:r>
        <w:rPr>
          <w:rFonts w:ascii="Tahoma" w:cs="Tahoma" w:eastAsia="Tahoma" w:hAnsi="Tahoma"/>
          <w:sz w:val="18"/>
          <w:szCs w:val="18"/>
        </w:rPr>
        <w:t xml:space="preserve">Excavations/excavation shoring systems/sheet pile walls</w:t>
      </w:r>
    </w:p>
    <w:p>
      <w:pPr>
        <w:pStyle w:val="ListParagraph"/>
        <w:numPr>
          <w:ilvl w:val="0"/>
          <w:numId w:val="2"/>
        </w:numPr>
        <w:spacing w:after="60" w:line="268"/>
        <w:jc w:val="both"/>
      </w:pPr>
      <w:r>
        <w:rPr>
          <w:rFonts w:ascii="Tahoma" w:cs="Tahoma" w:eastAsia="Tahoma" w:hAnsi="Tahoma"/>
          <w:sz w:val="20"/>
          <w:szCs w:val="20"/>
        </w:rPr>
        <w:t xml:space="preserve">All persons involved in managing temporary works:</w:t>
      </w:r>
    </w:p>
    <w:p>
      <w:pPr>
        <w:pStyle w:val="ListParagraph"/>
        <w:numPr>
          <w:ilvl w:val="0"/>
          <w:numId w:val="3"/>
        </w:numPr>
        <w:spacing w:after="40" w:line="264"/>
      </w:pPr>
      <w:r>
        <w:rPr>
          <w:rFonts w:ascii="Tahoma" w:cs="Tahoma" w:eastAsia="Tahoma" w:hAnsi="Tahoma"/>
          <w:sz w:val="18"/>
          <w:szCs w:val="18"/>
        </w:rPr>
        <w:t xml:space="preserve">Must be appointed in writing by the employer, these include:</w:t>
      </w:r>
    </w:p>
    <w:p>
      <w:pPr>
        <w:pStyle w:val="ListParagraph"/>
        <w:numPr>
          <w:ilvl w:val="0"/>
          <w:numId w:val="3"/>
        </w:numPr>
        <w:spacing w:after="40" w:line="264"/>
      </w:pPr>
      <w:r>
        <w:rPr>
          <w:rFonts w:ascii="Tahoma" w:cs="Tahoma" w:eastAsia="Tahoma" w:hAnsi="Tahoma"/>
          <w:sz w:val="18"/>
          <w:szCs w:val="18"/>
        </w:rPr>
        <w:t xml:space="preserve">i. Designers/engineers</w:t>
      </w:r>
    </w:p>
    <w:p>
      <w:pPr>
        <w:pStyle w:val="ListParagraph"/>
        <w:numPr>
          <w:ilvl w:val="0"/>
          <w:numId w:val="3"/>
        </w:numPr>
        <w:spacing w:after="40" w:line="264"/>
      </w:pPr>
      <w:r>
        <w:rPr>
          <w:rFonts w:ascii="Tahoma" w:cs="Tahoma" w:eastAsia="Tahoma" w:hAnsi="Tahoma"/>
          <w:sz w:val="18"/>
          <w:szCs w:val="18"/>
        </w:rPr>
        <w:t xml:space="preserve">ii. Temporary works co-ordinator</w:t>
      </w:r>
    </w:p>
    <w:p>
      <w:pPr>
        <w:pStyle w:val="ListParagraph"/>
        <w:numPr>
          <w:ilvl w:val="0"/>
          <w:numId w:val="3"/>
        </w:numPr>
        <w:spacing w:after="40" w:line="264"/>
      </w:pPr>
      <w:r>
        <w:rPr>
          <w:rFonts w:ascii="Tahoma" w:cs="Tahoma" w:eastAsia="Tahoma" w:hAnsi="Tahoma"/>
          <w:sz w:val="18"/>
          <w:szCs w:val="18"/>
        </w:rPr>
        <w:t xml:space="preserve">iii. Temporary work supervisors</w:t>
      </w:r>
    </w:p>
    <w:p>
      <w:pPr>
        <w:pStyle w:val="ListParagraph"/>
        <w:numPr>
          <w:ilvl w:val="0"/>
          <w:numId w:val="3"/>
        </w:numPr>
        <w:spacing w:after="40" w:line="264"/>
      </w:pPr>
      <w:r>
        <w:rPr>
          <w:rFonts w:ascii="Tahoma" w:cs="Tahoma" w:eastAsia="Tahoma" w:hAnsi="Tahoma"/>
          <w:sz w:val="18"/>
          <w:szCs w:val="18"/>
        </w:rPr>
        <w:t xml:space="preserve">Provided with specific competency-based training</w:t>
      </w:r>
    </w:p>
    <w:p>
      <w:pPr>
        <w:pStyle w:val="ListParagraph"/>
        <w:numPr>
          <w:ilvl w:val="0"/>
          <w:numId w:val="2"/>
        </w:numPr>
        <w:spacing w:after="60" w:line="268"/>
        <w:jc w:val="both"/>
      </w:pPr>
      <w:r>
        <w:rPr>
          <w:rFonts w:ascii="Tahoma" w:cs="Tahoma" w:eastAsia="Tahoma" w:hAnsi="Tahoma"/>
          <w:sz w:val="20"/>
          <w:szCs w:val="20"/>
        </w:rPr>
        <w:t xml:space="preserve">Awareness briefings will be provided to those involved in using temporary works to recognize and respond to the hazards.</w:t>
      </w:r>
    </w:p>
    <w:p>
      <w:pPr>
        <w:pStyle w:val="ListParagraph"/>
        <w:numPr>
          <w:ilvl w:val="0"/>
          <w:numId w:val="2"/>
        </w:numPr>
        <w:spacing w:after="60" w:line="268"/>
        <w:jc w:val="both"/>
      </w:pPr>
      <w:r>
        <w:rPr>
          <w:rFonts w:ascii="Tahoma" w:cs="Tahoma" w:eastAsia="Tahoma" w:hAnsi="Tahoma"/>
          <w:sz w:val="20"/>
          <w:szCs w:val="20"/>
        </w:rPr>
        <w:t xml:space="preserve">Temporary work site operations will have the following in place:</w:t>
      </w:r>
    </w:p>
    <w:p>
      <w:pPr>
        <w:pStyle w:val="ListParagraph"/>
        <w:numPr>
          <w:ilvl w:val="0"/>
          <w:numId w:val="3"/>
        </w:numPr>
        <w:spacing w:after="40" w:line="264"/>
      </w:pPr>
      <w:r>
        <w:rPr>
          <w:rFonts w:ascii="Tahoma" w:cs="Tahoma" w:eastAsia="Tahoma" w:hAnsi="Tahoma"/>
          <w:sz w:val="18"/>
          <w:szCs w:val="18"/>
        </w:rPr>
        <w:t xml:space="preserve">Defined roles &amp; responsibilities</w:t>
      </w:r>
    </w:p>
    <w:p>
      <w:pPr>
        <w:pStyle w:val="ListParagraph"/>
        <w:numPr>
          <w:ilvl w:val="0"/>
          <w:numId w:val="3"/>
        </w:numPr>
        <w:spacing w:after="40" w:line="264"/>
      </w:pPr>
      <w:r>
        <w:rPr>
          <w:rFonts w:ascii="Tahoma" w:cs="Tahoma" w:eastAsia="Tahoma" w:hAnsi="Tahoma"/>
          <w:sz w:val="18"/>
          <w:szCs w:val="18"/>
        </w:rPr>
        <w:t xml:space="preserve">Temporary works checklist</w:t>
      </w:r>
    </w:p>
    <w:p>
      <w:pPr>
        <w:pStyle w:val="ListParagraph"/>
        <w:numPr>
          <w:ilvl w:val="0"/>
          <w:numId w:val="3"/>
        </w:numPr>
        <w:spacing w:after="40" w:line="264"/>
      </w:pPr>
      <w:r>
        <w:rPr>
          <w:rFonts w:ascii="Tahoma" w:cs="Tahoma" w:eastAsia="Tahoma" w:hAnsi="Tahoma"/>
          <w:sz w:val="18"/>
          <w:szCs w:val="18"/>
        </w:rPr>
        <w:t xml:space="preserve">inspection records</w:t>
      </w:r>
    </w:p>
    <w:p>
      <w:pPr>
        <w:pStyle w:val="ListParagraph"/>
        <w:numPr>
          <w:ilvl w:val="0"/>
          <w:numId w:val="3"/>
        </w:numPr>
        <w:spacing w:after="40" w:line="264"/>
      </w:pPr>
      <w:r>
        <w:rPr>
          <w:rFonts w:ascii="Tahoma" w:cs="Tahoma" w:eastAsia="Tahoma" w:hAnsi="Tahoma"/>
          <w:sz w:val="18"/>
          <w:szCs w:val="18"/>
        </w:rPr>
        <w:t xml:space="preserve">PTW load &amp; dismantle</w:t>
      </w:r>
    </w:p>
    <w:p>
      <w:pPr>
        <w:pStyle w:val="ListParagraph"/>
        <w:numPr>
          <w:ilvl w:val="0"/>
          <w:numId w:val="3"/>
        </w:numPr>
        <w:spacing w:after="40" w:line="264"/>
      </w:pPr>
      <w:r>
        <w:rPr>
          <w:rFonts w:ascii="Tahoma" w:cs="Tahoma" w:eastAsia="Tahoma" w:hAnsi="Tahoma"/>
          <w:sz w:val="18"/>
          <w:szCs w:val="18"/>
        </w:rPr>
        <w:t xml:space="preserve">Temporary work site operations will be: approved design</w:t>
      </w:r>
    </w:p>
    <w:p>
      <w:pPr>
        <w:pStyle w:val="ListParagraph"/>
        <w:numPr>
          <w:ilvl w:val="0"/>
          <w:numId w:val="3"/>
        </w:numPr>
        <w:spacing w:after="40" w:line="264"/>
      </w:pPr>
      <w:r>
        <w:rPr>
          <w:rFonts w:ascii="Tahoma" w:cs="Tahoma" w:eastAsia="Tahoma" w:hAnsi="Tahoma"/>
          <w:sz w:val="18"/>
          <w:szCs w:val="18"/>
        </w:rPr>
        <w:t xml:space="preserve">Frequent inspection/Audit Records and evidence</w:t>
      </w:r>
    </w:p>
    <w:p>
      <w:pPr>
        <w:pStyle w:val="ListParagraph"/>
        <w:numPr>
          <w:ilvl w:val="0"/>
          <w:numId w:val="2"/>
        </w:numPr>
        <w:spacing w:after="60" w:line="268"/>
        <w:jc w:val="both"/>
      </w:pPr>
      <w:r>
        <w:rPr>
          <w:rFonts w:ascii="Tahoma" w:cs="Tahoma" w:eastAsia="Tahoma" w:hAnsi="Tahoma"/>
          <w:sz w:val="20"/>
          <w:szCs w:val="20"/>
        </w:rPr>
        <w:t xml:space="preserve">Approved logistic plan</w:t>
      </w:r>
    </w:p>
    <w:p>
      <w:pPr>
        <w:pStyle w:val="ListParagraph"/>
        <w:numPr>
          <w:ilvl w:val="0"/>
          <w:numId w:val="2"/>
        </w:numPr>
        <w:spacing w:after="60" w:line="268"/>
        <w:jc w:val="both"/>
      </w:pPr>
      <w:r>
        <w:rPr>
          <w:rFonts w:ascii="Tahoma" w:cs="Tahoma" w:eastAsia="Tahoma" w:hAnsi="Tahoma"/>
          <w:sz w:val="20"/>
          <w:szCs w:val="20"/>
        </w:rPr>
        <w:t xml:space="preserve">Approved project specific HSE plan procedures</w:t>
      </w:r>
    </w:p>
    <w:p>
      <w:pPr>
        <w:pStyle w:val="ListParagraph"/>
        <w:numPr>
          <w:ilvl w:val="0"/>
          <w:numId w:val="2"/>
        </w:numPr>
        <w:spacing w:after="60" w:line="268"/>
        <w:jc w:val="both"/>
      </w:pPr>
      <w:r>
        <w:rPr>
          <w:rFonts w:ascii="Tahoma" w:cs="Tahoma" w:eastAsia="Tahoma" w:hAnsi="Tahoma"/>
          <w:sz w:val="20"/>
          <w:szCs w:val="20"/>
        </w:rPr>
        <w:t xml:space="preserve">Induction &amp; security briefing record</w:t>
      </w:r>
    </w:p>
    <w:p>
      <w:pPr>
        <w:pStyle w:val="ListParagraph"/>
        <w:numPr>
          <w:ilvl w:val="0"/>
          <w:numId w:val="2"/>
        </w:numPr>
        <w:spacing w:after="60" w:line="268"/>
        <w:jc w:val="both"/>
      </w:pPr>
      <w:r>
        <w:rPr>
          <w:rFonts w:ascii="Tahoma" w:cs="Tahoma" w:eastAsia="Tahoma" w:hAnsi="Tahoma"/>
          <w:sz w:val="20"/>
          <w:szCs w:val="20"/>
        </w:rPr>
        <w:t xml:space="preserve">Security records/briefings &amp; inductions</w:t>
      </w:r>
    </w:p>
    <w:p>
      <w:pPr>
        <w:pStyle w:val="ListParagraph"/>
        <w:numPr>
          <w:ilvl w:val="0"/>
          <w:numId w:val="2"/>
        </w:numPr>
        <w:spacing w:after="60" w:line="268"/>
        <w:jc w:val="both"/>
      </w:pPr>
      <w:r>
        <w:rPr>
          <w:rFonts w:ascii="Tahoma" w:cs="Tahoma" w:eastAsia="Tahoma" w:hAnsi="Tahoma"/>
          <w:sz w:val="20"/>
          <w:szCs w:val="20"/>
        </w:rPr>
        <w:t xml:space="preserve">Vehicle load checklist</w:t>
      </w:r>
    </w:p>
    <w:p>
      <w:pPr>
        <w:pStyle w:val="ListParagraph"/>
        <w:numPr>
          <w:ilvl w:val="0"/>
          <w:numId w:val="2"/>
        </w:numPr>
        <w:spacing w:after="60" w:line="268"/>
        <w:jc w:val="both"/>
      </w:pPr>
      <w:r>
        <w:rPr>
          <w:rFonts w:ascii="Tahoma" w:cs="Tahoma" w:eastAsia="Tahoma" w:hAnsi="Tahoma"/>
          <w:sz w:val="20"/>
          <w:szCs w:val="20"/>
        </w:rPr>
        <w:t xml:space="preserve">Workplace inspection records</w:t>
      </w:r>
    </w:p>
    <w:p>
      <w:pPr>
        <w:pStyle w:val="ListParagraph"/>
        <w:numPr>
          <w:ilvl w:val="0"/>
          <w:numId w:val="2"/>
        </w:numPr>
        <w:spacing w:after="60" w:line="268"/>
        <w:jc w:val="both"/>
      </w:pPr>
      <w:r>
        <w:rPr>
          <w:rFonts w:ascii="Tahoma" w:cs="Tahoma" w:eastAsia="Tahoma" w:hAnsi="Tahoma"/>
          <w:sz w:val="20"/>
          <w:szCs w:val="20"/>
        </w:rPr>
        <w:t xml:space="preserve">Lighting plan [part of the logistics plan]</w:t>
      </w:r>
    </w:p>
    <w:p>
      <w:pPr>
        <w:pStyle w:val="ListParagraph"/>
        <w:numPr>
          <w:ilvl w:val="0"/>
          <w:numId w:val="2"/>
        </w:numPr>
        <w:spacing w:after="60" w:line="268"/>
        <w:jc w:val="both"/>
      </w:pPr>
      <w:r>
        <w:rPr>
          <w:rFonts w:ascii="Tahoma" w:cs="Tahoma" w:eastAsia="Tahoma" w:hAnsi="Tahoma"/>
          <w:sz w:val="20"/>
          <w:szCs w:val="20"/>
        </w:rPr>
        <w:t xml:space="preserve">Lighting survey reports</w:t>
      </w:r>
    </w:p>
    <w:p>
      <w:pPr>
        <w:pStyle w:val="ListParagraph"/>
        <w:numPr>
          <w:ilvl w:val="0"/>
          <w:numId w:val="2"/>
        </w:numPr>
        <w:spacing w:after="60" w:line="268"/>
        <w:jc w:val="both"/>
      </w:pPr>
      <w:r>
        <w:rPr>
          <w:rFonts w:ascii="Tahoma" w:cs="Tahoma" w:eastAsia="Tahoma" w:hAnsi="Tahoma"/>
          <w:sz w:val="20"/>
          <w:szCs w:val="20"/>
        </w:rPr>
        <w:t xml:space="preserve">Site inspection records</w:t>
      </w:r>
    </w:p>
    <w:p>
      <w:pPr>
        <w:pStyle w:val="ListParagraph"/>
        <w:numPr>
          <w:ilvl w:val="0"/>
          <w:numId w:val="2"/>
        </w:numPr>
        <w:spacing w:after="60" w:line="268"/>
        <w:jc w:val="both"/>
      </w:pPr>
      <w:r>
        <w:rPr>
          <w:rFonts w:ascii="Tahoma" w:cs="Tahoma" w:eastAsia="Tahoma" w:hAnsi="Tahoma"/>
          <w:sz w:val="20"/>
          <w:szCs w:val="20"/>
        </w:rPr>
        <w:t xml:space="preserve">PTW</w:t>
      </w:r>
    </w:p>
    <w:p>
      <w:pPr>
        <w:pStyle w:val="Heading1"/>
      </w:pPr>
      <w:bookmarkStart w:id="9008" w:name="_DanToc9008"/>
      <w:r>
        <w:t xml:space="preserve">Standards</w:t>
      </w:r>
      <w:bookmarkEnd w:id="9008"/>
    </w:p>
    <w:p>
      <w:pPr>
        <w:pStyle w:val="ListParagraph"/>
        <w:numPr>
          <w:ilvl w:val="0"/>
          <w:numId w:val="2"/>
        </w:numPr>
        <w:spacing w:after="60" w:line="268"/>
        <w:jc w:val="both"/>
      </w:pPr>
      <w:r>
        <w:rPr>
          <w:rFonts w:ascii="Tahoma" w:cs="Tahoma" w:eastAsia="Tahoma" w:hAnsi="Tahoma"/>
          <w:sz w:val="20"/>
          <w:szCs w:val="20"/>
        </w:rPr>
        <w:t xml:space="preserve">DAN Construction HSE Management System Manual (01-000001-000000-DAN-HSE-MAN-000001) and management procedures</w:t>
      </w:r>
    </w:p>
    <w:p>
      <w:pPr>
        <w:pStyle w:val="ListParagraph"/>
        <w:numPr>
          <w:ilvl w:val="0"/>
          <w:numId w:val="2"/>
        </w:numPr>
        <w:spacing w:after="60" w:line="268"/>
        <w:jc w:val="both"/>
      </w:pPr>
      <w:r>
        <w:rPr>
          <w:rFonts w:ascii="Tahoma" w:cs="Tahoma" w:eastAsia="Tahoma" w:hAnsi="Tahoma"/>
          <w:sz w:val="20"/>
          <w:szCs w:val="20"/>
        </w:rPr>
        <w:t xml:space="preserve">Saudi labor law – royal decree no. M/51, 23 Sha’ban 1426 / 27 September 2005</w:t>
      </w:r>
    </w:p>
    <w:p>
      <w:pPr>
        <w:pStyle w:val="Heading1"/>
      </w:pPr>
      <w:bookmarkStart w:id="9009" w:name="_DanToc9009"/>
      <w:r>
        <w:t xml:space="preserve">Tools and References</w:t>
      </w:r>
      <w:bookmarkEnd w:id="9009"/>
    </w:p>
    <w:p>
      <w:pPr>
        <w:pStyle w:val="ListParagraph"/>
        <w:numPr>
          <w:ilvl w:val="0"/>
          <w:numId w:val="2"/>
        </w:numPr>
        <w:spacing w:after="60" w:line="268"/>
        <w:jc w:val="both"/>
      </w:pPr>
      <w:r>
        <w:rPr>
          <w:rFonts w:ascii="Tahoma" w:cs="Tahoma" w:eastAsia="Tahoma" w:hAnsi="Tahoma"/>
          <w:sz w:val="20"/>
          <w:szCs w:val="20"/>
        </w:rPr>
        <w:t xml:space="preserve">Osha regulations 1926.56 illumination</w:t>
      </w:r>
    </w:p>
    <w:p>
      <w:pPr>
        <w:pStyle w:val="ListParagraph"/>
        <w:numPr>
          <w:ilvl w:val="0"/>
          <w:numId w:val="2"/>
        </w:numPr>
        <w:spacing w:after="60" w:line="268"/>
        <w:jc w:val="both"/>
      </w:pPr>
      <w:r>
        <w:rPr>
          <w:rFonts w:ascii="Tahoma" w:cs="Tahoma" w:eastAsia="Tahoma" w:hAnsi="Tahoma"/>
          <w:sz w:val="20"/>
          <w:szCs w:val="20"/>
        </w:rPr>
        <w:t xml:space="preserve">Osha regulations 1915.82 lighting</w:t>
      </w:r>
    </w:p>
    <w:p>
      <w:pPr>
        <w:pStyle w:val="ListParagraph"/>
        <w:numPr>
          <w:ilvl w:val="0"/>
          <w:numId w:val="2"/>
        </w:numPr>
        <w:spacing w:after="60" w:line="268"/>
        <w:jc w:val="both"/>
      </w:pPr>
      <w:r>
        <w:rPr>
          <w:rFonts w:ascii="Tahoma" w:cs="Tahoma" w:eastAsia="Tahoma" w:hAnsi="Tahoma"/>
          <w:sz w:val="20"/>
          <w:szCs w:val="20"/>
        </w:rPr>
        <w:t xml:space="preserve">Osha regulations 1915.81 housekeeping</w:t>
      </w:r>
    </w:p>
    <w:p>
      <w:pPr>
        <w:pStyle w:val="Heading1"/>
      </w:pPr>
      <w:bookmarkStart w:id="9010" w:name="_DanToc9010"/>
      <w:r>
        <w:t xml:space="preserve">Revision History</w:t>
      </w:r>
      <w:bookmarkEnd w:id="901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 issue — DAN HSE Minimum Requirement, adapted from the source OH&amp;S minimum requirement, re-branded to DAN and coded to the DAN document-numbering convention (01-000001-000000-DAN-HSE-MNR-{seq}).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Manager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HSE Minimum Requirement — General Site Safety Rules</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01-000001-000000-DAN-HSE-MNR-000002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 Site Safety Rules</dc:title>
  <dc:creator>DAN HSSE Management System</dc:creator>
  <cp:lastModifiedBy>Un-named</cp:lastModifiedBy>
  <cp:revision>1</cp:revision>
  <dcterms:created xsi:type="dcterms:W3CDTF">2026-09-01T13:19:50.267Z</dcterms:created>
  <dcterms:modified xsi:type="dcterms:W3CDTF">2026-09-01T13:19:50.267Z</dcterms:modified>
</cp:coreProperties>
</file>

<file path=docProps/custom.xml><?xml version="1.0" encoding="utf-8"?>
<Properties xmlns="http://schemas.openxmlformats.org/officeDocument/2006/custom-properties" xmlns:vt="http://schemas.openxmlformats.org/officeDocument/2006/docPropsVTypes"/>
</file>