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HSE Minimum Requirements</w:t>
      </w:r>
    </w:p>
    <w:p>
      <w:pPr>
        <w:spacing w:after="0" w:before="720"/>
      </w:pPr>
      <w:r>
        <w:rPr>
          <w:rFonts w:ascii="Tahoma" w:cs="Tahoma" w:eastAsia="Tahoma" w:hAnsi="Tahoma"/>
          <w:b/>
          <w:bCs/>
          <w:color w:val="542A12"/>
          <w:sz w:val="44"/>
          <w:szCs w:val="44"/>
        </w:rPr>
        <w:t xml:space="preserve">Tools and Equipment</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01-000001-000000-DAN-HSE-MNR-000019</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Purpose</w:t>
            </w:r>
          </w:hyperlink>
        </w:p>
        <w:p>
          <w:pPr>
            <w:spacing w:after="40" w:line="259"/>
            <w:ind w:left="0"/>
          </w:pPr>
          <w:hyperlink w:anchor="_DanToc9001" w:history="1">
            <w:r>
              <w:rPr>
                <w:rFonts w:ascii="Tahoma" w:hAnsi="Tahoma" w:cs="Tahoma"/>
                <w:b/>
                <w:color w:val="542A12"/>
                <w:sz w:val="20"/>
              </w:rPr>
              <w:t xml:space="preserve">Scope</w:t>
            </w:r>
          </w:hyperlink>
        </w:p>
        <w:p>
          <w:pPr>
            <w:spacing w:after="40" w:line="259"/>
            <w:ind w:left="0"/>
          </w:pPr>
          <w:hyperlink w:anchor="_DanToc9002" w:history="1">
            <w:r>
              <w:rPr>
                <w:rFonts w:ascii="Tahoma" w:hAnsi="Tahoma" w:cs="Tahoma"/>
                <w:b/>
                <w:color w:val="542A12"/>
                <w:sz w:val="20"/>
              </w:rPr>
              <w:t xml:space="preserve">Definitions</w:t>
            </w:r>
          </w:hyperlink>
        </w:p>
        <w:p>
          <w:pPr>
            <w:spacing w:after="40" w:line="259"/>
            <w:ind w:left="0"/>
          </w:pPr>
          <w:hyperlink w:anchor="_DanToc9003" w:history="1">
            <w:r>
              <w:rPr>
                <w:rFonts w:ascii="Tahoma" w:hAnsi="Tahoma" w:cs="Tahoma"/>
                <w:b/>
                <w:color w:val="542A12"/>
                <w:sz w:val="20"/>
              </w:rPr>
              <w:t xml:space="preserve">1.0 General Requirements</w:t>
            </w:r>
          </w:hyperlink>
        </w:p>
        <w:p>
          <w:pPr>
            <w:spacing w:after="40" w:line="259"/>
            <w:ind w:left="0"/>
          </w:pPr>
          <w:hyperlink w:anchor="_DanToc9004" w:history="1">
            <w:r>
              <w:rPr>
                <w:rFonts w:ascii="Tahoma" w:hAnsi="Tahoma" w:cs="Tahoma"/>
                <w:b/>
                <w:color w:val="542A12"/>
                <w:sz w:val="20"/>
              </w:rPr>
              <w:t xml:space="preserve">2.0 Portable Electric Power Tools and Extension Cords</w:t>
            </w:r>
          </w:hyperlink>
        </w:p>
        <w:p>
          <w:pPr>
            <w:spacing w:after="40" w:line="259"/>
            <w:ind w:left="0"/>
          </w:pPr>
          <w:hyperlink w:anchor="_DanToc9005" w:history="1">
            <w:r>
              <w:rPr>
                <w:rFonts w:ascii="Tahoma" w:hAnsi="Tahoma" w:cs="Tahoma"/>
                <w:b/>
                <w:color w:val="542A12"/>
                <w:sz w:val="20"/>
              </w:rPr>
              <w:t xml:space="preserve">3.0 Grinding Tools – General Requirements</w:t>
            </w:r>
          </w:hyperlink>
        </w:p>
        <w:p>
          <w:pPr>
            <w:spacing w:after="40" w:line="259"/>
            <w:ind w:left="0"/>
          </w:pPr>
          <w:hyperlink w:anchor="_DanToc9006" w:history="1">
            <w:r>
              <w:rPr>
                <w:rFonts w:ascii="Tahoma" w:hAnsi="Tahoma" w:cs="Tahoma"/>
                <w:b/>
                <w:color w:val="542A12"/>
                <w:sz w:val="20"/>
              </w:rPr>
              <w:t xml:space="preserve">4.0 Powder Actuated Fastening Tools</w:t>
            </w:r>
          </w:hyperlink>
        </w:p>
        <w:p>
          <w:pPr>
            <w:spacing w:after="40" w:line="259"/>
            <w:ind w:left="0"/>
          </w:pPr>
          <w:hyperlink w:anchor="_DanToc9007" w:history="1">
            <w:r>
              <w:rPr>
                <w:rFonts w:ascii="Tahoma" w:hAnsi="Tahoma" w:cs="Tahoma"/>
                <w:b/>
                <w:color w:val="542A12"/>
                <w:sz w:val="20"/>
              </w:rPr>
              <w:t xml:space="preserve">5.0 Compressed Air Units</w:t>
            </w:r>
          </w:hyperlink>
        </w:p>
        <w:p>
          <w:pPr>
            <w:spacing w:after="40" w:line="259"/>
            <w:ind w:left="0"/>
          </w:pPr>
          <w:hyperlink w:anchor="_DanToc9008" w:history="1">
            <w:r>
              <w:rPr>
                <w:rFonts w:ascii="Tahoma" w:hAnsi="Tahoma" w:cs="Tahoma"/>
                <w:b/>
                <w:color w:val="542A12"/>
                <w:sz w:val="20"/>
              </w:rPr>
              <w:t xml:space="preserve">Standards</w:t>
            </w:r>
          </w:hyperlink>
        </w:p>
        <w:p>
          <w:pPr>
            <w:spacing w:after="40" w:line="259"/>
            <w:ind w:left="0"/>
          </w:pPr>
          <w:hyperlink w:anchor="_DanToc9009" w:history="1">
            <w:r>
              <w:rPr>
                <w:rFonts w:ascii="Tahoma" w:hAnsi="Tahoma" w:cs="Tahoma"/>
                <w:b/>
                <w:color w:val="542A12"/>
                <w:sz w:val="20"/>
              </w:rPr>
              <w:t xml:space="preserve">Tools and References</w:t>
            </w:r>
          </w:hyperlink>
        </w:p>
        <w:p>
          <w:pPr>
            <w:spacing w:after="40" w:line="259"/>
            <w:ind w:left="0"/>
          </w:pPr>
          <w:hyperlink w:anchor="_DanToc9010"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Purpose</w:t>
      </w:r>
      <w:bookmarkEnd w:id="9000"/>
    </w:p>
    <w:p>
      <w:pPr>
        <w:spacing w:after="120" w:line="276"/>
        <w:jc w:val="both"/>
      </w:pPr>
      <w:r>
        <w:rPr>
          <w:rFonts w:ascii="Tahoma" w:cs="Tahoma" w:eastAsia="Tahoma" w:hAnsi="Tahoma"/>
          <w:sz w:val="20"/>
          <w:szCs w:val="20"/>
        </w:rPr>
        <w:t xml:space="preserve">The purpose of Tools &amp; Equipment HSE Requirement is to eliminate hazards associated with the use of portable tools, and equipment to ensure employees are properly trained to utilize these tools &amp; equipment safely and this minimizes injuries /or accidents associated with their use.</w:t>
      </w:r>
    </w:p>
    <w:p>
      <w:pPr>
        <w:pStyle w:val="Heading1"/>
      </w:pPr>
      <w:bookmarkStart w:id="9001" w:name="_DanToc9001"/>
      <w:r>
        <w:t xml:space="preserve">Scope</w:t>
      </w:r>
      <w:bookmarkEnd w:id="9001"/>
    </w:p>
    <w:p>
      <w:pPr>
        <w:spacing w:after="120" w:line="276"/>
        <w:jc w:val="both"/>
      </w:pPr>
      <w:r>
        <w:rPr>
          <w:rFonts w:ascii="Tahoma" w:cs="Tahoma" w:eastAsia="Tahoma" w:hAnsi="Tahoma"/>
          <w:sz w:val="20"/>
          <w:szCs w:val="20"/>
        </w:rPr>
        <w:t xml:space="preserve">This HSE Minimum Requirement applies to all parties’ tools &amp; equipment working within of DAN Company Project, site offices, or DAN-controlled work areas/Offices.</w:t>
      </w:r>
    </w:p>
    <w:p>
      <w:pPr>
        <w:pStyle w:val="Heading1"/>
      </w:pPr>
      <w:bookmarkStart w:id="9002" w:name="_DanToc9002"/>
      <w:r>
        <w:t xml:space="preserve">Definitions</w:t>
      </w:r>
      <w:bookmarkEnd w:id="900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Portable Power Tools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mounted or portable tool that requires a power source to operate, such as an electric, pneumatic, liquid fuel, hydraulic, explosive-actuated, and powderactuated device, or power supply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Hand Tools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nonpowered tool operates only through physical exertion by hand and includes anything from axes to wrenches and paper-cutting boards in offices.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Compressed Air Units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unit that mechanically increases the pressure of a gas by reducing its volume.</w:t>
            </w:r>
          </w:p>
        </w:tc>
      </w:tr>
    </w:tbl>
    <w:p>
      <w:pPr>
        <w:pStyle w:val="Heading1"/>
      </w:pPr>
      <w:bookmarkStart w:id="9003" w:name="_DanToc9003"/>
      <w:r>
        <w:t xml:space="preserve">1.0 General Requirements</w:t>
      </w:r>
      <w:bookmarkEnd w:id="9003"/>
    </w:p>
    <w:p>
      <w:pPr>
        <w:pStyle w:val="ListParagraph"/>
        <w:numPr>
          <w:ilvl w:val="0"/>
          <w:numId w:val="2"/>
        </w:numPr>
        <w:spacing w:after="60" w:line="268"/>
        <w:jc w:val="both"/>
      </w:pPr>
      <w:r>
        <w:rPr>
          <w:rFonts w:ascii="Tahoma" w:cs="Tahoma" w:eastAsia="Tahoma" w:hAnsi="Tahoma"/>
          <w:sz w:val="20"/>
          <w:szCs w:val="20"/>
        </w:rPr>
        <w:t xml:space="preserve">Required work permits shall be obtained when using hand and power tools.</w:t>
      </w:r>
    </w:p>
    <w:p>
      <w:pPr>
        <w:pStyle w:val="ListParagraph"/>
        <w:numPr>
          <w:ilvl w:val="0"/>
          <w:numId w:val="2"/>
        </w:numPr>
        <w:spacing w:after="60" w:line="268"/>
        <w:jc w:val="both"/>
      </w:pPr>
      <w:r>
        <w:rPr>
          <w:rFonts w:ascii="Tahoma" w:cs="Tahoma" w:eastAsia="Tahoma" w:hAnsi="Tahoma"/>
          <w:sz w:val="20"/>
          <w:szCs w:val="20"/>
        </w:rPr>
        <w:t xml:space="preserve">Appropriate personal protective equipment (PPE) shall always be worn when using hand and power tools.</w:t>
      </w:r>
    </w:p>
    <w:p>
      <w:pPr>
        <w:pStyle w:val="ListParagraph"/>
        <w:numPr>
          <w:ilvl w:val="0"/>
          <w:numId w:val="2"/>
        </w:numPr>
        <w:spacing w:after="60" w:line="268"/>
        <w:jc w:val="both"/>
      </w:pPr>
      <w:r>
        <w:rPr>
          <w:rFonts w:ascii="Tahoma" w:cs="Tahoma" w:eastAsia="Tahoma" w:hAnsi="Tahoma"/>
          <w:sz w:val="20"/>
          <w:szCs w:val="20"/>
        </w:rPr>
        <w:t xml:space="preserve">Personnel shall not operate any tools unless they are appropriately trained in their selection, use, inspection, and storage. Training records shall be made available upon request.</w:t>
      </w:r>
    </w:p>
    <w:p>
      <w:pPr>
        <w:pStyle w:val="ListParagraph"/>
        <w:numPr>
          <w:ilvl w:val="0"/>
          <w:numId w:val="2"/>
        </w:numPr>
        <w:spacing w:after="60" w:line="268"/>
        <w:jc w:val="both"/>
      </w:pPr>
      <w:r>
        <w:rPr>
          <w:rFonts w:ascii="Tahoma" w:cs="Tahoma" w:eastAsia="Tahoma" w:hAnsi="Tahoma"/>
          <w:sz w:val="20"/>
          <w:szCs w:val="20"/>
        </w:rPr>
        <w:t xml:space="preserve">Tools constructed of good quality materials shall be used and the use of “homemade” tools is prohibited.</w:t>
      </w:r>
    </w:p>
    <w:p>
      <w:pPr>
        <w:pStyle w:val="ListParagraph"/>
        <w:numPr>
          <w:ilvl w:val="0"/>
          <w:numId w:val="2"/>
        </w:numPr>
        <w:spacing w:after="60" w:line="268"/>
        <w:jc w:val="both"/>
      </w:pPr>
      <w:r>
        <w:rPr>
          <w:rFonts w:ascii="Tahoma" w:cs="Tahoma" w:eastAsia="Tahoma" w:hAnsi="Tahoma"/>
          <w:sz w:val="20"/>
          <w:szCs w:val="20"/>
        </w:rPr>
        <w:t xml:space="preserve">Excessively worn, defective, or deformed tools shall not be used. If excessive wear, defect, or damage is observed, the tool shall be immediately tagged and withdrawn from use for repair or disposal.</w:t>
      </w:r>
    </w:p>
    <w:p>
      <w:pPr>
        <w:pStyle w:val="ListParagraph"/>
        <w:numPr>
          <w:ilvl w:val="0"/>
          <w:numId w:val="2"/>
        </w:numPr>
        <w:spacing w:after="60" w:line="268"/>
        <w:jc w:val="both"/>
      </w:pPr>
      <w:r>
        <w:rPr>
          <w:rFonts w:ascii="Tahoma" w:cs="Tahoma" w:eastAsia="Tahoma" w:hAnsi="Tahoma"/>
          <w:sz w:val="20"/>
          <w:szCs w:val="20"/>
        </w:rPr>
        <w:t xml:space="preserve">Proper racks and boxes shall be provided and used for the storage of tools.</w:t>
      </w:r>
    </w:p>
    <w:p>
      <w:pPr>
        <w:pStyle w:val="ListParagraph"/>
        <w:numPr>
          <w:ilvl w:val="0"/>
          <w:numId w:val="2"/>
        </w:numPr>
        <w:spacing w:after="60" w:line="268"/>
        <w:jc w:val="both"/>
      </w:pPr>
      <w:r>
        <w:rPr>
          <w:rFonts w:ascii="Tahoma" w:cs="Tahoma" w:eastAsia="Tahoma" w:hAnsi="Tahoma"/>
          <w:sz w:val="20"/>
          <w:szCs w:val="20"/>
        </w:rPr>
        <w:t xml:space="preserve">The correct type, size, and weight of the tool shall be used for each task.</w:t>
      </w:r>
    </w:p>
    <w:p>
      <w:pPr>
        <w:pStyle w:val="ListParagraph"/>
        <w:numPr>
          <w:ilvl w:val="0"/>
          <w:numId w:val="2"/>
        </w:numPr>
        <w:spacing w:after="60" w:line="268"/>
        <w:jc w:val="both"/>
      </w:pPr>
      <w:r>
        <w:rPr>
          <w:rFonts w:ascii="Tahoma" w:cs="Tahoma" w:eastAsia="Tahoma" w:hAnsi="Tahoma"/>
          <w:sz w:val="20"/>
          <w:szCs w:val="20"/>
        </w:rPr>
        <w:t xml:space="preserve">Only properly insulated or nonconductive tools shall be used when work is performed on or near electrical equipment. Insulation integrity shall be regularly inspected by an authorized/certified electrician.</w:t>
      </w:r>
    </w:p>
    <w:p>
      <w:pPr>
        <w:pStyle w:val="ListParagraph"/>
        <w:numPr>
          <w:ilvl w:val="0"/>
          <w:numId w:val="2"/>
        </w:numPr>
        <w:spacing w:after="60" w:line="268"/>
        <w:jc w:val="both"/>
      </w:pPr>
      <w:r>
        <w:rPr>
          <w:rFonts w:ascii="Tahoma" w:cs="Tahoma" w:eastAsia="Tahoma" w:hAnsi="Tahoma"/>
          <w:sz w:val="20"/>
          <w:szCs w:val="20"/>
        </w:rPr>
        <w:t xml:space="preserve">A record of tools issued, repaired, or withdrawn from use shall be maintained.</w:t>
      </w:r>
    </w:p>
    <w:p>
      <w:pPr>
        <w:pStyle w:val="ListParagraph"/>
        <w:numPr>
          <w:ilvl w:val="0"/>
          <w:numId w:val="2"/>
        </w:numPr>
        <w:spacing w:after="60" w:line="268"/>
        <w:jc w:val="both"/>
      </w:pPr>
      <w:r>
        <w:rPr>
          <w:rFonts w:ascii="Tahoma" w:cs="Tahoma" w:eastAsia="Tahoma" w:hAnsi="Tahoma"/>
          <w:sz w:val="20"/>
          <w:szCs w:val="20"/>
        </w:rPr>
        <w:t xml:space="preserve">Portable power tools shall be equipped with properly functioning constant pressure switches or controls that will shut off the power when the pressure is released (i.e., “dead man” switch).</w:t>
      </w:r>
    </w:p>
    <w:p>
      <w:pPr>
        <w:pStyle w:val="ListParagraph"/>
        <w:numPr>
          <w:ilvl w:val="0"/>
          <w:numId w:val="2"/>
        </w:numPr>
        <w:spacing w:after="60" w:line="268"/>
        <w:jc w:val="both"/>
      </w:pPr>
      <w:r>
        <w:rPr>
          <w:rFonts w:ascii="Tahoma" w:cs="Tahoma" w:eastAsia="Tahoma" w:hAnsi="Tahoma"/>
          <w:sz w:val="20"/>
          <w:szCs w:val="20"/>
        </w:rPr>
        <w:t xml:space="preserve">Power tools shall not be equipped with trigger locks.</w:t>
      </w:r>
    </w:p>
    <w:p>
      <w:pPr>
        <w:pStyle w:val="ListParagraph"/>
        <w:numPr>
          <w:ilvl w:val="0"/>
          <w:numId w:val="2"/>
        </w:numPr>
        <w:spacing w:after="60" w:line="268"/>
        <w:jc w:val="both"/>
      </w:pPr>
      <w:r>
        <w:rPr>
          <w:rFonts w:ascii="Tahoma" w:cs="Tahoma" w:eastAsia="Tahoma" w:hAnsi="Tahoma"/>
          <w:sz w:val="20"/>
          <w:szCs w:val="20"/>
        </w:rPr>
        <w:t xml:space="preserve">Protective shields/guards supplied with the tools (per design) shall not be removed.</w:t>
      </w:r>
    </w:p>
    <w:p>
      <w:pPr>
        <w:pStyle w:val="ListParagraph"/>
        <w:numPr>
          <w:ilvl w:val="0"/>
          <w:numId w:val="2"/>
        </w:numPr>
        <w:spacing w:after="60" w:line="268"/>
        <w:jc w:val="both"/>
      </w:pPr>
      <w:r>
        <w:rPr>
          <w:rFonts w:ascii="Tahoma" w:cs="Tahoma" w:eastAsia="Tahoma" w:hAnsi="Tahoma"/>
          <w:sz w:val="20"/>
          <w:szCs w:val="20"/>
        </w:rPr>
        <w:t xml:space="preserve">The operating control on hand-held power tools shall be located to minimize the possibility of inadvertent operation.</w:t>
      </w:r>
    </w:p>
    <w:p>
      <w:pPr>
        <w:pStyle w:val="ListParagraph"/>
        <w:numPr>
          <w:ilvl w:val="0"/>
          <w:numId w:val="2"/>
        </w:numPr>
        <w:spacing w:after="60" w:line="268"/>
        <w:jc w:val="both"/>
      </w:pPr>
      <w:r>
        <w:rPr>
          <w:rFonts w:ascii="Tahoma" w:cs="Tahoma" w:eastAsia="Tahoma" w:hAnsi="Tahoma"/>
          <w:sz w:val="20"/>
          <w:szCs w:val="20"/>
        </w:rPr>
        <w:t xml:space="preserve">Before they are set down, rotating portable power tools shall be switched off and held until the rotation has completely stopped. They shall not be stopped by grasping the rotating assembly.</w:t>
      </w:r>
    </w:p>
    <w:p>
      <w:pPr>
        <w:pStyle w:val="ListParagraph"/>
        <w:numPr>
          <w:ilvl w:val="0"/>
          <w:numId w:val="2"/>
        </w:numPr>
        <w:spacing w:after="60" w:line="268"/>
        <w:jc w:val="both"/>
      </w:pPr>
      <w:r>
        <w:rPr>
          <w:rFonts w:ascii="Tahoma" w:cs="Tahoma" w:eastAsia="Tahoma" w:hAnsi="Tahoma"/>
          <w:sz w:val="20"/>
          <w:szCs w:val="20"/>
        </w:rPr>
        <w:t xml:space="preserve">Power tools shall be disconnected from the power source before changing bits, blades, cutters, or wheels.</w:t>
      </w:r>
    </w:p>
    <w:p>
      <w:pPr>
        <w:pStyle w:val="ListParagraph"/>
        <w:numPr>
          <w:ilvl w:val="0"/>
          <w:numId w:val="2"/>
        </w:numPr>
        <w:spacing w:after="60" w:line="268"/>
        <w:jc w:val="both"/>
      </w:pPr>
      <w:r>
        <w:rPr>
          <w:rFonts w:ascii="Tahoma" w:cs="Tahoma" w:eastAsia="Tahoma" w:hAnsi="Tahoma"/>
          <w:sz w:val="20"/>
          <w:szCs w:val="20"/>
        </w:rPr>
        <w:t xml:space="preserve">Portable power tools shall be stored in clean and dry conditions.</w:t>
      </w:r>
    </w:p>
    <w:p>
      <w:pPr>
        <w:pStyle w:val="ListParagraph"/>
        <w:numPr>
          <w:ilvl w:val="0"/>
          <w:numId w:val="2"/>
        </w:numPr>
        <w:spacing w:after="60" w:line="268"/>
        <w:jc w:val="both"/>
      </w:pPr>
      <w:r>
        <w:rPr>
          <w:rFonts w:ascii="Tahoma" w:cs="Tahoma" w:eastAsia="Tahoma" w:hAnsi="Tahoma"/>
          <w:sz w:val="20"/>
          <w:szCs w:val="20"/>
        </w:rPr>
        <w:t xml:space="preserve">Portable power tools shall not be left lying around the work area where they could be damaged.</w:t>
      </w:r>
    </w:p>
    <w:p>
      <w:pPr>
        <w:pStyle w:val="ListParagraph"/>
        <w:numPr>
          <w:ilvl w:val="0"/>
          <w:numId w:val="2"/>
        </w:numPr>
        <w:spacing w:after="60" w:line="268"/>
        <w:jc w:val="both"/>
      </w:pPr>
      <w:r>
        <w:rPr>
          <w:rFonts w:ascii="Tahoma" w:cs="Tahoma" w:eastAsia="Tahoma" w:hAnsi="Tahoma"/>
          <w:sz w:val="20"/>
          <w:szCs w:val="20"/>
        </w:rPr>
        <w:t xml:space="preserve">Cords, cables, etc., shall be positioned where they are not likely to be damaged (e.g., run overhead) or shall be otherwise protected from damage (e.g., running them inside impactresistant conduit or using abrasion-resistant supply leads).</w:t>
      </w:r>
    </w:p>
    <w:p>
      <w:pPr>
        <w:pStyle w:val="ListParagraph"/>
        <w:numPr>
          <w:ilvl w:val="0"/>
          <w:numId w:val="2"/>
        </w:numPr>
        <w:spacing w:after="60" w:line="268"/>
        <w:jc w:val="both"/>
      </w:pPr>
      <w:r>
        <w:rPr>
          <w:rFonts w:ascii="Tahoma" w:cs="Tahoma" w:eastAsia="Tahoma" w:hAnsi="Tahoma"/>
          <w:sz w:val="20"/>
          <w:szCs w:val="20"/>
        </w:rPr>
        <w:t xml:space="preserve">Use of the electrical cord for hoisting or lowering power tools is prohibited.</w:t>
      </w:r>
    </w:p>
    <w:p>
      <w:pPr>
        <w:pStyle w:val="ListParagraph"/>
        <w:numPr>
          <w:ilvl w:val="0"/>
          <w:numId w:val="2"/>
        </w:numPr>
        <w:spacing w:after="60" w:line="268"/>
        <w:jc w:val="both"/>
      </w:pPr>
      <w:r>
        <w:rPr>
          <w:rFonts w:ascii="Tahoma" w:cs="Tahoma" w:eastAsia="Tahoma" w:hAnsi="Tahoma"/>
          <w:sz w:val="20"/>
          <w:szCs w:val="20"/>
        </w:rPr>
        <w:t xml:space="preserve">Specific competency-based training will be provided to all persons involved in using portable tools and equipment, this includes:</w:t>
      </w:r>
    </w:p>
    <w:p>
      <w:pPr>
        <w:pStyle w:val="ListParagraph"/>
        <w:numPr>
          <w:ilvl w:val="0"/>
          <w:numId w:val="3"/>
        </w:numPr>
        <w:spacing w:after="40" w:line="264"/>
      </w:pPr>
      <w:r>
        <w:rPr>
          <w:rFonts w:ascii="Tahoma" w:cs="Tahoma" w:eastAsia="Tahoma" w:hAnsi="Tahoma"/>
          <w:sz w:val="18"/>
          <w:szCs w:val="18"/>
        </w:rPr>
        <w:t xml:space="preserve">Supervisors</w:t>
      </w:r>
    </w:p>
    <w:p>
      <w:pPr>
        <w:pStyle w:val="ListParagraph"/>
        <w:numPr>
          <w:ilvl w:val="0"/>
          <w:numId w:val="3"/>
        </w:numPr>
        <w:spacing w:after="40" w:line="264"/>
      </w:pPr>
      <w:r>
        <w:rPr>
          <w:rFonts w:ascii="Tahoma" w:cs="Tahoma" w:eastAsia="Tahoma" w:hAnsi="Tahoma"/>
          <w:sz w:val="18"/>
          <w:szCs w:val="18"/>
        </w:rPr>
        <w:t xml:space="preserve">Operators</w:t>
      </w:r>
    </w:p>
    <w:p>
      <w:pPr>
        <w:pStyle w:val="ListParagraph"/>
        <w:numPr>
          <w:ilvl w:val="0"/>
          <w:numId w:val="3"/>
        </w:numPr>
        <w:spacing w:after="40" w:line="264"/>
      </w:pPr>
      <w:r>
        <w:rPr>
          <w:rFonts w:ascii="Tahoma" w:cs="Tahoma" w:eastAsia="Tahoma" w:hAnsi="Tahoma"/>
          <w:sz w:val="18"/>
          <w:szCs w:val="18"/>
        </w:rPr>
        <w:t xml:space="preserve">Inspectors</w:t>
      </w:r>
    </w:p>
    <w:p>
      <w:pPr>
        <w:pStyle w:val="ListParagraph"/>
        <w:numPr>
          <w:ilvl w:val="0"/>
          <w:numId w:val="3"/>
        </w:numPr>
        <w:spacing w:after="40" w:line="264"/>
      </w:pPr>
      <w:r>
        <w:rPr>
          <w:rFonts w:ascii="Tahoma" w:cs="Tahoma" w:eastAsia="Tahoma" w:hAnsi="Tahoma"/>
          <w:sz w:val="18"/>
          <w:szCs w:val="18"/>
        </w:rPr>
        <w:t xml:space="preserve">Maintenance Pesonnel</w:t>
      </w:r>
    </w:p>
    <w:p>
      <w:pPr>
        <w:pStyle w:val="ListParagraph"/>
        <w:numPr>
          <w:ilvl w:val="0"/>
          <w:numId w:val="2"/>
        </w:numPr>
        <w:spacing w:after="60" w:line="268"/>
        <w:jc w:val="both"/>
      </w:pPr>
      <w:r>
        <w:rPr>
          <w:rFonts w:ascii="Tahoma" w:cs="Tahoma" w:eastAsia="Tahoma" w:hAnsi="Tahoma"/>
          <w:sz w:val="20"/>
          <w:szCs w:val="20"/>
        </w:rPr>
        <w:t xml:space="preserve">Portable power tools and equipment must be regularly inspected by a competent person and outcomes documented</w:t>
      </w:r>
    </w:p>
    <w:p>
      <w:pPr>
        <w:pStyle w:val="ListParagraph"/>
        <w:numPr>
          <w:ilvl w:val="0"/>
          <w:numId w:val="2"/>
        </w:numPr>
        <w:spacing w:after="60" w:line="268"/>
        <w:jc w:val="both"/>
      </w:pPr>
      <w:r>
        <w:rPr>
          <w:rFonts w:ascii="Tahoma" w:cs="Tahoma" w:eastAsia="Tahoma" w:hAnsi="Tahoma"/>
          <w:sz w:val="20"/>
          <w:szCs w:val="20"/>
        </w:rPr>
        <w:t xml:space="preserve">Colour coding for power tools that are projects to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Inspection quarter</w:t>
            </w:r>
          </w:p>
        </w:tc>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Colour band</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January – March</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1st-quarter colour</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April – June</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2nd-quarter colour</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July – September</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3rd-quarter colour</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October – December</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4th-quarter colour</w:t>
            </w:r>
          </w:p>
        </w:tc>
      </w:tr>
    </w:tbl>
    <w:p>
      <w:pPr>
        <w:pStyle w:val="Heading1"/>
      </w:pPr>
      <w:bookmarkStart w:id="9004" w:name="_DanToc9004"/>
      <w:r>
        <w:t xml:space="preserve">2.0 Portable Electric Power Tools and Extension Cords</w:t>
      </w:r>
      <w:bookmarkEnd w:id="9004"/>
    </w:p>
    <w:p>
      <w:pPr>
        <w:pStyle w:val="ListParagraph"/>
        <w:numPr>
          <w:ilvl w:val="0"/>
          <w:numId w:val="2"/>
        </w:numPr>
        <w:spacing w:after="60" w:line="268"/>
        <w:jc w:val="both"/>
      </w:pPr>
      <w:r>
        <w:rPr>
          <w:rFonts w:ascii="Tahoma" w:cs="Tahoma" w:eastAsia="Tahoma" w:hAnsi="Tahoma"/>
          <w:sz w:val="20"/>
          <w:szCs w:val="20"/>
        </w:rPr>
        <w:t xml:space="preserve">Portable electric power tools shall be rated for use at a voltage not exceeding 240 V.</w:t>
      </w:r>
    </w:p>
    <w:p>
      <w:pPr>
        <w:pStyle w:val="ListParagraph"/>
        <w:numPr>
          <w:ilvl w:val="0"/>
          <w:numId w:val="2"/>
        </w:numPr>
        <w:spacing w:after="60" w:line="268"/>
        <w:jc w:val="both"/>
      </w:pPr>
      <w:r>
        <w:rPr>
          <w:rFonts w:ascii="Tahoma" w:cs="Tahoma" w:eastAsia="Tahoma" w:hAnsi="Tahoma"/>
          <w:sz w:val="20"/>
          <w:szCs w:val="20"/>
        </w:rPr>
        <w:t xml:space="preserve">Power sources and portable electric power tools shall be of a single voltage (110 V or 220 V nominal) within a single job site or operating area. Portable electric power tools shall match the supplied power source voltage.</w:t>
      </w:r>
    </w:p>
    <w:p>
      <w:pPr>
        <w:pStyle w:val="ListParagraph"/>
        <w:numPr>
          <w:ilvl w:val="0"/>
          <w:numId w:val="2"/>
        </w:numPr>
        <w:spacing w:after="60" w:line="268"/>
        <w:jc w:val="both"/>
      </w:pPr>
      <w:r>
        <w:rPr>
          <w:rFonts w:ascii="Tahoma" w:cs="Tahoma" w:eastAsia="Tahoma" w:hAnsi="Tahoma"/>
          <w:sz w:val="20"/>
          <w:szCs w:val="20"/>
        </w:rPr>
        <w:t xml:space="preserve">Portable electric power tools shall be certified by an independent testing and certification service such as Underwriters’ Laboratories (UL), Factory Mutual (FM), or KEMA-KEUR.</w:t>
      </w:r>
    </w:p>
    <w:p>
      <w:pPr>
        <w:pStyle w:val="ListParagraph"/>
        <w:numPr>
          <w:ilvl w:val="0"/>
          <w:numId w:val="2"/>
        </w:numPr>
        <w:spacing w:after="60" w:line="268"/>
        <w:jc w:val="both"/>
      </w:pPr>
      <w:r>
        <w:rPr>
          <w:rFonts w:ascii="Tahoma" w:cs="Tahoma" w:eastAsia="Tahoma" w:hAnsi="Tahoma"/>
          <w:sz w:val="20"/>
          <w:szCs w:val="20"/>
        </w:rPr>
        <w:t xml:space="preserve">Portable electric power tools shall not be altered from their original manufactured state. Power tools are certified by an independent testing and certification service as a complete unit; alteration is prohibited.</w:t>
      </w:r>
    </w:p>
    <w:p>
      <w:pPr>
        <w:pStyle w:val="ListParagraph"/>
        <w:numPr>
          <w:ilvl w:val="0"/>
          <w:numId w:val="2"/>
        </w:numPr>
        <w:spacing w:after="60" w:line="268"/>
        <w:jc w:val="both"/>
      </w:pPr>
      <w:r>
        <w:rPr>
          <w:rFonts w:ascii="Tahoma" w:cs="Tahoma" w:eastAsia="Tahoma" w:hAnsi="Tahoma"/>
          <w:sz w:val="20"/>
          <w:szCs w:val="20"/>
        </w:rPr>
        <w:t xml:space="preserve">Portable electric power tools shall be double insulated or properly grounded with a manufacturer-installed three-prong plug.</w:t>
      </w:r>
    </w:p>
    <w:p>
      <w:pPr>
        <w:pStyle w:val="ListParagraph"/>
        <w:numPr>
          <w:ilvl w:val="0"/>
          <w:numId w:val="2"/>
        </w:numPr>
        <w:spacing w:after="60" w:line="268"/>
        <w:jc w:val="both"/>
      </w:pPr>
      <w:r>
        <w:rPr>
          <w:rFonts w:ascii="Tahoma" w:cs="Tahoma" w:eastAsia="Tahoma" w:hAnsi="Tahoma"/>
          <w:sz w:val="20"/>
          <w:szCs w:val="20"/>
        </w:rPr>
        <w:t xml:space="preserve">Plug adaptors are prohibited. Portable electric power tool plugs shall match the power source outlet.</w:t>
      </w:r>
    </w:p>
    <w:p>
      <w:pPr>
        <w:pStyle w:val="ListParagraph"/>
        <w:numPr>
          <w:ilvl w:val="0"/>
          <w:numId w:val="2"/>
        </w:numPr>
        <w:spacing w:after="60" w:line="268"/>
        <w:jc w:val="both"/>
      </w:pPr>
      <w:r>
        <w:rPr>
          <w:rFonts w:ascii="Tahoma" w:cs="Tahoma" w:eastAsia="Tahoma" w:hAnsi="Tahoma"/>
          <w:sz w:val="20"/>
          <w:szCs w:val="20"/>
        </w:rPr>
        <w:t xml:space="preserve">Portable electric power tools and extension cords shall be protected by an overcurrent protection device (e.g., panel-mounted circuit breaker or in-line fuse).</w:t>
      </w:r>
    </w:p>
    <w:p>
      <w:pPr>
        <w:pStyle w:val="ListParagraph"/>
        <w:numPr>
          <w:ilvl w:val="0"/>
          <w:numId w:val="2"/>
        </w:numPr>
        <w:spacing w:after="60" w:line="268"/>
        <w:jc w:val="both"/>
      </w:pPr>
      <w:r>
        <w:rPr>
          <w:rFonts w:ascii="Tahoma" w:cs="Tahoma" w:eastAsia="Tahoma" w:hAnsi="Tahoma"/>
          <w:sz w:val="20"/>
          <w:szCs w:val="20"/>
        </w:rPr>
        <w:t xml:space="preserve">Residual current devices (RCDs), including ground fault circuit breakers (GFCIs) and earth leak current breakers (ELCBs), shall be used for all 110/220 V portable electric power tools.</w:t>
      </w:r>
    </w:p>
    <w:p>
      <w:pPr>
        <w:pStyle w:val="ListParagraph"/>
        <w:numPr>
          <w:ilvl w:val="0"/>
          <w:numId w:val="2"/>
        </w:numPr>
        <w:spacing w:after="60" w:line="268"/>
        <w:jc w:val="both"/>
      </w:pPr>
      <w:r>
        <w:rPr>
          <w:rFonts w:ascii="Tahoma" w:cs="Tahoma" w:eastAsia="Tahoma" w:hAnsi="Tahoma"/>
          <w:sz w:val="20"/>
          <w:szCs w:val="20"/>
        </w:rPr>
        <w:t xml:space="preserve">RCDs shall have a maximum rated tripping current of 10 mA.</w:t>
      </w:r>
    </w:p>
    <w:p>
      <w:pPr>
        <w:pStyle w:val="ListParagraph"/>
        <w:numPr>
          <w:ilvl w:val="0"/>
          <w:numId w:val="2"/>
        </w:numPr>
        <w:spacing w:after="60" w:line="268"/>
        <w:jc w:val="both"/>
      </w:pPr>
      <w:r>
        <w:rPr>
          <w:rFonts w:ascii="Tahoma" w:cs="Tahoma" w:eastAsia="Tahoma" w:hAnsi="Tahoma"/>
          <w:sz w:val="20"/>
          <w:szCs w:val="20"/>
        </w:rPr>
        <w:t xml:space="preserve">RCDs should be installed as close to the power source as practicable (e.g., at the distribution board/panel).</w:t>
      </w:r>
    </w:p>
    <w:p>
      <w:pPr>
        <w:pStyle w:val="ListParagraph"/>
        <w:numPr>
          <w:ilvl w:val="0"/>
          <w:numId w:val="2"/>
        </w:numPr>
        <w:spacing w:after="60" w:line="268"/>
        <w:jc w:val="both"/>
      </w:pPr>
      <w:r>
        <w:rPr>
          <w:rFonts w:ascii="Tahoma" w:cs="Tahoma" w:eastAsia="Tahoma" w:hAnsi="Tahoma"/>
          <w:sz w:val="20"/>
          <w:szCs w:val="20"/>
        </w:rPr>
        <w:t xml:space="preserve">RCDs shall be installed in enclosures to protect against environmental conditions and designed for use in outdoor environments. RCDs shall be protected against mechanical damage and vibration.</w:t>
      </w:r>
    </w:p>
    <w:p>
      <w:pPr>
        <w:pStyle w:val="ListParagraph"/>
        <w:numPr>
          <w:ilvl w:val="0"/>
          <w:numId w:val="2"/>
        </w:numPr>
        <w:spacing w:after="60" w:line="268"/>
        <w:jc w:val="both"/>
      </w:pPr>
      <w:r>
        <w:rPr>
          <w:rFonts w:ascii="Tahoma" w:cs="Tahoma" w:eastAsia="Tahoma" w:hAnsi="Tahoma"/>
          <w:sz w:val="20"/>
          <w:szCs w:val="20"/>
        </w:rPr>
        <w:t xml:space="preserve">Users of portable electric power tools shall visually inspect and check the function of the RCD by operating the “test” button daily.</w:t>
      </w:r>
    </w:p>
    <w:p>
      <w:pPr>
        <w:pStyle w:val="ListParagraph"/>
        <w:numPr>
          <w:ilvl w:val="0"/>
          <w:numId w:val="2"/>
        </w:numPr>
        <w:spacing w:after="60" w:line="268"/>
        <w:jc w:val="both"/>
      </w:pPr>
      <w:r>
        <w:rPr>
          <w:rFonts w:ascii="Tahoma" w:cs="Tahoma" w:eastAsia="Tahoma" w:hAnsi="Tahoma"/>
          <w:sz w:val="20"/>
          <w:szCs w:val="20"/>
        </w:rPr>
        <w:t xml:space="preserve">RCDs shall be tested every three months by a competent person using appropriate electrical test equipment (i.e., an RCD tester that simulates a ground/earth fault current to trip the device under test).</w:t>
      </w:r>
    </w:p>
    <w:p>
      <w:pPr>
        <w:pStyle w:val="ListParagraph"/>
        <w:numPr>
          <w:ilvl w:val="0"/>
          <w:numId w:val="2"/>
        </w:numPr>
        <w:spacing w:after="60" w:line="268"/>
        <w:jc w:val="both"/>
      </w:pPr>
      <w:r>
        <w:rPr>
          <w:rFonts w:ascii="Tahoma" w:cs="Tahoma" w:eastAsia="Tahoma" w:hAnsi="Tahoma"/>
          <w:sz w:val="20"/>
          <w:szCs w:val="20"/>
        </w:rPr>
        <w:t xml:space="preserve">Any portable electric power tool or extension cord used requires a hot work permit.</w:t>
      </w:r>
    </w:p>
    <w:p>
      <w:pPr>
        <w:pStyle w:val="ListParagraph"/>
        <w:numPr>
          <w:ilvl w:val="0"/>
          <w:numId w:val="2"/>
        </w:numPr>
        <w:spacing w:after="60" w:line="268"/>
        <w:jc w:val="both"/>
      </w:pPr>
      <w:r>
        <w:rPr>
          <w:rFonts w:ascii="Tahoma" w:cs="Tahoma" w:eastAsia="Tahoma" w:hAnsi="Tahoma"/>
          <w:sz w:val="20"/>
          <w:szCs w:val="20"/>
        </w:rPr>
        <w:t xml:space="preserve">Electrical extension cords shall:</w:t>
      </w:r>
    </w:p>
    <w:p>
      <w:pPr>
        <w:pStyle w:val="ListParagraph"/>
        <w:numPr>
          <w:ilvl w:val="0"/>
          <w:numId w:val="3"/>
        </w:numPr>
        <w:spacing w:after="40" w:line="264"/>
      </w:pPr>
      <w:r>
        <w:rPr>
          <w:rFonts w:ascii="Tahoma" w:cs="Tahoma" w:eastAsia="Tahoma" w:hAnsi="Tahoma"/>
          <w:sz w:val="18"/>
          <w:szCs w:val="18"/>
        </w:rPr>
        <w:t xml:space="preserve">Be as short as possible.</w:t>
      </w:r>
    </w:p>
    <w:p>
      <w:pPr>
        <w:pStyle w:val="ListParagraph"/>
        <w:numPr>
          <w:ilvl w:val="0"/>
          <w:numId w:val="3"/>
        </w:numPr>
        <w:spacing w:after="40" w:line="264"/>
      </w:pPr>
      <w:r>
        <w:rPr>
          <w:rFonts w:ascii="Tahoma" w:cs="Tahoma" w:eastAsia="Tahoma" w:hAnsi="Tahoma"/>
          <w:sz w:val="18"/>
          <w:szCs w:val="18"/>
        </w:rPr>
        <w:t xml:space="preserve">Have appropriate grounding pins and blades to fit the socket outlet.</w:t>
      </w:r>
    </w:p>
    <w:p>
      <w:pPr>
        <w:pStyle w:val="ListParagraph"/>
        <w:numPr>
          <w:ilvl w:val="0"/>
          <w:numId w:val="3"/>
        </w:numPr>
        <w:spacing w:after="40" w:line="264"/>
      </w:pPr>
      <w:r>
        <w:rPr>
          <w:rFonts w:ascii="Tahoma" w:cs="Tahoma" w:eastAsia="Tahoma" w:hAnsi="Tahoma"/>
          <w:sz w:val="18"/>
          <w:szCs w:val="18"/>
        </w:rPr>
        <w:t xml:space="preserve">Be of three-wire conductor type.</w:t>
      </w:r>
    </w:p>
    <w:p>
      <w:pPr>
        <w:pStyle w:val="ListParagraph"/>
        <w:numPr>
          <w:ilvl w:val="0"/>
          <w:numId w:val="3"/>
        </w:numPr>
        <w:spacing w:after="40" w:line="264"/>
      </w:pPr>
      <w:r>
        <w:rPr>
          <w:rFonts w:ascii="Tahoma" w:cs="Tahoma" w:eastAsia="Tahoma" w:hAnsi="Tahoma"/>
          <w:sz w:val="18"/>
          <w:szCs w:val="18"/>
        </w:rPr>
        <w:t xml:space="preserve">Be #12-gauge (AWG) minimum if less than 30 m (100 ft) long and #10 gauge minimum if 30 m (100 ft) long or longer.</w:t>
      </w:r>
    </w:p>
    <w:p>
      <w:pPr>
        <w:pStyle w:val="ListParagraph"/>
        <w:numPr>
          <w:ilvl w:val="0"/>
          <w:numId w:val="3"/>
        </w:numPr>
        <w:spacing w:after="40" w:line="264"/>
      </w:pPr>
      <w:r>
        <w:rPr>
          <w:rFonts w:ascii="Tahoma" w:cs="Tahoma" w:eastAsia="Tahoma" w:hAnsi="Tahoma"/>
          <w:sz w:val="18"/>
          <w:szCs w:val="18"/>
        </w:rPr>
        <w:t xml:space="preserve">Be rated for outdoor use (i.e., have a “W” designation for the insulation/jacket).</w:t>
      </w:r>
    </w:p>
    <w:p>
      <w:pPr>
        <w:pStyle w:val="ListParagraph"/>
        <w:numPr>
          <w:ilvl w:val="0"/>
          <w:numId w:val="3"/>
        </w:numPr>
        <w:spacing w:after="40" w:line="264"/>
      </w:pPr>
      <w:r>
        <w:rPr>
          <w:rFonts w:ascii="Tahoma" w:cs="Tahoma" w:eastAsia="Tahoma" w:hAnsi="Tahoma"/>
          <w:sz w:val="18"/>
          <w:szCs w:val="18"/>
        </w:rPr>
        <w:t xml:space="preserve">Repaired by a certified electrician and be spliced so that the splice retains the insulation, outer sheath properties, and usage characteristics of the cord being spliced (e.g., use a manufactured splice kit).</w:t>
      </w:r>
    </w:p>
    <w:p>
      <w:pPr>
        <w:pStyle w:val="ListParagraph"/>
        <w:numPr>
          <w:ilvl w:val="0"/>
          <w:numId w:val="3"/>
        </w:numPr>
        <w:spacing w:after="40" w:line="264"/>
      </w:pPr>
      <w:r>
        <w:rPr>
          <w:rFonts w:ascii="Tahoma" w:cs="Tahoma" w:eastAsia="Tahoma" w:hAnsi="Tahoma"/>
          <w:sz w:val="18"/>
          <w:szCs w:val="18"/>
        </w:rPr>
        <w:t xml:space="preserve">Not be connected together in sequence (i.e., connected in a daisy-chain layout).</w:t>
      </w:r>
    </w:p>
    <w:p>
      <w:pPr>
        <w:pStyle w:val="ListParagraph"/>
        <w:numPr>
          <w:ilvl w:val="0"/>
          <w:numId w:val="3"/>
        </w:numPr>
        <w:spacing w:after="40" w:line="264"/>
      </w:pPr>
      <w:r>
        <w:rPr>
          <w:rFonts w:ascii="Tahoma" w:cs="Tahoma" w:eastAsia="Tahoma" w:hAnsi="Tahoma"/>
          <w:sz w:val="18"/>
          <w:szCs w:val="18"/>
        </w:rPr>
        <w:t xml:space="preserve">Not be used for permanent wiring.</w:t>
      </w:r>
    </w:p>
    <w:p>
      <w:pPr>
        <w:pStyle w:val="ListParagraph"/>
        <w:numPr>
          <w:ilvl w:val="0"/>
          <w:numId w:val="3"/>
        </w:numPr>
        <w:spacing w:after="40" w:line="264"/>
      </w:pPr>
      <w:r>
        <w:rPr>
          <w:rFonts w:ascii="Tahoma" w:cs="Tahoma" w:eastAsia="Tahoma" w:hAnsi="Tahoma"/>
          <w:sz w:val="18"/>
          <w:szCs w:val="18"/>
        </w:rPr>
        <w:t xml:space="preserve">Be certified by an independent testing and certification service such as UL, FM or KEMA-KEUR</w:t>
      </w:r>
    </w:p>
    <w:p>
      <w:pPr>
        <w:pStyle w:val="ListParagraph"/>
        <w:numPr>
          <w:ilvl w:val="0"/>
          <w:numId w:val="2"/>
        </w:numPr>
        <w:spacing w:after="60" w:line="268"/>
        <w:jc w:val="both"/>
      </w:pPr>
      <w:r>
        <w:rPr>
          <w:rFonts w:ascii="Tahoma" w:cs="Tahoma" w:eastAsia="Tahoma" w:hAnsi="Tahoma"/>
          <w:sz w:val="20"/>
          <w:szCs w:val="20"/>
        </w:rPr>
        <w:t xml:space="preserve">Portable Drills:</w:t>
      </w:r>
    </w:p>
    <w:p>
      <w:pPr>
        <w:pStyle w:val="ListParagraph"/>
        <w:numPr>
          <w:ilvl w:val="0"/>
          <w:numId w:val="3"/>
        </w:numPr>
        <w:spacing w:after="40" w:line="264"/>
      </w:pPr>
      <w:r>
        <w:rPr>
          <w:rFonts w:ascii="Tahoma" w:cs="Tahoma" w:eastAsia="Tahoma" w:hAnsi="Tahoma"/>
          <w:sz w:val="18"/>
          <w:szCs w:val="18"/>
        </w:rPr>
        <w:t xml:space="preserve">Large holes shall be drilled in stages with step drills or by using smaller bore drill bits and gradually increasing the drill bit size.</w:t>
      </w:r>
    </w:p>
    <w:p>
      <w:pPr>
        <w:pStyle w:val="ListParagraph"/>
        <w:numPr>
          <w:ilvl w:val="0"/>
          <w:numId w:val="3"/>
        </w:numPr>
        <w:spacing w:after="40" w:line="264"/>
      </w:pPr>
      <w:r>
        <w:rPr>
          <w:rFonts w:ascii="Tahoma" w:cs="Tahoma" w:eastAsia="Tahoma" w:hAnsi="Tahoma"/>
          <w:sz w:val="18"/>
          <w:szCs w:val="18"/>
        </w:rPr>
        <w:t xml:space="preserve">Drills shall not be equipped with a trigger lock.</w:t>
      </w:r>
    </w:p>
    <w:p>
      <w:pPr>
        <w:pStyle w:val="ListParagraph"/>
        <w:numPr>
          <w:ilvl w:val="0"/>
          <w:numId w:val="3"/>
        </w:numPr>
        <w:spacing w:after="40" w:line="264"/>
      </w:pPr>
      <w:r>
        <w:rPr>
          <w:rFonts w:ascii="Tahoma" w:cs="Tahoma" w:eastAsia="Tahoma" w:hAnsi="Tahoma"/>
          <w:sz w:val="18"/>
          <w:szCs w:val="18"/>
        </w:rPr>
        <w:t xml:space="preserve">Drill bits shall be kept sharp and clean.</w:t>
      </w:r>
    </w:p>
    <w:p>
      <w:pPr>
        <w:pStyle w:val="ListParagraph"/>
        <w:numPr>
          <w:ilvl w:val="0"/>
          <w:numId w:val="2"/>
        </w:numPr>
        <w:spacing w:after="60" w:line="268"/>
        <w:jc w:val="both"/>
      </w:pPr>
      <w:r>
        <w:rPr>
          <w:rFonts w:ascii="Tahoma" w:cs="Tahoma" w:eastAsia="Tahoma" w:hAnsi="Tahoma"/>
          <w:sz w:val="20"/>
          <w:szCs w:val="20"/>
        </w:rPr>
        <w:t xml:space="preserve">Portable Saws:</w:t>
      </w:r>
    </w:p>
    <w:p>
      <w:pPr>
        <w:pStyle w:val="ListParagraph"/>
        <w:numPr>
          <w:ilvl w:val="0"/>
          <w:numId w:val="3"/>
        </w:numPr>
        <w:spacing w:after="40" w:line="264"/>
      </w:pPr>
      <w:r>
        <w:rPr>
          <w:rFonts w:ascii="Tahoma" w:cs="Tahoma" w:eastAsia="Tahoma" w:hAnsi="Tahoma"/>
          <w:sz w:val="18"/>
          <w:szCs w:val="18"/>
        </w:rPr>
        <w:t xml:space="preserve">Hand-operated circular saws shall be fitted with a retractable spring-loaded guard that allows only the working part of the blade to be exposed.</w:t>
      </w:r>
    </w:p>
    <w:p>
      <w:pPr>
        <w:pStyle w:val="ListParagraph"/>
        <w:numPr>
          <w:ilvl w:val="0"/>
          <w:numId w:val="3"/>
        </w:numPr>
        <w:spacing w:after="40" w:line="264"/>
      </w:pPr>
      <w:r>
        <w:rPr>
          <w:rFonts w:ascii="Tahoma" w:cs="Tahoma" w:eastAsia="Tahoma" w:hAnsi="Tahoma"/>
          <w:sz w:val="18"/>
          <w:szCs w:val="18"/>
        </w:rPr>
        <w:t xml:space="preserve">Portable table saws shall be provided with adjustable guards, anti-kickback devices, and push-type start/stop buttons within easy reach of the operator and be secured against movement.</w:t>
      </w:r>
    </w:p>
    <w:p>
      <w:pPr>
        <w:pStyle w:val="ListParagraph"/>
        <w:numPr>
          <w:ilvl w:val="0"/>
          <w:numId w:val="3"/>
        </w:numPr>
        <w:spacing w:after="40" w:line="264"/>
      </w:pPr>
      <w:r>
        <w:rPr>
          <w:rFonts w:ascii="Tahoma" w:cs="Tahoma" w:eastAsia="Tahoma" w:hAnsi="Tahoma"/>
          <w:sz w:val="18"/>
          <w:szCs w:val="18"/>
        </w:rPr>
        <w:t xml:space="preserve">Portable power-driven circular saws having a blade diameter greater than 50 mm (2 inches) shall be equipped with guards above and below the base plate or shoe.</w:t>
      </w:r>
    </w:p>
    <w:p>
      <w:pPr>
        <w:pStyle w:val="ListParagraph"/>
        <w:numPr>
          <w:ilvl w:val="0"/>
          <w:numId w:val="3"/>
        </w:numPr>
        <w:spacing w:after="40" w:line="264"/>
      </w:pPr>
      <w:r>
        <w:rPr>
          <w:rFonts w:ascii="Tahoma" w:cs="Tahoma" w:eastAsia="Tahoma" w:hAnsi="Tahoma"/>
          <w:sz w:val="18"/>
          <w:szCs w:val="18"/>
        </w:rPr>
        <w:t xml:space="preserve">Portable saws shall be unplugged from their power source for repair, maintenance, and when not in use.</w:t>
      </w:r>
    </w:p>
    <w:p>
      <w:pPr>
        <w:pStyle w:val="ListParagraph"/>
        <w:numPr>
          <w:ilvl w:val="0"/>
          <w:numId w:val="2"/>
        </w:numPr>
        <w:spacing w:after="60" w:line="268"/>
        <w:jc w:val="both"/>
      </w:pPr>
      <w:r>
        <w:rPr>
          <w:rFonts w:ascii="Tahoma" w:cs="Tahoma" w:eastAsia="Tahoma" w:hAnsi="Tahoma"/>
          <w:sz w:val="20"/>
          <w:szCs w:val="20"/>
        </w:rPr>
        <w:t xml:space="preserve">Masonry Saws:</w:t>
      </w:r>
    </w:p>
    <w:p>
      <w:pPr>
        <w:pStyle w:val="ListParagraph"/>
        <w:numPr>
          <w:ilvl w:val="0"/>
          <w:numId w:val="3"/>
        </w:numPr>
        <w:spacing w:after="40" w:line="264"/>
      </w:pPr>
      <w:r>
        <w:rPr>
          <w:rFonts w:ascii="Tahoma" w:cs="Tahoma" w:eastAsia="Tahoma" w:hAnsi="Tahoma"/>
          <w:sz w:val="18"/>
          <w:szCs w:val="18"/>
        </w:rPr>
        <w:t xml:space="preserve">Masonry saws shall be guarded by a semicircular enclosure over the blade. The maximum angular exposure of the blade periphery shall not exceed 180 degrees. The guard design shall be able to retain fragments of the blade in case it shatters while in use.</w:t>
      </w:r>
    </w:p>
    <w:p>
      <w:pPr>
        <w:pStyle w:val="ListParagraph"/>
        <w:numPr>
          <w:ilvl w:val="0"/>
          <w:numId w:val="3"/>
        </w:numPr>
        <w:spacing w:after="40" w:line="264"/>
      </w:pPr>
      <w:r>
        <w:rPr>
          <w:rFonts w:ascii="Tahoma" w:cs="Tahoma" w:eastAsia="Tahoma" w:hAnsi="Tahoma"/>
          <w:sz w:val="18"/>
          <w:szCs w:val="18"/>
        </w:rPr>
        <w:t xml:space="preserve">Blade speed shall be maintained in accordance with the manufacturer’s specifications.</w:t>
      </w:r>
    </w:p>
    <w:p>
      <w:pPr>
        <w:pStyle w:val="ListParagraph"/>
        <w:numPr>
          <w:ilvl w:val="0"/>
          <w:numId w:val="3"/>
        </w:numPr>
        <w:spacing w:after="40" w:line="264"/>
      </w:pPr>
      <w:r>
        <w:rPr>
          <w:rFonts w:ascii="Tahoma" w:cs="Tahoma" w:eastAsia="Tahoma" w:hAnsi="Tahoma"/>
          <w:sz w:val="18"/>
          <w:szCs w:val="18"/>
        </w:rPr>
        <w:t xml:space="preserve">Dry-cutting masonry saws shall be equipped with dust collectors. Operators of such saws and other persons in the area shall be provided with approved dust respirators.</w:t>
      </w:r>
    </w:p>
    <w:p>
      <w:pPr>
        <w:pStyle w:val="ListParagraph"/>
        <w:numPr>
          <w:ilvl w:val="0"/>
          <w:numId w:val="3"/>
        </w:numPr>
        <w:spacing w:after="40" w:line="264"/>
      </w:pPr>
      <w:r>
        <w:rPr>
          <w:rFonts w:ascii="Tahoma" w:cs="Tahoma" w:eastAsia="Tahoma" w:hAnsi="Tahoma"/>
          <w:sz w:val="18"/>
          <w:szCs w:val="18"/>
        </w:rPr>
        <w:t xml:space="preserve">Masonry saw operators shall wear proper hearing protection, safety glasses/goggles, and a face shield.</w:t>
      </w:r>
    </w:p>
    <w:p>
      <w:pPr>
        <w:pStyle w:val="ListParagraph"/>
        <w:numPr>
          <w:ilvl w:val="0"/>
          <w:numId w:val="3"/>
        </w:numPr>
        <w:spacing w:after="40" w:line="264"/>
      </w:pPr>
      <w:r>
        <w:rPr>
          <w:rFonts w:ascii="Tahoma" w:cs="Tahoma" w:eastAsia="Tahoma" w:hAnsi="Tahoma"/>
          <w:sz w:val="18"/>
          <w:szCs w:val="18"/>
        </w:rPr>
        <w:t xml:space="preserve">Masonry saws shall be inspected by a qualified person at regular intervals and be maintained in a safe operating condition.</w:t>
      </w:r>
    </w:p>
    <w:p>
      <w:pPr>
        <w:pStyle w:val="Heading1"/>
      </w:pPr>
      <w:bookmarkStart w:id="9005" w:name="_DanToc9005"/>
      <w:r>
        <w:t xml:space="preserve">3.0 Grinding Tools – General Requirements</w:t>
      </w:r>
      <w:bookmarkEnd w:id="9005"/>
    </w:p>
    <w:p>
      <w:pPr>
        <w:pStyle w:val="ListParagraph"/>
        <w:numPr>
          <w:ilvl w:val="0"/>
          <w:numId w:val="2"/>
        </w:numPr>
        <w:spacing w:after="60" w:line="268"/>
        <w:jc w:val="both"/>
      </w:pPr>
      <w:r>
        <w:rPr>
          <w:rFonts w:ascii="Tahoma" w:cs="Tahoma" w:eastAsia="Tahoma" w:hAnsi="Tahoma"/>
          <w:sz w:val="20"/>
          <w:szCs w:val="20"/>
        </w:rPr>
        <w:t xml:space="preserve">Grinding wheels shall be free of defects. They shall be checked for defects before mounting and defective wheels shall be discarded or destroyed.</w:t>
      </w:r>
    </w:p>
    <w:p>
      <w:pPr>
        <w:pStyle w:val="ListParagraph"/>
        <w:numPr>
          <w:ilvl w:val="0"/>
          <w:numId w:val="2"/>
        </w:numPr>
        <w:spacing w:after="60" w:line="268"/>
        <w:jc w:val="both"/>
      </w:pPr>
      <w:r>
        <w:rPr>
          <w:rFonts w:ascii="Tahoma" w:cs="Tahoma" w:eastAsia="Tahoma" w:hAnsi="Tahoma"/>
          <w:sz w:val="20"/>
          <w:szCs w:val="20"/>
        </w:rPr>
        <w:t xml:space="preserve">Grinding wheels shall be balanced and centered and shall be installed per the wheel manufacturer’s instructions.</w:t>
      </w:r>
    </w:p>
    <w:p>
      <w:pPr>
        <w:pStyle w:val="ListParagraph"/>
        <w:numPr>
          <w:ilvl w:val="0"/>
          <w:numId w:val="2"/>
        </w:numPr>
        <w:spacing w:after="60" w:line="268"/>
        <w:jc w:val="both"/>
      </w:pPr>
      <w:r>
        <w:rPr>
          <w:rFonts w:ascii="Tahoma" w:cs="Tahoma" w:eastAsia="Tahoma" w:hAnsi="Tahoma"/>
          <w:sz w:val="20"/>
          <w:szCs w:val="20"/>
        </w:rPr>
        <w:t xml:space="preserve">Grinding tools shall be inspected prior to use and shall be replaced immediately if found to be defective. Electrical wiring and other associated parts shall also be inspected.</w:t>
      </w:r>
    </w:p>
    <w:p>
      <w:pPr>
        <w:pStyle w:val="ListParagraph"/>
        <w:numPr>
          <w:ilvl w:val="0"/>
          <w:numId w:val="2"/>
        </w:numPr>
        <w:spacing w:after="60" w:line="268"/>
        <w:jc w:val="both"/>
      </w:pPr>
      <w:r>
        <w:rPr>
          <w:rFonts w:ascii="Tahoma" w:cs="Tahoma" w:eastAsia="Tahoma" w:hAnsi="Tahoma"/>
          <w:sz w:val="20"/>
          <w:szCs w:val="20"/>
        </w:rPr>
        <w:t xml:space="preserve">Grinding tools shall not be used on soft metals (e.g., aluminum, brass, copper, lead, zinc) unless the grinding wheel is specifically designed for such metals.</w:t>
      </w:r>
    </w:p>
    <w:p>
      <w:pPr>
        <w:pStyle w:val="ListParagraph"/>
        <w:numPr>
          <w:ilvl w:val="0"/>
          <w:numId w:val="2"/>
        </w:numPr>
        <w:spacing w:after="60" w:line="268"/>
        <w:jc w:val="both"/>
      </w:pPr>
      <w:r>
        <w:rPr>
          <w:rFonts w:ascii="Tahoma" w:cs="Tahoma" w:eastAsia="Tahoma" w:hAnsi="Tahoma"/>
          <w:sz w:val="20"/>
          <w:szCs w:val="20"/>
        </w:rPr>
        <w:t xml:space="preserve">Grinding tools shall not be used unless the maximum permissible speed is clearly marked on the wheel and case.</w:t>
      </w:r>
    </w:p>
    <w:p>
      <w:pPr>
        <w:pStyle w:val="ListParagraph"/>
        <w:numPr>
          <w:ilvl w:val="0"/>
          <w:numId w:val="2"/>
        </w:numPr>
        <w:spacing w:after="60" w:line="268"/>
        <w:jc w:val="both"/>
      </w:pPr>
      <w:r>
        <w:rPr>
          <w:rFonts w:ascii="Tahoma" w:cs="Tahoma" w:eastAsia="Tahoma" w:hAnsi="Tahoma"/>
          <w:sz w:val="20"/>
          <w:szCs w:val="20"/>
        </w:rPr>
        <w:t xml:space="preserve">The running speed shall not exceed the maximum permissible speed displayed on the grinding wheel.</w:t>
      </w:r>
    </w:p>
    <w:p>
      <w:pPr>
        <w:pStyle w:val="ListParagraph"/>
        <w:numPr>
          <w:ilvl w:val="0"/>
          <w:numId w:val="2"/>
        </w:numPr>
        <w:spacing w:after="60" w:line="268"/>
        <w:jc w:val="both"/>
      </w:pPr>
      <w:r>
        <w:rPr>
          <w:rFonts w:ascii="Tahoma" w:cs="Tahoma" w:eastAsia="Tahoma" w:hAnsi="Tahoma"/>
          <w:sz w:val="20"/>
          <w:szCs w:val="20"/>
        </w:rPr>
        <w:t xml:space="preserve">Safety guards provided by the manufacturer for grinding wheels shall be used and maintained at all times. Guards shall allow only the working part of the wheel to be exposed. The guard shall also cover the spindle end, nut, and flange projections. The maximum angular exposure of the grinding wheel perimeter and sides shall not exceed 180 degrees.</w:t>
      </w:r>
    </w:p>
    <w:p>
      <w:pPr>
        <w:pStyle w:val="ListParagraph"/>
        <w:numPr>
          <w:ilvl w:val="0"/>
          <w:numId w:val="2"/>
        </w:numPr>
        <w:spacing w:after="60" w:line="268"/>
        <w:jc w:val="both"/>
      </w:pPr>
      <w:r>
        <w:rPr>
          <w:rFonts w:ascii="Tahoma" w:cs="Tahoma" w:eastAsia="Tahoma" w:hAnsi="Tahoma"/>
          <w:sz w:val="20"/>
          <w:szCs w:val="20"/>
        </w:rPr>
        <w:t xml:space="preserve">Safety guards shall be mounted to maintain proper alignment with the wheel. The guard and fastenings shall be strong enough to retain fragments of the wheel in case of accidental breakage.</w:t>
      </w:r>
    </w:p>
    <w:p>
      <w:pPr>
        <w:pStyle w:val="Heading1"/>
      </w:pPr>
      <w:bookmarkStart w:id="9006" w:name="_DanToc9006"/>
      <w:r>
        <w:t xml:space="preserve">4.0 Powder Actuated Fastening Tools</w:t>
      </w:r>
      <w:bookmarkEnd w:id="9006"/>
    </w:p>
    <w:p>
      <w:pPr>
        <w:pStyle w:val="ListParagraph"/>
        <w:numPr>
          <w:ilvl w:val="0"/>
          <w:numId w:val="2"/>
        </w:numPr>
        <w:spacing w:after="60" w:line="268"/>
        <w:jc w:val="both"/>
      </w:pPr>
      <w:r>
        <w:rPr>
          <w:rFonts w:ascii="Tahoma" w:cs="Tahoma" w:eastAsia="Tahoma" w:hAnsi="Tahoma"/>
          <w:sz w:val="20"/>
          <w:szCs w:val="20"/>
        </w:rPr>
        <w:t xml:space="preserve">Use of powder-actuated fastening tools (cartridge-operated tools) shall be in accordance with ANSI A10.3 and the tool manufacturer’s instructions.</w:t>
      </w:r>
    </w:p>
    <w:p>
      <w:pPr>
        <w:pStyle w:val="ListParagraph"/>
        <w:numPr>
          <w:ilvl w:val="0"/>
          <w:numId w:val="2"/>
        </w:numPr>
        <w:spacing w:after="60" w:line="268"/>
        <w:jc w:val="both"/>
      </w:pPr>
      <w:r>
        <w:rPr>
          <w:rFonts w:ascii="Tahoma" w:cs="Tahoma" w:eastAsia="Tahoma" w:hAnsi="Tahoma"/>
          <w:sz w:val="20"/>
          <w:szCs w:val="20"/>
        </w:rPr>
        <w:t xml:space="preserve">The correct size (caliber) and strength of the cartridge required for the tool, the fixing, and the material to be fixed onto shall be properly determined and used.</w:t>
      </w:r>
    </w:p>
    <w:p>
      <w:pPr>
        <w:pStyle w:val="ListParagraph"/>
        <w:numPr>
          <w:ilvl w:val="0"/>
          <w:numId w:val="2"/>
        </w:numPr>
        <w:spacing w:after="60" w:line="268"/>
        <w:jc w:val="both"/>
      </w:pPr>
      <w:r>
        <w:rPr>
          <w:rFonts w:ascii="Tahoma" w:cs="Tahoma" w:eastAsia="Tahoma" w:hAnsi="Tahoma"/>
          <w:sz w:val="20"/>
          <w:szCs w:val="20"/>
        </w:rPr>
        <w:t xml:space="preserve">Tools shall be checked to ensure they are NOT LOADED with a cartridge before repair/maintenance/storage.</w:t>
      </w:r>
    </w:p>
    <w:p>
      <w:pPr>
        <w:pStyle w:val="ListParagraph"/>
        <w:numPr>
          <w:ilvl w:val="0"/>
          <w:numId w:val="2"/>
        </w:numPr>
        <w:spacing w:after="60" w:line="268"/>
        <w:jc w:val="both"/>
      </w:pPr>
      <w:r>
        <w:rPr>
          <w:rFonts w:ascii="Tahoma" w:cs="Tahoma" w:eastAsia="Tahoma" w:hAnsi="Tahoma"/>
          <w:sz w:val="20"/>
          <w:szCs w:val="20"/>
        </w:rPr>
        <w:t xml:space="preserve">Tools shall be used with the correct shield, guard, or attachment as recommended by the manufacturer.</w:t>
      </w:r>
    </w:p>
    <w:p>
      <w:pPr>
        <w:pStyle w:val="ListParagraph"/>
        <w:numPr>
          <w:ilvl w:val="0"/>
          <w:numId w:val="2"/>
        </w:numPr>
        <w:spacing w:after="60" w:line="268"/>
        <w:jc w:val="both"/>
      </w:pPr>
      <w:r>
        <w:rPr>
          <w:rFonts w:ascii="Tahoma" w:cs="Tahoma" w:eastAsia="Tahoma" w:hAnsi="Tahoma"/>
          <w:sz w:val="20"/>
          <w:szCs w:val="20"/>
        </w:rPr>
        <w:t xml:space="preserve">Tools shall be cleaned and completely assembled after use. Cartridges shall be placed in their correct color-coded box before being returned to the storage area.</w:t>
      </w:r>
    </w:p>
    <w:p>
      <w:pPr>
        <w:pStyle w:val="ListParagraph"/>
        <w:numPr>
          <w:ilvl w:val="0"/>
          <w:numId w:val="2"/>
        </w:numPr>
        <w:spacing w:after="60" w:line="268"/>
        <w:jc w:val="both"/>
      </w:pPr>
      <w:r>
        <w:rPr>
          <w:rFonts w:ascii="Tahoma" w:cs="Tahoma" w:eastAsia="Tahoma" w:hAnsi="Tahoma"/>
          <w:sz w:val="20"/>
          <w:szCs w:val="20"/>
        </w:rPr>
        <w:t xml:space="preserve">Personnel shall not operate, clean, maintain or repair any cartridge tool without possessing a certificate of competency, issued by an accredited tool vendor or manufacturer’s representative. Certificates shall identify the particular model that personnel is qualified to handle.</w:t>
      </w:r>
    </w:p>
    <w:p>
      <w:pPr>
        <w:pStyle w:val="ListParagraph"/>
        <w:numPr>
          <w:ilvl w:val="0"/>
          <w:numId w:val="2"/>
        </w:numPr>
        <w:spacing w:after="60" w:line="268"/>
        <w:jc w:val="both"/>
      </w:pPr>
      <w:r>
        <w:rPr>
          <w:rFonts w:ascii="Tahoma" w:cs="Tahoma" w:eastAsia="Tahoma" w:hAnsi="Tahoma"/>
          <w:sz w:val="20"/>
          <w:szCs w:val="20"/>
        </w:rPr>
        <w:t xml:space="preserve">Storage:</w:t>
      </w:r>
    </w:p>
    <w:p>
      <w:pPr>
        <w:pStyle w:val="ListParagraph"/>
        <w:numPr>
          <w:ilvl w:val="0"/>
          <w:numId w:val="3"/>
        </w:numPr>
        <w:spacing w:after="40" w:line="264"/>
      </w:pPr>
      <w:r>
        <w:rPr>
          <w:rFonts w:ascii="Tahoma" w:cs="Tahoma" w:eastAsia="Tahoma" w:hAnsi="Tahoma"/>
          <w:sz w:val="18"/>
          <w:szCs w:val="18"/>
        </w:rPr>
        <w:t xml:space="preserve">Designated storage/quarantine areas will be allocated to hold portable tools and equipment that do not meet the requirements</w:t>
      </w:r>
    </w:p>
    <w:p>
      <w:pPr>
        <w:pStyle w:val="ListParagraph"/>
        <w:numPr>
          <w:ilvl w:val="0"/>
          <w:numId w:val="3"/>
        </w:numPr>
        <w:spacing w:after="40" w:line="264"/>
      </w:pPr>
      <w:r>
        <w:rPr>
          <w:rFonts w:ascii="Tahoma" w:cs="Tahoma" w:eastAsia="Tahoma" w:hAnsi="Tahoma"/>
          <w:sz w:val="18"/>
          <w:szCs w:val="18"/>
        </w:rPr>
        <w:t xml:space="preserve">Storage of tools and cartridges shall be in a fireproof, dry, lockable, easily accessible, and secure location.</w:t>
      </w:r>
    </w:p>
    <w:p>
      <w:pPr>
        <w:pStyle w:val="ListParagraph"/>
        <w:numPr>
          <w:ilvl w:val="0"/>
          <w:numId w:val="3"/>
        </w:numPr>
        <w:spacing w:after="40" w:line="264"/>
      </w:pPr>
      <w:r>
        <w:rPr>
          <w:rFonts w:ascii="Tahoma" w:cs="Tahoma" w:eastAsia="Tahoma" w:hAnsi="Tahoma"/>
          <w:sz w:val="18"/>
          <w:szCs w:val="18"/>
        </w:rPr>
        <w:t xml:space="preserve">Tools and cartridges shall not be stored together. Storage providing positive physical separation of tools and cartridges (e.g., a wall) shall be used.</w:t>
      </w:r>
    </w:p>
    <w:p>
      <w:pPr>
        <w:pStyle w:val="ListParagraph"/>
        <w:numPr>
          <w:ilvl w:val="0"/>
          <w:numId w:val="3"/>
        </w:numPr>
        <w:spacing w:after="40" w:line="264"/>
      </w:pPr>
      <w:r>
        <w:rPr>
          <w:rFonts w:ascii="Tahoma" w:cs="Tahoma" w:eastAsia="Tahoma" w:hAnsi="Tahoma"/>
          <w:sz w:val="18"/>
          <w:szCs w:val="18"/>
        </w:rPr>
        <w:t xml:space="preserve">Warning signs shall be posted where cartridges are stored: “DANGER - NO SMOKING - CARTRIDGE STORAGE.”</w:t>
      </w:r>
    </w:p>
    <w:p>
      <w:pPr>
        <w:pStyle w:val="ListParagraph"/>
        <w:numPr>
          <w:ilvl w:val="0"/>
          <w:numId w:val="3"/>
        </w:numPr>
        <w:spacing w:after="40" w:line="264"/>
      </w:pPr>
      <w:r>
        <w:rPr>
          <w:rFonts w:ascii="Tahoma" w:cs="Tahoma" w:eastAsia="Tahoma" w:hAnsi="Tahoma"/>
          <w:sz w:val="18"/>
          <w:szCs w:val="18"/>
        </w:rPr>
        <w:t xml:space="preserve">Tool and cartridge storage areas shall be ventilated. Cartons of cartridges shall not be stacked against a wall. Ventilation spaces shall be left around the cartons.</w:t>
      </w:r>
    </w:p>
    <w:p>
      <w:pPr>
        <w:pStyle w:val="ListParagraph"/>
        <w:numPr>
          <w:ilvl w:val="0"/>
          <w:numId w:val="3"/>
        </w:numPr>
        <w:spacing w:after="40" w:line="264"/>
      </w:pPr>
      <w:r>
        <w:rPr>
          <w:rFonts w:ascii="Tahoma" w:cs="Tahoma" w:eastAsia="Tahoma" w:hAnsi="Tahoma"/>
          <w:sz w:val="18"/>
          <w:szCs w:val="18"/>
        </w:rPr>
        <w:t xml:space="preserve">Tools shall be stored in their carrying cases. No loose cartridges shall be in the carrying case; all cartridges shall be in their color-coded boxes.</w:t>
      </w:r>
    </w:p>
    <w:p>
      <w:pPr>
        <w:pStyle w:val="ListParagraph"/>
        <w:numPr>
          <w:ilvl w:val="0"/>
          <w:numId w:val="3"/>
        </w:numPr>
        <w:spacing w:after="40" w:line="264"/>
      </w:pPr>
      <w:r>
        <w:rPr>
          <w:rFonts w:ascii="Tahoma" w:cs="Tahoma" w:eastAsia="Tahoma" w:hAnsi="Tahoma"/>
          <w:sz w:val="18"/>
          <w:szCs w:val="18"/>
        </w:rPr>
        <w:t xml:space="preserve">Only authorized personnel shall be allowed access to the storage area.</w:t>
      </w:r>
    </w:p>
    <w:p>
      <w:pPr>
        <w:pStyle w:val="Heading1"/>
      </w:pPr>
      <w:bookmarkStart w:id="9007" w:name="_DanToc9007"/>
      <w:r>
        <w:t xml:space="preserve">5.0 Compressed Air Units</w:t>
      </w:r>
      <w:bookmarkEnd w:id="9007"/>
    </w:p>
    <w:p>
      <w:pPr>
        <w:pStyle w:val="ListParagraph"/>
        <w:numPr>
          <w:ilvl w:val="0"/>
          <w:numId w:val="2"/>
        </w:numPr>
        <w:spacing w:after="60" w:line="268"/>
        <w:jc w:val="both"/>
      </w:pPr>
      <w:r>
        <w:rPr>
          <w:rFonts w:ascii="Tahoma" w:cs="Tahoma" w:eastAsia="Tahoma" w:hAnsi="Tahoma"/>
          <w:sz w:val="20"/>
          <w:szCs w:val="20"/>
        </w:rPr>
        <w:t xml:space="preserve">Compressed air units [tanks, receivers, and vessels] and appropriate distribution pipework must be:</w:t>
      </w:r>
    </w:p>
    <w:p>
      <w:pPr>
        <w:pStyle w:val="ListParagraph"/>
        <w:numPr>
          <w:ilvl w:val="0"/>
          <w:numId w:val="2"/>
        </w:numPr>
        <w:spacing w:after="60" w:line="268"/>
        <w:jc w:val="both"/>
      </w:pPr>
      <w:r>
        <w:rPr>
          <w:rFonts w:ascii="Tahoma" w:cs="Tahoma" w:eastAsia="Tahoma" w:hAnsi="Tahoma"/>
          <w:sz w:val="20"/>
          <w:szCs w:val="20"/>
        </w:rPr>
        <w:t xml:space="preserve">clearly stamped with the maximum working pressure</w:t>
      </w:r>
    </w:p>
    <w:p>
      <w:pPr>
        <w:pStyle w:val="ListParagraph"/>
        <w:numPr>
          <w:ilvl w:val="0"/>
          <w:numId w:val="2"/>
        </w:numPr>
        <w:spacing w:after="60" w:line="268"/>
        <w:jc w:val="both"/>
      </w:pPr>
      <w:r>
        <w:rPr>
          <w:rFonts w:ascii="Tahoma" w:cs="Tahoma" w:eastAsia="Tahoma" w:hAnsi="Tahoma"/>
          <w:sz w:val="20"/>
          <w:szCs w:val="20"/>
        </w:rPr>
        <w:t xml:space="preserve">examined and tested by a competent person every six months</w:t>
      </w:r>
    </w:p>
    <w:p>
      <w:pPr>
        <w:pStyle w:val="ListParagraph"/>
        <w:numPr>
          <w:ilvl w:val="0"/>
          <w:numId w:val="2"/>
        </w:numPr>
        <w:spacing w:after="60" w:line="268"/>
        <w:jc w:val="both"/>
      </w:pPr>
      <w:r>
        <w:rPr>
          <w:rFonts w:ascii="Tahoma" w:cs="Tahoma" w:eastAsia="Tahoma" w:hAnsi="Tahoma"/>
          <w:sz w:val="20"/>
          <w:szCs w:val="20"/>
        </w:rPr>
        <w:t xml:space="preserve">Air compression units will be equipped with:</w:t>
      </w:r>
    </w:p>
    <w:p>
      <w:pPr>
        <w:pStyle w:val="ListParagraph"/>
        <w:numPr>
          <w:ilvl w:val="0"/>
          <w:numId w:val="3"/>
        </w:numPr>
        <w:spacing w:after="40" w:line="264"/>
      </w:pPr>
      <w:r>
        <w:rPr>
          <w:rFonts w:ascii="Tahoma" w:cs="Tahoma" w:eastAsia="Tahoma" w:hAnsi="Tahoma"/>
          <w:sz w:val="18"/>
          <w:szCs w:val="18"/>
        </w:rPr>
        <w:t xml:space="preserve">a pressure gauge that is easily visible</w:t>
      </w:r>
    </w:p>
    <w:p>
      <w:pPr>
        <w:pStyle w:val="ListParagraph"/>
        <w:numPr>
          <w:ilvl w:val="0"/>
          <w:numId w:val="3"/>
        </w:numPr>
        <w:spacing w:after="40" w:line="264"/>
      </w:pPr>
      <w:r>
        <w:rPr>
          <w:rFonts w:ascii="Tahoma" w:cs="Tahoma" w:eastAsia="Tahoma" w:hAnsi="Tahoma"/>
          <w:sz w:val="18"/>
          <w:szCs w:val="18"/>
        </w:rPr>
        <w:t xml:space="preserve">safety relief valve</w:t>
      </w:r>
    </w:p>
    <w:p>
      <w:pPr>
        <w:pStyle w:val="ListParagraph"/>
        <w:numPr>
          <w:ilvl w:val="0"/>
          <w:numId w:val="3"/>
        </w:numPr>
        <w:spacing w:after="40" w:line="264"/>
      </w:pPr>
      <w:r>
        <w:rPr>
          <w:rFonts w:ascii="Tahoma" w:cs="Tahoma" w:eastAsia="Tahoma" w:hAnsi="Tahoma"/>
          <w:sz w:val="18"/>
          <w:szCs w:val="18"/>
        </w:rPr>
        <w:t xml:space="preserve">drain valve</w:t>
      </w:r>
    </w:p>
    <w:p>
      <w:pPr>
        <w:pStyle w:val="ListParagraph"/>
        <w:numPr>
          <w:ilvl w:val="0"/>
          <w:numId w:val="2"/>
        </w:numPr>
        <w:spacing w:after="60" w:line="268"/>
        <w:jc w:val="both"/>
      </w:pPr>
      <w:r>
        <w:rPr>
          <w:rFonts w:ascii="Tahoma" w:cs="Tahoma" w:eastAsia="Tahoma" w:hAnsi="Tahoma"/>
          <w:sz w:val="20"/>
          <w:szCs w:val="20"/>
        </w:rPr>
        <w:t xml:space="preserve">Safety devices must be installed in a manner that prevents the operator from by-passing the safety device functionality</w:t>
      </w:r>
    </w:p>
    <w:p>
      <w:pPr>
        <w:pStyle w:val="ListParagraph"/>
        <w:numPr>
          <w:ilvl w:val="0"/>
          <w:numId w:val="2"/>
        </w:numPr>
        <w:spacing w:after="60" w:line="268"/>
        <w:jc w:val="both"/>
      </w:pPr>
      <w:r>
        <w:rPr>
          <w:rFonts w:ascii="Tahoma" w:cs="Tahoma" w:eastAsia="Tahoma" w:hAnsi="Tahoma"/>
          <w:sz w:val="20"/>
          <w:szCs w:val="20"/>
        </w:rPr>
        <w:t xml:space="preserve">Compressed air pipework and / or hoses will be:</w:t>
      </w:r>
    </w:p>
    <w:p>
      <w:pPr>
        <w:pStyle w:val="ListParagraph"/>
        <w:numPr>
          <w:ilvl w:val="0"/>
          <w:numId w:val="3"/>
        </w:numPr>
        <w:spacing w:after="40" w:line="264"/>
      </w:pPr>
      <w:r>
        <w:rPr>
          <w:rFonts w:ascii="Tahoma" w:cs="Tahoma" w:eastAsia="Tahoma" w:hAnsi="Tahoma"/>
          <w:sz w:val="18"/>
          <w:szCs w:val="18"/>
        </w:rPr>
        <w:t xml:space="preserve">suspended overhead</w:t>
      </w:r>
    </w:p>
    <w:p>
      <w:pPr>
        <w:pStyle w:val="ListParagraph"/>
        <w:numPr>
          <w:ilvl w:val="0"/>
          <w:numId w:val="3"/>
        </w:numPr>
        <w:spacing w:after="40" w:line="264"/>
      </w:pPr>
      <w:r>
        <w:rPr>
          <w:rFonts w:ascii="Tahoma" w:cs="Tahoma" w:eastAsia="Tahoma" w:hAnsi="Tahoma"/>
          <w:sz w:val="18"/>
          <w:szCs w:val="18"/>
        </w:rPr>
        <w:t xml:space="preserve">securely locate to protect against damage</w:t>
      </w:r>
    </w:p>
    <w:p>
      <w:pPr>
        <w:pStyle w:val="ListParagraph"/>
        <w:numPr>
          <w:ilvl w:val="0"/>
          <w:numId w:val="2"/>
        </w:numPr>
        <w:spacing w:after="60" w:line="268"/>
        <w:jc w:val="both"/>
      </w:pPr>
      <w:r>
        <w:rPr>
          <w:rFonts w:ascii="Tahoma" w:cs="Tahoma" w:eastAsia="Tahoma" w:hAnsi="Tahoma"/>
          <w:sz w:val="20"/>
          <w:szCs w:val="20"/>
        </w:rPr>
        <w:t xml:space="preserve">Compressed air equipment i.e., regulators, gauges, safety devices, valves, hoses, connections, and fittings must be clearly marked with the maximum working pressure</w:t>
      </w:r>
    </w:p>
    <w:p>
      <w:pPr>
        <w:pStyle w:val="ListParagraph"/>
        <w:numPr>
          <w:ilvl w:val="0"/>
          <w:numId w:val="2"/>
        </w:numPr>
        <w:spacing w:after="60" w:line="268"/>
        <w:jc w:val="both"/>
      </w:pPr>
      <w:r>
        <w:rPr>
          <w:rFonts w:ascii="Tahoma" w:cs="Tahoma" w:eastAsia="Tahoma" w:hAnsi="Tahoma"/>
          <w:sz w:val="20"/>
          <w:szCs w:val="20"/>
        </w:rPr>
        <w:t xml:space="preserve">Compressed air hose connection couplings must have safety clips fitted to prevent inadvertent uncoupling during use</w:t>
      </w:r>
    </w:p>
    <w:p>
      <w:pPr>
        <w:pStyle w:val="ListParagraph"/>
        <w:numPr>
          <w:ilvl w:val="0"/>
          <w:numId w:val="2"/>
        </w:numPr>
        <w:spacing w:after="60" w:line="268"/>
        <w:jc w:val="both"/>
      </w:pPr>
      <w:r>
        <w:rPr>
          <w:rFonts w:ascii="Tahoma" w:cs="Tahoma" w:eastAsia="Tahoma" w:hAnsi="Tahoma"/>
          <w:sz w:val="20"/>
          <w:szCs w:val="20"/>
        </w:rPr>
        <w:t xml:space="preserve">Compressed air equipment must not be used to clean people or their clothing</w:t>
      </w:r>
    </w:p>
    <w:p>
      <w:pPr>
        <w:pStyle w:val="ListParagraph"/>
        <w:numPr>
          <w:ilvl w:val="0"/>
          <w:numId w:val="2"/>
        </w:numPr>
        <w:spacing w:after="60" w:line="268"/>
        <w:jc w:val="both"/>
      </w:pPr>
      <w:r>
        <w:rPr>
          <w:rFonts w:ascii="Tahoma" w:cs="Tahoma" w:eastAsia="Tahoma" w:hAnsi="Tahoma"/>
          <w:sz w:val="20"/>
          <w:szCs w:val="20"/>
        </w:rPr>
        <w:t xml:space="preserve">Compressed air units and equipment must be periodically inspected by a competent person. All inspections will be documented, and outcomes recorded.</w:t>
      </w:r>
    </w:p>
    <w:p>
      <w:pPr>
        <w:pStyle w:val="Heading1"/>
      </w:pPr>
      <w:bookmarkStart w:id="9008" w:name="_DanToc9008"/>
      <w:r>
        <w:t xml:space="preserve">Standards</w:t>
      </w:r>
      <w:bookmarkEnd w:id="9008"/>
    </w:p>
    <w:p>
      <w:pPr>
        <w:pStyle w:val="ListParagraph"/>
        <w:numPr>
          <w:ilvl w:val="0"/>
          <w:numId w:val="2"/>
        </w:numPr>
        <w:spacing w:after="60" w:line="268"/>
        <w:jc w:val="both"/>
      </w:pPr>
      <w:r>
        <w:rPr>
          <w:rFonts w:ascii="Tahoma" w:cs="Tahoma" w:eastAsia="Tahoma" w:hAnsi="Tahoma"/>
          <w:sz w:val="20"/>
          <w:szCs w:val="20"/>
        </w:rPr>
        <w:t xml:space="preserve">• DAN Construction HSE Management System Manual (01-000001-000000-DAN-HSE-MAN-000001) and management procedures.</w:t>
      </w:r>
    </w:p>
    <w:p>
      <w:pPr>
        <w:pStyle w:val="ListParagraph"/>
        <w:numPr>
          <w:ilvl w:val="0"/>
          <w:numId w:val="2"/>
        </w:numPr>
        <w:spacing w:after="60" w:line="268"/>
        <w:jc w:val="both"/>
      </w:pPr>
      <w:r>
        <w:rPr>
          <w:rFonts w:ascii="Tahoma" w:cs="Tahoma" w:eastAsia="Tahoma" w:hAnsi="Tahoma"/>
          <w:sz w:val="20"/>
          <w:szCs w:val="20"/>
        </w:rPr>
        <w:t xml:space="preserve">• Saudi Labour Law – Royal Decree No. M/51, 23 Sha’ban 1426 / 27 September 2005</w:t>
      </w:r>
    </w:p>
    <w:p>
      <w:pPr>
        <w:pStyle w:val="ListParagraph"/>
        <w:numPr>
          <w:ilvl w:val="0"/>
          <w:numId w:val="2"/>
        </w:numPr>
        <w:spacing w:after="60" w:line="268"/>
        <w:jc w:val="both"/>
      </w:pPr>
      <w:r>
        <w:rPr>
          <w:rFonts w:ascii="Tahoma" w:cs="Tahoma" w:eastAsia="Tahoma" w:hAnsi="Tahoma"/>
          <w:sz w:val="20"/>
          <w:szCs w:val="20"/>
        </w:rPr>
        <w:t xml:space="preserve">• Technical &amp; Safety Regulation by SASO (Saudi Standards Metrology and Quality Org.)</w:t>
      </w:r>
    </w:p>
    <w:p>
      <w:pPr>
        <w:pStyle w:val="Heading1"/>
      </w:pPr>
      <w:bookmarkStart w:id="9009" w:name="_DanToc9009"/>
      <w:r>
        <w:t xml:space="preserve">Tools and References</w:t>
      </w:r>
      <w:bookmarkEnd w:id="9009"/>
    </w:p>
    <w:p>
      <w:pPr>
        <w:pStyle w:val="ListParagraph"/>
        <w:numPr>
          <w:ilvl w:val="0"/>
          <w:numId w:val="2"/>
        </w:numPr>
        <w:spacing w:after="60" w:line="268"/>
        <w:jc w:val="both"/>
      </w:pPr>
      <w:r>
        <w:rPr>
          <w:rFonts w:ascii="Tahoma" w:cs="Tahoma" w:eastAsia="Tahoma" w:hAnsi="Tahoma"/>
          <w:sz w:val="20"/>
          <w:szCs w:val="20"/>
        </w:rPr>
        <w:t xml:space="preserve">Portable power tools &amp; equipment inspection record/register</w:t>
      </w:r>
    </w:p>
    <w:p>
      <w:pPr>
        <w:pStyle w:val="ListParagraph"/>
        <w:numPr>
          <w:ilvl w:val="0"/>
          <w:numId w:val="2"/>
        </w:numPr>
        <w:spacing w:after="60" w:line="268"/>
        <w:jc w:val="both"/>
      </w:pPr>
      <w:r>
        <w:rPr>
          <w:rFonts w:ascii="Tahoma" w:cs="Tahoma" w:eastAsia="Tahoma" w:hAnsi="Tahoma"/>
          <w:sz w:val="20"/>
          <w:szCs w:val="20"/>
        </w:rPr>
        <w:t xml:space="preserve">Portable tools &amp; equipment maintenance record</w:t>
      </w:r>
    </w:p>
    <w:p>
      <w:pPr>
        <w:pStyle w:val="ListParagraph"/>
        <w:numPr>
          <w:ilvl w:val="0"/>
          <w:numId w:val="2"/>
        </w:numPr>
        <w:spacing w:after="60" w:line="268"/>
        <w:jc w:val="both"/>
      </w:pPr>
      <w:r>
        <w:rPr>
          <w:rFonts w:ascii="Tahoma" w:cs="Tahoma" w:eastAsia="Tahoma" w:hAnsi="Tahoma"/>
          <w:sz w:val="20"/>
          <w:szCs w:val="20"/>
        </w:rPr>
        <w:t xml:space="preserve">Training Record for power tools &amp; equipment operators</w:t>
      </w:r>
    </w:p>
    <w:p>
      <w:pPr>
        <w:pStyle w:val="ListParagraph"/>
        <w:numPr>
          <w:ilvl w:val="0"/>
          <w:numId w:val="2"/>
        </w:numPr>
        <w:spacing w:after="60" w:line="268"/>
        <w:jc w:val="both"/>
      </w:pPr>
      <w:r>
        <w:rPr>
          <w:rFonts w:ascii="Tahoma" w:cs="Tahoma" w:eastAsia="Tahoma" w:hAnsi="Tahoma"/>
          <w:sz w:val="20"/>
          <w:szCs w:val="20"/>
        </w:rPr>
        <w:t xml:space="preserve">Manufacture Manual / Instruction &amp; TBT briefing record</w:t>
      </w:r>
    </w:p>
    <w:p>
      <w:pPr>
        <w:pStyle w:val="ListParagraph"/>
        <w:numPr>
          <w:ilvl w:val="0"/>
          <w:numId w:val="2"/>
        </w:numPr>
        <w:spacing w:after="60" w:line="268"/>
        <w:jc w:val="both"/>
      </w:pPr>
      <w:r>
        <w:rPr>
          <w:rFonts w:ascii="Tahoma" w:cs="Tahoma" w:eastAsia="Tahoma" w:hAnsi="Tahoma"/>
          <w:sz w:val="20"/>
          <w:szCs w:val="20"/>
        </w:rPr>
        <w:t xml:space="preserve">OSHA Standard 1910.242 &amp;1926.302 for power operated hand tools</w:t>
      </w:r>
    </w:p>
    <w:p>
      <w:pPr>
        <w:pStyle w:val="ListParagraph"/>
        <w:numPr>
          <w:ilvl w:val="0"/>
          <w:numId w:val="2"/>
        </w:numPr>
        <w:spacing w:after="60" w:line="268"/>
        <w:jc w:val="both"/>
      </w:pPr>
      <w:r>
        <w:rPr>
          <w:rFonts w:ascii="Tahoma" w:cs="Tahoma" w:eastAsia="Tahoma" w:hAnsi="Tahoma"/>
          <w:sz w:val="20"/>
          <w:szCs w:val="20"/>
        </w:rPr>
        <w:t xml:space="preserve">OSHA standard 1926.803 Compressed air</w:t>
      </w:r>
    </w:p>
    <w:p>
      <w:pPr>
        <w:pStyle w:val="Heading1"/>
      </w:pPr>
      <w:bookmarkStart w:id="9010" w:name="_DanToc9010"/>
      <w:r>
        <w:t xml:space="preserve">Revision History</w:t>
      </w:r>
      <w:bookmarkEnd w:id="90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HSE Minimum Requirement, adapted from the source OH&amp;S minimum requirement, re-branded to DAN and coded to the DAN document-numbering convention (01-000001-000000-DAN-HSE-MNR-{seq}).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Manager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HSE Minimum Requirement — Tools and Equipment</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01-000001-000000-DAN-HSE-MNR-000019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Tools and Equipment</dc:title>
  <dc:creator>DAN HSSE Management System</dc:creator>
  <cp:lastModifiedBy>Un-named</cp:lastModifiedBy>
  <cp:revision>1</cp:revision>
  <dcterms:created xsi:type="dcterms:W3CDTF">2026-09-01T13:19:50.618Z</dcterms:created>
  <dcterms:modified xsi:type="dcterms:W3CDTF">2026-09-01T13:19:50.618Z</dcterms:modified>
</cp:coreProperties>
</file>

<file path=docProps/custom.xml><?xml version="1.0" encoding="utf-8"?>
<Properties xmlns="http://schemas.openxmlformats.org/officeDocument/2006/custom-properties" xmlns:vt="http://schemas.openxmlformats.org/officeDocument/2006/docPropsVTypes"/>
</file>