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Arial" w:hAnsi="Arial" w:eastAsia="Arial"/>
          <w:b/>
          <w:color w:val="0F4C81"/>
          <w:sz w:val="54"/>
        </w:rPr>
        <w:t>التقرير الاستشاري الشامل لنظام مصنع السلطان</w:t>
      </w:r>
    </w:p>
    <w:p>
      <w:pPr>
        <w:spacing w:after="440"/>
        <w:jc w:val="center"/>
      </w:pPr>
      <w:r>
        <w:rPr>
          <w:rFonts w:ascii="Arial" w:hAnsi="Arial" w:eastAsia="Arial"/>
          <w:color w:val="475569"/>
          <w:sz w:val="30"/>
        </w:rPr>
        <w:t>وصف وظيفي وتقني وتشغيلي — نسخة موجهة للاستشاري</w:t>
      </w:r>
    </w:p>
    <w:p>
      <w:pPr>
        <w:spacing w:after="100" w:line="283" w:lineRule="auto"/>
        <w:jc w:val="right"/>
        <w:bidi/>
      </w:pPr>
      <w:r>
        <w:rPr>
          <w:rFonts w:ascii="Arial" w:hAnsi="Arial" w:eastAsia="Arial"/>
          <w:sz w:val="21"/>
        </w:rPr>
        <w:t>تاريخ إعداد التقرير: 2026-10-13</w:t>
      </w:r>
    </w:p>
    <w:p>
      <w:pPr>
        <w:spacing w:after="100" w:line="283" w:lineRule="auto"/>
        <w:jc w:val="right"/>
        <w:bidi/>
      </w:pPr>
      <w:r>
        <w:rPr>
          <w:rFonts w:ascii="Arial" w:hAnsi="Arial" w:eastAsia="Arial"/>
          <w:sz w:val="21"/>
        </w:rPr>
        <w:t>الغرض من الوثيقة: تقديم صورة متكاملة عن النظام الحالي، وحداته، سير العمليات، الضوابط، التقارير، نقاط التكامل، وآلية التحقق والاختبار؛ بحيث يستطيع الاستشاري مراجعة التطبيق وفهمه دون الحاجة إلى قراءة الشفرة البرمجية أولاً.</w:t>
      </w:r>
    </w:p>
    <w:p>
      <w:pPr>
        <w:spacing w:after="100" w:line="283" w:lineRule="auto"/>
        <w:jc w:val="right"/>
        <w:bidi/>
      </w:pPr>
      <w:r>
        <w:rPr>
          <w:rFonts w:ascii="Arial" w:hAnsi="Arial" w:eastAsia="Arial"/>
          <w:sz w:val="21"/>
        </w:rPr>
        <w:t>نطاق التقرير: تطبيق جوال وويب مبني على React Native/Expo، مع واجهة RTL عربية، خادم tRPC، قاعدة بيانات MySQL/Drizzle ORM، تخزين للمرفقات، نظام صلاحيات، وتقارير تشغيلية وإدارية.</w:t>
      </w:r>
    </w:p>
    <w:tbl>
      <w:tblPr>
        <w:tblW w:type="auto" w:w="0"/>
        <w:jc w:val="center"/>
        <w:tblLook w:firstColumn="1" w:firstRow="1" w:lastColumn="0" w:lastRow="0" w:noHBand="0" w:noVBand="1" w:val="04A0"/>
      </w:tblPr>
      <w:tblGrid>
        <w:gridCol w:w="10224"/>
      </w:tblGrid>
      <w:tr>
        <w:tc>
          <w:tcPr>
            <w:tcW w:type="dxa" w:w="10224"/>
            <w:shd w:fill="E0F2FE"/>
          </w:tcPr>
          <w:p>
            <w:pPr>
              <w:spacing w:after="60"/>
              <w:jc w:val="right"/>
              <w:bidi/>
            </w:pPr>
            <w:r>
              <w:rPr>
                <w:rFonts w:ascii="Arial" w:hAnsi="Arial" w:eastAsia="Arial"/>
                <w:b/>
                <w:color w:val="0F4C81"/>
                <w:sz w:val="22"/>
              </w:rPr>
              <w:t>ملاحظة مهمة للاستشاري</w:t>
            </w:r>
          </w:p>
          <w:p>
            <w:pPr>
              <w:spacing w:after="40" w:line="276" w:lineRule="auto"/>
              <w:jc w:val="right"/>
              <w:bidi/>
            </w:pPr>
            <w:r>
              <w:rPr>
                <w:rFonts w:ascii="Arial" w:hAnsi="Arial" w:eastAsia="Arial"/>
                <w:sz w:val="20"/>
              </w:rPr>
              <w:t>هذا التقرير يصف السلوك المقصود والمطبق في النسخة الحالية، مع فصل واضح بين العمليات التشغيلية، التقارير الإدارية، وسجل الأحداث. كلمات المرور والبيانات السرية غير مدرجة في التقرير لأسباب أمنية.</w:t>
            </w:r>
          </w:p>
        </w:tc>
      </w:tr>
    </w:tbl>
    <w:p>
      <w:pPr>
        <w:spacing w:after="20"/>
      </w:pPr>
    </w:p>
    <w:p>
      <w:r>
        <w:br w:type="page"/>
      </w:r>
    </w:p>
    <w:p>
      <w:pPr>
        <w:pStyle w:val="Heading1"/>
        <w:spacing w:before="260" w:after="100"/>
        <w:jc w:val="right"/>
        <w:bidi/>
      </w:pPr>
      <w:r>
        <w:t>فهرس تنفيذي</w:t>
      </w:r>
    </w:p>
    <w:tbl>
      <w:tblPr>
        <w:tblStyle w:val="TableGrid"/>
        <w:tblW w:type="auto" w:w="0"/>
        <w:jc w:val="center"/>
        <w:tblLook w:firstColumn="1" w:firstRow="1" w:lastColumn="0" w:lastRow="0" w:noHBand="0" w:noVBand="1" w:val="04A0"/>
      </w:tblPr>
      <w:tblGrid>
        <w:gridCol w:w="5112"/>
        <w:gridCol w:w="5112"/>
      </w:tblGrid>
      <w:tr>
        <w:tc>
          <w:tcPr>
            <w:tcW w:type="dxa" w:w="720"/>
            <w:vAlign w:val="center"/>
            <w:shd w:fill="0F4C81"/>
          </w:tcPr>
          <w:p>
            <w:pPr>
              <w:spacing w:after="0" w:line="252" w:lineRule="auto"/>
              <w:jc w:val="right"/>
            </w:pPr>
            <w:r/>
            <w:r>
              <w:rPr>
                <w:rFonts w:ascii="Arial" w:hAnsi="Arial" w:eastAsia="Arial"/>
                <w:b/>
                <w:color w:val="FFFFFF"/>
                <w:sz w:val="18"/>
              </w:rPr>
              <w:t>القسم</w:t>
            </w:r>
          </w:p>
        </w:tc>
        <w:tc>
          <w:tcPr>
            <w:tcW w:type="dxa" w:w="8928"/>
            <w:vAlign w:val="center"/>
            <w:shd w:fill="0F4C81"/>
          </w:tcPr>
          <w:p>
            <w:pPr>
              <w:spacing w:after="0" w:line="252" w:lineRule="auto"/>
              <w:jc w:val="right"/>
            </w:pPr>
            <w:r/>
            <w:r>
              <w:rPr>
                <w:rFonts w:ascii="Arial" w:hAnsi="Arial" w:eastAsia="Arial"/>
                <w:b/>
                <w:color w:val="FFFFFF"/>
                <w:sz w:val="18"/>
              </w:rPr>
              <w:t>الموضوع</w:t>
            </w:r>
          </w:p>
        </w:tc>
      </w:tr>
      <w:tr>
        <w:tc>
          <w:tcPr>
            <w:tcW w:type="dxa" w:w="720"/>
            <w:vAlign w:val="center"/>
            <w:shd w:fill="F1F5F9"/>
          </w:tcPr>
          <w:p>
            <w:pPr>
              <w:spacing w:after="0" w:line="252" w:lineRule="auto"/>
              <w:jc w:val="right"/>
            </w:pPr>
            <w:r/>
            <w:r>
              <w:rPr>
                <w:rFonts w:ascii="Arial" w:hAnsi="Arial" w:eastAsia="Arial"/>
                <w:b w:val="0"/>
                <w:color w:val="1F2937"/>
                <w:sz w:val="17"/>
              </w:rPr>
              <w:t>1</w:t>
            </w:r>
          </w:p>
        </w:tc>
        <w:tc>
          <w:tcPr>
            <w:tcW w:type="dxa" w:w="8928"/>
            <w:vAlign w:val="center"/>
            <w:shd w:fill="F1F5F9"/>
          </w:tcPr>
          <w:p>
            <w:pPr>
              <w:spacing w:after="0" w:line="252" w:lineRule="auto"/>
              <w:jc w:val="right"/>
            </w:pPr>
            <w:r/>
            <w:r>
              <w:rPr>
                <w:rFonts w:ascii="Arial" w:hAnsi="Arial" w:eastAsia="Arial"/>
                <w:b w:val="0"/>
                <w:color w:val="1F2937"/>
                <w:sz w:val="17"/>
              </w:rPr>
              <w:t>الملخص التنفيذي ونطاق النظام</w:t>
            </w:r>
          </w:p>
        </w:tc>
      </w:tr>
      <w:tr>
        <w:tc>
          <w:tcPr>
            <w:tcW w:type="dxa" w:w="720"/>
            <w:vAlign w:val="center"/>
          </w:tcPr>
          <w:p>
            <w:pPr>
              <w:spacing w:after="0" w:line="252" w:lineRule="auto"/>
              <w:jc w:val="right"/>
            </w:pPr>
            <w:r/>
            <w:r>
              <w:rPr>
                <w:rFonts w:ascii="Arial" w:hAnsi="Arial" w:eastAsia="Arial"/>
                <w:b w:val="0"/>
                <w:color w:val="1F2937"/>
                <w:sz w:val="17"/>
              </w:rPr>
              <w:t>2</w:t>
            </w:r>
          </w:p>
        </w:tc>
        <w:tc>
          <w:tcPr>
            <w:tcW w:type="dxa" w:w="8928"/>
            <w:vAlign w:val="center"/>
          </w:tcPr>
          <w:p>
            <w:pPr>
              <w:spacing w:after="0" w:line="252" w:lineRule="auto"/>
              <w:jc w:val="right"/>
            </w:pPr>
            <w:r/>
            <w:r>
              <w:rPr>
                <w:rFonts w:ascii="Arial" w:hAnsi="Arial" w:eastAsia="Arial"/>
                <w:b w:val="0"/>
                <w:color w:val="1F2937"/>
                <w:sz w:val="17"/>
              </w:rPr>
              <w:t>المعمارية التقنية وتدفق البيانات</w:t>
            </w:r>
          </w:p>
        </w:tc>
      </w:tr>
      <w:tr>
        <w:tc>
          <w:tcPr>
            <w:tcW w:type="dxa" w:w="720"/>
            <w:vAlign w:val="center"/>
            <w:shd w:fill="F1F5F9"/>
          </w:tcPr>
          <w:p>
            <w:pPr>
              <w:spacing w:after="0" w:line="252" w:lineRule="auto"/>
              <w:jc w:val="right"/>
            </w:pPr>
            <w:r/>
            <w:r>
              <w:rPr>
                <w:rFonts w:ascii="Arial" w:hAnsi="Arial" w:eastAsia="Arial"/>
                <w:b w:val="0"/>
                <w:color w:val="1F2937"/>
                <w:sz w:val="17"/>
              </w:rPr>
              <w:t>3</w:t>
            </w:r>
          </w:p>
        </w:tc>
        <w:tc>
          <w:tcPr>
            <w:tcW w:type="dxa" w:w="8928"/>
            <w:vAlign w:val="center"/>
            <w:shd w:fill="F1F5F9"/>
          </w:tcPr>
          <w:p>
            <w:pPr>
              <w:spacing w:after="0" w:line="252" w:lineRule="auto"/>
              <w:jc w:val="right"/>
            </w:pPr>
            <w:r/>
            <w:r>
              <w:rPr>
                <w:rFonts w:ascii="Arial" w:hAnsi="Arial" w:eastAsia="Arial"/>
                <w:b w:val="0"/>
                <w:color w:val="1F2937"/>
                <w:sz w:val="17"/>
              </w:rPr>
              <w:t>المستخدمون والصلاحيات</w:t>
            </w:r>
          </w:p>
        </w:tc>
      </w:tr>
      <w:tr>
        <w:tc>
          <w:tcPr>
            <w:tcW w:type="dxa" w:w="720"/>
            <w:vAlign w:val="center"/>
          </w:tcPr>
          <w:p>
            <w:pPr>
              <w:spacing w:after="0" w:line="252" w:lineRule="auto"/>
              <w:jc w:val="right"/>
            </w:pPr>
            <w:r/>
            <w:r>
              <w:rPr>
                <w:rFonts w:ascii="Arial" w:hAnsi="Arial" w:eastAsia="Arial"/>
                <w:b w:val="0"/>
                <w:color w:val="1F2937"/>
                <w:sz w:val="17"/>
              </w:rPr>
              <w:t>4</w:t>
            </w:r>
          </w:p>
        </w:tc>
        <w:tc>
          <w:tcPr>
            <w:tcW w:type="dxa" w:w="8928"/>
            <w:vAlign w:val="center"/>
          </w:tcPr>
          <w:p>
            <w:pPr>
              <w:spacing w:after="0" w:line="252" w:lineRule="auto"/>
              <w:jc w:val="right"/>
            </w:pPr>
            <w:r/>
            <w:r>
              <w:rPr>
                <w:rFonts w:ascii="Arial" w:hAnsi="Arial" w:eastAsia="Arial"/>
                <w:b w:val="0"/>
                <w:color w:val="1F2937"/>
                <w:sz w:val="17"/>
              </w:rPr>
              <w:t>الإنتاج وسلسلة الاستلام والتسليم</w:t>
            </w:r>
          </w:p>
        </w:tc>
      </w:tr>
      <w:tr>
        <w:tc>
          <w:tcPr>
            <w:tcW w:type="dxa" w:w="720"/>
            <w:vAlign w:val="center"/>
            <w:shd w:fill="F1F5F9"/>
          </w:tcPr>
          <w:p>
            <w:pPr>
              <w:spacing w:after="0" w:line="252" w:lineRule="auto"/>
              <w:jc w:val="right"/>
            </w:pPr>
            <w:r/>
            <w:r>
              <w:rPr>
                <w:rFonts w:ascii="Arial" w:hAnsi="Arial" w:eastAsia="Arial"/>
                <w:b w:val="0"/>
                <w:color w:val="1F2937"/>
                <w:sz w:val="17"/>
              </w:rPr>
              <w:t>5</w:t>
            </w:r>
          </w:p>
        </w:tc>
        <w:tc>
          <w:tcPr>
            <w:tcW w:type="dxa" w:w="8928"/>
            <w:vAlign w:val="center"/>
            <w:shd w:fill="F1F5F9"/>
          </w:tcPr>
          <w:p>
            <w:pPr>
              <w:spacing w:after="0" w:line="252" w:lineRule="auto"/>
              <w:jc w:val="right"/>
            </w:pPr>
            <w:r/>
            <w:r>
              <w:rPr>
                <w:rFonts w:ascii="Arial" w:hAnsi="Arial" w:eastAsia="Arial"/>
                <w:b w:val="0"/>
                <w:color w:val="1F2937"/>
                <w:sz w:val="17"/>
              </w:rPr>
              <w:t>الطلبات والعينات والتصنيع الخاص</w:t>
            </w:r>
          </w:p>
        </w:tc>
      </w:tr>
      <w:tr>
        <w:tc>
          <w:tcPr>
            <w:tcW w:type="dxa" w:w="720"/>
            <w:vAlign w:val="center"/>
          </w:tcPr>
          <w:p>
            <w:pPr>
              <w:spacing w:after="0" w:line="252" w:lineRule="auto"/>
              <w:jc w:val="right"/>
            </w:pPr>
            <w:r/>
            <w:r>
              <w:rPr>
                <w:rFonts w:ascii="Arial" w:hAnsi="Arial" w:eastAsia="Arial"/>
                <w:b w:val="0"/>
                <w:color w:val="1F2937"/>
                <w:sz w:val="17"/>
              </w:rPr>
              <w:t>6</w:t>
            </w:r>
          </w:p>
        </w:tc>
        <w:tc>
          <w:tcPr>
            <w:tcW w:type="dxa" w:w="8928"/>
            <w:vAlign w:val="center"/>
          </w:tcPr>
          <w:p>
            <w:pPr>
              <w:spacing w:after="0" w:line="252" w:lineRule="auto"/>
              <w:jc w:val="right"/>
            </w:pPr>
            <w:r/>
            <w:r>
              <w:rPr>
                <w:rFonts w:ascii="Arial" w:hAnsi="Arial" w:eastAsia="Arial"/>
                <w:b w:val="0"/>
                <w:color w:val="1F2937"/>
                <w:sz w:val="17"/>
              </w:rPr>
              <w:t>المبيعات والمندوبون والعملاء والتحصيل</w:t>
            </w:r>
          </w:p>
        </w:tc>
      </w:tr>
      <w:tr>
        <w:tc>
          <w:tcPr>
            <w:tcW w:type="dxa" w:w="720"/>
            <w:vAlign w:val="center"/>
            <w:shd w:fill="F1F5F9"/>
          </w:tcPr>
          <w:p>
            <w:pPr>
              <w:spacing w:after="0" w:line="252" w:lineRule="auto"/>
              <w:jc w:val="right"/>
            </w:pPr>
            <w:r/>
            <w:r>
              <w:rPr>
                <w:rFonts w:ascii="Arial" w:hAnsi="Arial" w:eastAsia="Arial"/>
                <w:b w:val="0"/>
                <w:color w:val="1F2937"/>
                <w:sz w:val="17"/>
              </w:rPr>
              <w:t>7</w:t>
            </w:r>
          </w:p>
        </w:tc>
        <w:tc>
          <w:tcPr>
            <w:tcW w:type="dxa" w:w="8928"/>
            <w:vAlign w:val="center"/>
            <w:shd w:fill="F1F5F9"/>
          </w:tcPr>
          <w:p>
            <w:pPr>
              <w:spacing w:after="0" w:line="252" w:lineRule="auto"/>
              <w:jc w:val="right"/>
            </w:pPr>
            <w:r/>
            <w:r>
              <w:rPr>
                <w:rFonts w:ascii="Arial" w:hAnsi="Arial" w:eastAsia="Arial"/>
                <w:b w:val="0"/>
                <w:color w:val="1F2937"/>
                <w:sz w:val="17"/>
              </w:rPr>
              <w:t>المستودعات والمخزون والباركود</w:t>
            </w:r>
          </w:p>
        </w:tc>
      </w:tr>
      <w:tr>
        <w:tc>
          <w:tcPr>
            <w:tcW w:type="dxa" w:w="720"/>
            <w:vAlign w:val="center"/>
          </w:tcPr>
          <w:p>
            <w:pPr>
              <w:spacing w:after="0" w:line="252" w:lineRule="auto"/>
              <w:jc w:val="right"/>
            </w:pPr>
            <w:r/>
            <w:r>
              <w:rPr>
                <w:rFonts w:ascii="Arial" w:hAnsi="Arial" w:eastAsia="Arial"/>
                <w:b w:val="0"/>
                <w:color w:val="1F2937"/>
                <w:sz w:val="17"/>
              </w:rPr>
              <w:t>8</w:t>
            </w:r>
          </w:p>
        </w:tc>
        <w:tc>
          <w:tcPr>
            <w:tcW w:type="dxa" w:w="8928"/>
            <w:vAlign w:val="center"/>
          </w:tcPr>
          <w:p>
            <w:pPr>
              <w:spacing w:after="0" w:line="252" w:lineRule="auto"/>
              <w:jc w:val="right"/>
            </w:pPr>
            <w:r/>
            <w:r>
              <w:rPr>
                <w:rFonts w:ascii="Arial" w:hAnsi="Arial" w:eastAsia="Arial"/>
                <w:b w:val="0"/>
                <w:color w:val="1F2937"/>
                <w:sz w:val="17"/>
              </w:rPr>
              <w:t>التقارير والتصدير والطباعة</w:t>
            </w:r>
          </w:p>
        </w:tc>
      </w:tr>
      <w:tr>
        <w:tc>
          <w:tcPr>
            <w:tcW w:type="dxa" w:w="720"/>
            <w:vAlign w:val="center"/>
            <w:shd w:fill="F1F5F9"/>
          </w:tcPr>
          <w:p>
            <w:pPr>
              <w:spacing w:after="0" w:line="252" w:lineRule="auto"/>
              <w:jc w:val="right"/>
            </w:pPr>
            <w:r/>
            <w:r>
              <w:rPr>
                <w:rFonts w:ascii="Arial" w:hAnsi="Arial" w:eastAsia="Arial"/>
                <w:b w:val="0"/>
                <w:color w:val="1F2937"/>
                <w:sz w:val="17"/>
              </w:rPr>
              <w:t>9</w:t>
            </w:r>
          </w:p>
        </w:tc>
        <w:tc>
          <w:tcPr>
            <w:tcW w:type="dxa" w:w="8928"/>
            <w:vAlign w:val="center"/>
            <w:shd w:fill="F1F5F9"/>
          </w:tcPr>
          <w:p>
            <w:pPr>
              <w:spacing w:after="0" w:line="252" w:lineRule="auto"/>
              <w:jc w:val="right"/>
            </w:pPr>
            <w:r/>
            <w:r>
              <w:rPr>
                <w:rFonts w:ascii="Arial" w:hAnsi="Arial" w:eastAsia="Arial"/>
                <w:b w:val="0"/>
                <w:color w:val="1F2937"/>
                <w:sz w:val="17"/>
              </w:rPr>
              <w:t>المالية والشؤون الإدارية والصيانة</w:t>
            </w:r>
          </w:p>
        </w:tc>
      </w:tr>
      <w:tr>
        <w:tc>
          <w:tcPr>
            <w:tcW w:type="dxa" w:w="720"/>
            <w:vAlign w:val="center"/>
          </w:tcPr>
          <w:p>
            <w:pPr>
              <w:spacing w:after="0" w:line="252" w:lineRule="auto"/>
              <w:jc w:val="right"/>
            </w:pPr>
            <w:r/>
            <w:r>
              <w:rPr>
                <w:rFonts w:ascii="Arial" w:hAnsi="Arial" w:eastAsia="Arial"/>
                <w:b w:val="0"/>
                <w:color w:val="1F2937"/>
                <w:sz w:val="17"/>
              </w:rPr>
              <w:t>10</w:t>
            </w:r>
          </w:p>
        </w:tc>
        <w:tc>
          <w:tcPr>
            <w:tcW w:type="dxa" w:w="8928"/>
            <w:vAlign w:val="center"/>
          </w:tcPr>
          <w:p>
            <w:pPr>
              <w:spacing w:after="0" w:line="252" w:lineRule="auto"/>
              <w:jc w:val="right"/>
            </w:pPr>
            <w:r/>
            <w:r>
              <w:rPr>
                <w:rFonts w:ascii="Arial" w:hAnsi="Arial" w:eastAsia="Arial"/>
                <w:b w:val="0"/>
                <w:color w:val="1F2937"/>
                <w:sz w:val="17"/>
              </w:rPr>
              <w:t>الإشعارات والمرفقات والتوقيعات</w:t>
            </w:r>
          </w:p>
        </w:tc>
      </w:tr>
      <w:tr>
        <w:tc>
          <w:tcPr>
            <w:tcW w:type="dxa" w:w="720"/>
            <w:vAlign w:val="center"/>
            <w:shd w:fill="F1F5F9"/>
          </w:tcPr>
          <w:p>
            <w:pPr>
              <w:spacing w:after="0" w:line="252" w:lineRule="auto"/>
              <w:jc w:val="right"/>
            </w:pPr>
            <w:r/>
            <w:r>
              <w:rPr>
                <w:rFonts w:ascii="Arial" w:hAnsi="Arial" w:eastAsia="Arial"/>
                <w:b w:val="0"/>
                <w:color w:val="1F2937"/>
                <w:sz w:val="17"/>
              </w:rPr>
              <w:t>11</w:t>
            </w:r>
          </w:p>
        </w:tc>
        <w:tc>
          <w:tcPr>
            <w:tcW w:type="dxa" w:w="8928"/>
            <w:vAlign w:val="center"/>
            <w:shd w:fill="F1F5F9"/>
          </w:tcPr>
          <w:p>
            <w:pPr>
              <w:spacing w:after="0" w:line="252" w:lineRule="auto"/>
              <w:jc w:val="right"/>
            </w:pPr>
            <w:r/>
            <w:r>
              <w:rPr>
                <w:rFonts w:ascii="Arial" w:hAnsi="Arial" w:eastAsia="Arial"/>
                <w:b w:val="0"/>
                <w:color w:val="1F2937"/>
                <w:sz w:val="17"/>
              </w:rPr>
              <w:t>قواعد البيانات والضوابط</w:t>
            </w:r>
          </w:p>
        </w:tc>
      </w:tr>
      <w:tr>
        <w:tc>
          <w:tcPr>
            <w:tcW w:type="dxa" w:w="720"/>
            <w:vAlign w:val="center"/>
          </w:tcPr>
          <w:p>
            <w:pPr>
              <w:spacing w:after="0" w:line="252" w:lineRule="auto"/>
              <w:jc w:val="right"/>
            </w:pPr>
            <w:r/>
            <w:r>
              <w:rPr>
                <w:rFonts w:ascii="Arial" w:hAnsi="Arial" w:eastAsia="Arial"/>
                <w:b w:val="0"/>
                <w:color w:val="1F2937"/>
                <w:sz w:val="17"/>
              </w:rPr>
              <w:t>12</w:t>
            </w:r>
          </w:p>
        </w:tc>
        <w:tc>
          <w:tcPr>
            <w:tcW w:type="dxa" w:w="8928"/>
            <w:vAlign w:val="center"/>
          </w:tcPr>
          <w:p>
            <w:pPr>
              <w:spacing w:after="0" w:line="252" w:lineRule="auto"/>
              <w:jc w:val="right"/>
            </w:pPr>
            <w:r/>
            <w:r>
              <w:rPr>
                <w:rFonts w:ascii="Arial" w:hAnsi="Arial" w:eastAsia="Arial"/>
                <w:b w:val="0"/>
                <w:color w:val="1F2937"/>
                <w:sz w:val="17"/>
              </w:rPr>
              <w:t>الاختبارات وضمان الجودة</w:t>
            </w:r>
          </w:p>
        </w:tc>
      </w:tr>
      <w:tr>
        <w:tc>
          <w:tcPr>
            <w:tcW w:type="dxa" w:w="720"/>
            <w:vAlign w:val="center"/>
            <w:shd w:fill="F1F5F9"/>
          </w:tcPr>
          <w:p>
            <w:pPr>
              <w:spacing w:after="0" w:line="252" w:lineRule="auto"/>
              <w:jc w:val="right"/>
            </w:pPr>
            <w:r/>
            <w:r>
              <w:rPr>
                <w:rFonts w:ascii="Arial" w:hAnsi="Arial" w:eastAsia="Arial"/>
                <w:b w:val="0"/>
                <w:color w:val="1F2937"/>
                <w:sz w:val="17"/>
              </w:rPr>
              <w:t>13</w:t>
            </w:r>
          </w:p>
        </w:tc>
        <w:tc>
          <w:tcPr>
            <w:tcW w:type="dxa" w:w="8928"/>
            <w:vAlign w:val="center"/>
            <w:shd w:fill="F1F5F9"/>
          </w:tcPr>
          <w:p>
            <w:pPr>
              <w:spacing w:after="0" w:line="252" w:lineRule="auto"/>
              <w:jc w:val="right"/>
            </w:pPr>
            <w:r/>
            <w:r>
              <w:rPr>
                <w:rFonts w:ascii="Arial" w:hAnsi="Arial" w:eastAsia="Arial"/>
                <w:b w:val="0"/>
                <w:color w:val="1F2937"/>
                <w:sz w:val="17"/>
              </w:rPr>
              <w:t>التشغيل والمخاطر والتوصيات</w:t>
            </w:r>
          </w:p>
        </w:tc>
      </w:tr>
    </w:tbl>
    <w:p>
      <w:pPr>
        <w:spacing w:after="20"/>
      </w:pPr>
    </w:p>
    <w:p>
      <w:pPr>
        <w:pStyle w:val="Heading1"/>
        <w:spacing w:before="260" w:after="100"/>
        <w:jc w:val="right"/>
        <w:bidi/>
      </w:pPr>
      <w:r>
        <w:t>1. الملخص التنفيذي ونطاق النظام</w:t>
      </w:r>
    </w:p>
    <w:p>
      <w:pPr>
        <w:spacing w:after="100" w:line="283" w:lineRule="auto"/>
        <w:jc w:val="right"/>
        <w:bidi/>
      </w:pPr>
      <w:r>
        <w:rPr>
          <w:rFonts w:ascii="Arial" w:hAnsi="Arial" w:eastAsia="Arial"/>
          <w:sz w:val="21"/>
        </w:rPr>
        <w:t>نظام مصنع السلطان هو منصة تشغيلية لإدارة دورة العمل من إدخال الإنتاج، مروراً بمراحل التصنيع والاستلام والتسليم، ووصولاً إلى التخزين وطلبات المندوبين والتقارير الإدارية. النظام لا يقتصر على تسجيل البيانات؛ بل يفرض قواعد انتقال، يتتبع المسؤولية، ويمنع الإجراءات التي تؤدي إلى تكرار أو فقدان أو تضارب الكميات.</w:t>
      </w:r>
    </w:p>
    <w:p>
      <w:pPr>
        <w:pStyle w:val="Heading2"/>
        <w:spacing w:before="180" w:after="100"/>
        <w:jc w:val="right"/>
        <w:bidi/>
      </w:pPr>
      <w:r>
        <w:t>الأهداف التشغيلية</w:t>
      </w:r>
    </w:p>
    <w:p>
      <w:pPr>
        <w:pStyle w:val="ListBullet"/>
        <w:spacing w:after="40"/>
        <w:jc w:val="right"/>
        <w:bidi/>
      </w:pPr>
      <w:r>
        <w:rPr>
          <w:rFonts w:ascii="Arial" w:hAnsi="Arial" w:eastAsia="Arial"/>
          <w:sz w:val="20"/>
        </w:rPr>
        <w:t>توحيد بيانات المنتج عبر جميع المراحل باستخدام بصمة المنتج: المكينة، الوردية، التاريخ، المنتج، اللون، المقاس، النوع، والباركود عند توفره.</w:t>
      </w:r>
    </w:p>
    <w:p>
      <w:pPr>
        <w:pStyle w:val="ListBullet"/>
        <w:spacing w:after="40"/>
        <w:jc w:val="right"/>
        <w:bidi/>
      </w:pPr>
      <w:r>
        <w:rPr>
          <w:rFonts w:ascii="Arial" w:hAnsi="Arial" w:eastAsia="Arial"/>
          <w:sz w:val="20"/>
        </w:rPr>
        <w:t>منع الاستلام والتسليم الذاتي بين الموظف نفسه، ومنع اعتماد حركة مكررة أو غير مرتبطة بسجل إنتاج صحيح.</w:t>
      </w:r>
    </w:p>
    <w:p>
      <w:pPr>
        <w:pStyle w:val="ListBullet"/>
        <w:spacing w:after="40"/>
        <w:jc w:val="right"/>
        <w:bidi/>
      </w:pPr>
      <w:r>
        <w:rPr>
          <w:rFonts w:ascii="Arial" w:hAnsi="Arial" w:eastAsia="Arial"/>
          <w:sz w:val="20"/>
        </w:rPr>
        <w:t>إظهار الفرق بين المستلم والمسلم والمتبقي، مع دعم الدرزن والزوج والدقة العشرية في المخزون.</w:t>
      </w:r>
    </w:p>
    <w:p>
      <w:pPr>
        <w:pStyle w:val="ListBullet"/>
        <w:spacing w:after="40"/>
        <w:jc w:val="right"/>
        <w:bidi/>
      </w:pPr>
      <w:r>
        <w:rPr>
          <w:rFonts w:ascii="Arial" w:hAnsi="Arial" w:eastAsia="Arial"/>
          <w:sz w:val="20"/>
        </w:rPr>
        <w:t>إتاحة تقارير قابلة للطباعة والتصدير، مع تواريخ وأوقات وأسماء الموظفين والمرحلة ومدة بقاء المنتج.</w:t>
      </w:r>
    </w:p>
    <w:p>
      <w:pPr>
        <w:pStyle w:val="ListBullet"/>
        <w:spacing w:after="40"/>
        <w:jc w:val="right"/>
        <w:bidi/>
      </w:pPr>
      <w:r>
        <w:rPr>
          <w:rFonts w:ascii="Arial" w:hAnsi="Arial" w:eastAsia="Arial"/>
          <w:sz w:val="20"/>
        </w:rPr>
        <w:t>فصل بيانات التحصيل التشغيلي عن كون النظام محاسبياً؛ التحصيل يستخدم لمتابعة أداء المندوب ولا يشترط ربطه بفواتير قديمة.</w:t>
      </w:r>
    </w:p>
    <w:p>
      <w:pPr>
        <w:pStyle w:val="ListBullet"/>
        <w:spacing w:after="40"/>
        <w:jc w:val="right"/>
        <w:bidi/>
      </w:pPr>
      <w:r>
        <w:rPr>
          <w:rFonts w:ascii="Arial" w:hAnsi="Arial" w:eastAsia="Arial"/>
          <w:sz w:val="20"/>
        </w:rPr>
        <w:t>حفظ سجل تدقيق وأحداث للحركات الحساسة، مع التوقيع والمرفقات عند الحاجة.</w:t>
      </w:r>
    </w:p>
    <w:p>
      <w:pPr>
        <w:pStyle w:val="Heading2"/>
        <w:spacing w:before="180" w:after="100"/>
        <w:jc w:val="right"/>
        <w:bidi/>
      </w:pPr>
      <w:r>
        <w:t>النسخة الحالية والتعديلات الأخيرة</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F4C81"/>
          </w:tcPr>
          <w:p>
            <w:pPr>
              <w:spacing w:after="0" w:line="252" w:lineRule="auto"/>
              <w:jc w:val="right"/>
            </w:pPr>
            <w:r/>
            <w:r>
              <w:rPr>
                <w:rFonts w:ascii="Arial" w:hAnsi="Arial" w:eastAsia="Arial"/>
                <w:b/>
                <w:color w:val="FFFFFF"/>
                <w:sz w:val="18"/>
              </w:rPr>
              <w:t>البند</w:t>
            </w:r>
          </w:p>
        </w:tc>
        <w:tc>
          <w:tcPr>
            <w:tcW w:type="dxa" w:w="7056"/>
            <w:vAlign w:val="center"/>
            <w:shd w:fill="0F4C81"/>
          </w:tcPr>
          <w:p>
            <w:pPr>
              <w:spacing w:after="0" w:line="252" w:lineRule="auto"/>
              <w:jc w:val="right"/>
            </w:pPr>
            <w:r/>
            <w:r>
              <w:rPr>
                <w:rFonts w:ascii="Arial" w:hAnsi="Arial" w:eastAsia="Arial"/>
                <w:b/>
                <w:color w:val="FFFFFF"/>
                <w:sz w:val="18"/>
              </w:rPr>
              <w:t>الحالة الحالية</w:t>
            </w:r>
          </w:p>
        </w:tc>
      </w:tr>
      <w:tr>
        <w:tc>
          <w:tcPr>
            <w:tcW w:type="dxa" w:w="2592"/>
            <w:vAlign w:val="center"/>
            <w:shd w:fill="F1F5F9"/>
          </w:tcPr>
          <w:p>
            <w:pPr>
              <w:spacing w:after="0" w:line="252" w:lineRule="auto"/>
              <w:jc w:val="right"/>
            </w:pPr>
            <w:r/>
            <w:r>
              <w:rPr>
                <w:rFonts w:ascii="Arial" w:hAnsi="Arial" w:eastAsia="Arial"/>
                <w:b w:val="0"/>
                <w:color w:val="1F2937"/>
                <w:sz w:val="17"/>
              </w:rPr>
              <w:t>اعتماد العينات خارجياً</w:t>
            </w:r>
          </w:p>
        </w:tc>
        <w:tc>
          <w:tcPr>
            <w:tcW w:type="dxa" w:w="7056"/>
            <w:vAlign w:val="center"/>
            <w:shd w:fill="F1F5F9"/>
          </w:tcPr>
          <w:p>
            <w:pPr>
              <w:spacing w:after="0" w:line="252" w:lineRule="auto"/>
              <w:jc w:val="right"/>
            </w:pPr>
            <w:r/>
            <w:r>
              <w:rPr>
                <w:rFonts w:ascii="Arial" w:hAnsi="Arial" w:eastAsia="Arial"/>
                <w:b w:val="0"/>
                <w:color w:val="1F2937"/>
                <w:sz w:val="17"/>
              </w:rPr>
              <w:t>رابط عام للعميل، موافق/غير موافق، سبب الرفض، مرفقات، وحفظ نهائي بعد الموافقة.</w:t>
            </w:r>
          </w:p>
        </w:tc>
      </w:tr>
      <w:tr>
        <w:tc>
          <w:tcPr>
            <w:tcW w:type="dxa" w:w="2592"/>
            <w:vAlign w:val="center"/>
          </w:tcPr>
          <w:p>
            <w:pPr>
              <w:spacing w:after="0" w:line="252" w:lineRule="auto"/>
              <w:jc w:val="right"/>
            </w:pPr>
            <w:r/>
            <w:r>
              <w:rPr>
                <w:rFonts w:ascii="Arial" w:hAnsi="Arial" w:eastAsia="Arial"/>
                <w:b w:val="0"/>
                <w:color w:val="1F2937"/>
                <w:sz w:val="17"/>
              </w:rPr>
              <w:t>إشعار اعتماد العينة</w:t>
            </w:r>
          </w:p>
        </w:tc>
        <w:tc>
          <w:tcPr>
            <w:tcW w:type="dxa" w:w="7056"/>
            <w:vAlign w:val="center"/>
          </w:tcPr>
          <w:p>
            <w:pPr>
              <w:spacing w:after="0" w:line="252" w:lineRule="auto"/>
              <w:jc w:val="right"/>
            </w:pPr>
            <w:r/>
            <w:r>
              <w:rPr>
                <w:rFonts w:ascii="Arial" w:hAnsi="Arial" w:eastAsia="Arial"/>
                <w:b w:val="0"/>
                <w:color w:val="1F2937"/>
                <w:sz w:val="17"/>
              </w:rPr>
              <w:t>يصل لمقدم الطلب، وعند الموافقة يصل أيضاً إلى حسابات الإدارة ومدير/قسم الإنتاج النشطين.</w:t>
            </w:r>
          </w:p>
        </w:tc>
      </w:tr>
      <w:tr>
        <w:tc>
          <w:tcPr>
            <w:tcW w:type="dxa" w:w="2592"/>
            <w:vAlign w:val="center"/>
            <w:shd w:fill="F1F5F9"/>
          </w:tcPr>
          <w:p>
            <w:pPr>
              <w:spacing w:after="0" w:line="252" w:lineRule="auto"/>
              <w:jc w:val="right"/>
            </w:pPr>
            <w:r/>
            <w:r>
              <w:rPr>
                <w:rFonts w:ascii="Arial" w:hAnsi="Arial" w:eastAsia="Arial"/>
                <w:b w:val="0"/>
                <w:color w:val="1F2937"/>
                <w:sz w:val="17"/>
              </w:rPr>
              <w:t>نتيجة التصنيع</w:t>
            </w:r>
          </w:p>
        </w:tc>
        <w:tc>
          <w:tcPr>
            <w:tcW w:type="dxa" w:w="7056"/>
            <w:vAlign w:val="center"/>
            <w:shd w:fill="F1F5F9"/>
          </w:tcPr>
          <w:p>
            <w:pPr>
              <w:spacing w:after="0" w:line="252" w:lineRule="auto"/>
              <w:jc w:val="right"/>
            </w:pPr>
            <w:r/>
            <w:r>
              <w:rPr>
                <w:rFonts w:ascii="Arial" w:hAnsi="Arial" w:eastAsia="Arial"/>
                <w:b w:val="0"/>
                <w:color w:val="1F2937"/>
                <w:sz w:val="17"/>
              </w:rPr>
              <w:t>حالة تم الإنتاج أو لم يتم الإنتاج مع إلزام سبب عدم الإنتاج وتسجيل التوقيع.</w:t>
            </w:r>
          </w:p>
        </w:tc>
      </w:tr>
      <w:tr>
        <w:tc>
          <w:tcPr>
            <w:tcW w:type="dxa" w:w="2592"/>
            <w:vAlign w:val="center"/>
          </w:tcPr>
          <w:p>
            <w:pPr>
              <w:spacing w:after="0" w:line="252" w:lineRule="auto"/>
              <w:jc w:val="right"/>
            </w:pPr>
            <w:r/>
            <w:r>
              <w:rPr>
                <w:rFonts w:ascii="Arial" w:hAnsi="Arial" w:eastAsia="Arial"/>
                <w:b w:val="0"/>
                <w:color w:val="1F2937"/>
                <w:sz w:val="17"/>
              </w:rPr>
              <w:t>فلتر طلبات التصنيع</w:t>
            </w:r>
          </w:p>
        </w:tc>
        <w:tc>
          <w:tcPr>
            <w:tcW w:type="dxa" w:w="7056"/>
            <w:vAlign w:val="center"/>
          </w:tcPr>
          <w:p>
            <w:pPr>
              <w:spacing w:after="0" w:line="252" w:lineRule="auto"/>
              <w:jc w:val="right"/>
            </w:pPr>
            <w:r/>
            <w:r>
              <w:rPr>
                <w:rFonts w:ascii="Arial" w:hAnsi="Arial" w:eastAsia="Arial"/>
                <w:b w:val="0"/>
                <w:color w:val="1F2937"/>
                <w:sz w:val="17"/>
              </w:rPr>
              <w:t>الكل، تم الإنتاج، لم يتم الإنتاج، لم تسجل النتيجة.</w:t>
            </w:r>
          </w:p>
        </w:tc>
      </w:tr>
      <w:tr>
        <w:tc>
          <w:tcPr>
            <w:tcW w:type="dxa" w:w="2592"/>
            <w:vAlign w:val="center"/>
            <w:shd w:fill="F1F5F9"/>
          </w:tcPr>
          <w:p>
            <w:pPr>
              <w:spacing w:after="0" w:line="252" w:lineRule="auto"/>
              <w:jc w:val="right"/>
            </w:pPr>
            <w:r/>
            <w:r>
              <w:rPr>
                <w:rFonts w:ascii="Arial" w:hAnsi="Arial" w:eastAsia="Arial"/>
                <w:b w:val="0"/>
                <w:color w:val="1F2937"/>
                <w:sz w:val="17"/>
              </w:rPr>
              <w:t>التقرير الشهري</w:t>
            </w:r>
          </w:p>
        </w:tc>
        <w:tc>
          <w:tcPr>
            <w:tcW w:type="dxa" w:w="7056"/>
            <w:vAlign w:val="center"/>
            <w:shd w:fill="F1F5F9"/>
          </w:tcPr>
          <w:p>
            <w:pPr>
              <w:spacing w:after="0" w:line="252" w:lineRule="auto"/>
              <w:jc w:val="right"/>
            </w:pPr>
            <w:r/>
            <w:r>
              <w:rPr>
                <w:rFonts w:ascii="Arial" w:hAnsi="Arial" w:eastAsia="Arial"/>
                <w:b w:val="0"/>
                <w:color w:val="1F2937"/>
                <w:sz w:val="17"/>
              </w:rPr>
              <w:t>عدد الطلبات، كميات الدرزن، المنتج وغير المنتج، المعلق، وتجميع أسباب التعثر.</w:t>
            </w:r>
          </w:p>
        </w:tc>
      </w:tr>
      <w:tr>
        <w:tc>
          <w:tcPr>
            <w:tcW w:type="dxa" w:w="2592"/>
            <w:vAlign w:val="center"/>
          </w:tcPr>
          <w:p>
            <w:pPr>
              <w:spacing w:after="0" w:line="252" w:lineRule="auto"/>
              <w:jc w:val="right"/>
            </w:pPr>
            <w:r/>
            <w:r>
              <w:rPr>
                <w:rFonts w:ascii="Arial" w:hAnsi="Arial" w:eastAsia="Arial"/>
                <w:b w:val="0"/>
                <w:color w:val="1F2937"/>
                <w:sz w:val="17"/>
              </w:rPr>
              <w:t>التحقق</w:t>
            </w:r>
          </w:p>
        </w:tc>
        <w:tc>
          <w:tcPr>
            <w:tcW w:type="dxa" w:w="7056"/>
            <w:vAlign w:val="center"/>
          </w:tcPr>
          <w:p>
            <w:pPr>
              <w:spacing w:after="0" w:line="252" w:lineRule="auto"/>
              <w:jc w:val="right"/>
            </w:pPr>
            <w:r/>
            <w:r>
              <w:rPr>
                <w:rFonts w:ascii="Arial" w:hAnsi="Arial" w:eastAsia="Arial"/>
                <w:b w:val="0"/>
                <w:color w:val="1F2937"/>
                <w:sz w:val="17"/>
              </w:rPr>
              <w:t>TypeScript ناجح، والاختبارات المستهدفة ناجحة، والبناء الإنتاجي ناجح.</w:t>
            </w:r>
          </w:p>
        </w:tc>
      </w:tr>
    </w:tbl>
    <w:p>
      <w:pPr>
        <w:spacing w:after="20"/>
      </w:pPr>
    </w:p>
    <w:p>
      <w:pPr>
        <w:pStyle w:val="Heading1"/>
        <w:spacing w:before="260" w:after="100"/>
        <w:jc w:val="right"/>
        <w:bidi/>
      </w:pPr>
      <w:r>
        <w:t>2. المعمارية التقنية وتدفق البيانات</w:t>
      </w:r>
    </w:p>
    <w:p>
      <w:pPr>
        <w:pStyle w:val="Heading2"/>
        <w:spacing w:before="180" w:after="100"/>
        <w:jc w:val="right"/>
        <w:bidi/>
      </w:pPr>
      <w:r>
        <w:t>المكونات الرئيسية</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4C81"/>
          </w:tcPr>
          <w:p>
            <w:pPr>
              <w:spacing w:after="0" w:line="252" w:lineRule="auto"/>
              <w:jc w:val="right"/>
            </w:pPr>
            <w:r/>
            <w:r>
              <w:rPr>
                <w:rFonts w:ascii="Arial" w:hAnsi="Arial" w:eastAsia="Arial"/>
                <w:b/>
                <w:color w:val="FFFFFF"/>
                <w:sz w:val="18"/>
              </w:rPr>
              <w:t>المكوّن</w:t>
            </w:r>
          </w:p>
        </w:tc>
        <w:tc>
          <w:tcPr>
            <w:tcW w:type="dxa" w:w="7488"/>
            <w:vAlign w:val="center"/>
            <w:shd w:fill="0F4C81"/>
          </w:tcPr>
          <w:p>
            <w:pPr>
              <w:spacing w:after="0" w:line="252" w:lineRule="auto"/>
              <w:jc w:val="right"/>
            </w:pPr>
            <w:r/>
            <w:r>
              <w:rPr>
                <w:rFonts w:ascii="Arial" w:hAnsi="Arial" w:eastAsia="Arial"/>
                <w:b/>
                <w:color w:val="FFFFFF"/>
                <w:sz w:val="18"/>
              </w:rPr>
              <w:t>التقنية / الدور</w:t>
            </w:r>
          </w:p>
        </w:tc>
      </w:tr>
      <w:tr>
        <w:tc>
          <w:tcPr>
            <w:tcW w:type="dxa" w:w="2160"/>
            <w:vAlign w:val="center"/>
            <w:shd w:fill="F1F5F9"/>
          </w:tcPr>
          <w:p>
            <w:pPr>
              <w:spacing w:after="0" w:line="252" w:lineRule="auto"/>
              <w:jc w:val="right"/>
            </w:pPr>
            <w:r/>
            <w:r>
              <w:rPr>
                <w:rFonts w:ascii="Arial" w:hAnsi="Arial" w:eastAsia="Arial"/>
                <w:b w:val="0"/>
                <w:color w:val="1F2937"/>
                <w:sz w:val="17"/>
              </w:rPr>
              <w:t>الواجهة</w:t>
            </w:r>
          </w:p>
        </w:tc>
        <w:tc>
          <w:tcPr>
            <w:tcW w:type="dxa" w:w="7488"/>
            <w:vAlign w:val="center"/>
            <w:shd w:fill="F1F5F9"/>
          </w:tcPr>
          <w:p>
            <w:pPr>
              <w:spacing w:after="0" w:line="252" w:lineRule="auto"/>
              <w:jc w:val="right"/>
            </w:pPr>
            <w:r/>
            <w:r>
              <w:rPr>
                <w:rFonts w:ascii="Arial" w:hAnsi="Arial" w:eastAsia="Arial"/>
                <w:b w:val="0"/>
                <w:color w:val="1F2937"/>
                <w:sz w:val="17"/>
              </w:rPr>
              <w:t>React Native + Expo SDK 54 + Expo Router، وتعمل على الويب والجوال.</w:t>
            </w:r>
          </w:p>
        </w:tc>
      </w:tr>
      <w:tr>
        <w:tc>
          <w:tcPr>
            <w:tcW w:type="dxa" w:w="2160"/>
            <w:vAlign w:val="center"/>
          </w:tcPr>
          <w:p>
            <w:pPr>
              <w:spacing w:after="0" w:line="252" w:lineRule="auto"/>
              <w:jc w:val="right"/>
            </w:pPr>
            <w:r/>
            <w:r>
              <w:rPr>
                <w:rFonts w:ascii="Arial" w:hAnsi="Arial" w:eastAsia="Arial"/>
                <w:b w:val="0"/>
                <w:color w:val="1F2937"/>
                <w:sz w:val="17"/>
              </w:rPr>
              <w:t>التنسيق</w:t>
            </w:r>
          </w:p>
        </w:tc>
        <w:tc>
          <w:tcPr>
            <w:tcW w:type="dxa" w:w="7488"/>
            <w:vAlign w:val="center"/>
          </w:tcPr>
          <w:p>
            <w:pPr>
              <w:spacing w:after="0" w:line="252" w:lineRule="auto"/>
              <w:jc w:val="right"/>
            </w:pPr>
            <w:r/>
            <w:r>
              <w:rPr>
                <w:rFonts w:ascii="Arial" w:hAnsi="Arial" w:eastAsia="Arial"/>
                <w:b w:val="0"/>
                <w:color w:val="1F2937"/>
                <w:sz w:val="17"/>
              </w:rPr>
              <w:t>NativeWind وStyleSheet، مع تصميم RTL وألوان موحدة.</w:t>
            </w:r>
          </w:p>
        </w:tc>
      </w:tr>
      <w:tr>
        <w:tc>
          <w:tcPr>
            <w:tcW w:type="dxa" w:w="2160"/>
            <w:vAlign w:val="center"/>
            <w:shd w:fill="F1F5F9"/>
          </w:tcPr>
          <w:p>
            <w:pPr>
              <w:spacing w:after="0" w:line="252" w:lineRule="auto"/>
              <w:jc w:val="right"/>
            </w:pPr>
            <w:r/>
            <w:r>
              <w:rPr>
                <w:rFonts w:ascii="Arial" w:hAnsi="Arial" w:eastAsia="Arial"/>
                <w:b w:val="0"/>
                <w:color w:val="1F2937"/>
                <w:sz w:val="17"/>
              </w:rPr>
              <w:t>الخادم</w:t>
            </w:r>
          </w:p>
        </w:tc>
        <w:tc>
          <w:tcPr>
            <w:tcW w:type="dxa" w:w="7488"/>
            <w:vAlign w:val="center"/>
            <w:shd w:fill="F1F5F9"/>
          </w:tcPr>
          <w:p>
            <w:pPr>
              <w:spacing w:after="0" w:line="252" w:lineRule="auto"/>
              <w:jc w:val="right"/>
            </w:pPr>
            <w:r/>
            <w:r>
              <w:rPr>
                <w:rFonts w:ascii="Arial" w:hAnsi="Arial" w:eastAsia="Arial"/>
                <w:b w:val="0"/>
                <w:color w:val="1F2937"/>
                <w:sz w:val="17"/>
              </w:rPr>
              <w:t>Node.js/Express مع tRPC 11؛ الإجراءات معرفة في server/routers.ts.</w:t>
            </w:r>
          </w:p>
        </w:tc>
      </w:tr>
      <w:tr>
        <w:tc>
          <w:tcPr>
            <w:tcW w:type="dxa" w:w="2160"/>
            <w:vAlign w:val="center"/>
          </w:tcPr>
          <w:p>
            <w:pPr>
              <w:spacing w:after="0" w:line="252" w:lineRule="auto"/>
              <w:jc w:val="right"/>
            </w:pPr>
            <w:r/>
            <w:r>
              <w:rPr>
                <w:rFonts w:ascii="Arial" w:hAnsi="Arial" w:eastAsia="Arial"/>
                <w:b w:val="0"/>
                <w:color w:val="1F2937"/>
                <w:sz w:val="17"/>
              </w:rPr>
              <w:t>قاعدة البيانات</w:t>
            </w:r>
          </w:p>
        </w:tc>
        <w:tc>
          <w:tcPr>
            <w:tcW w:type="dxa" w:w="7488"/>
            <w:vAlign w:val="center"/>
          </w:tcPr>
          <w:p>
            <w:pPr>
              <w:spacing w:after="0" w:line="252" w:lineRule="auto"/>
              <w:jc w:val="right"/>
            </w:pPr>
            <w:r/>
            <w:r>
              <w:rPr>
                <w:rFonts w:ascii="Arial" w:hAnsi="Arial" w:eastAsia="Arial"/>
                <w:b w:val="0"/>
                <w:color w:val="1F2937"/>
                <w:sz w:val="17"/>
              </w:rPr>
              <w:t>MySQL/TiDB عبر Drizzle ORM؛ المخطط في drizzle/schema.ts والترحيلات في drizzle/.</w:t>
            </w:r>
          </w:p>
        </w:tc>
      </w:tr>
      <w:tr>
        <w:tc>
          <w:tcPr>
            <w:tcW w:type="dxa" w:w="2160"/>
            <w:vAlign w:val="center"/>
            <w:shd w:fill="F1F5F9"/>
          </w:tcPr>
          <w:p>
            <w:pPr>
              <w:spacing w:after="0" w:line="252" w:lineRule="auto"/>
              <w:jc w:val="right"/>
            </w:pPr>
            <w:r/>
            <w:r>
              <w:rPr>
                <w:rFonts w:ascii="Arial" w:hAnsi="Arial" w:eastAsia="Arial"/>
                <w:b w:val="0"/>
                <w:color w:val="1F2937"/>
                <w:sz w:val="17"/>
              </w:rPr>
              <w:t>المصادقة</w:t>
            </w:r>
          </w:p>
        </w:tc>
        <w:tc>
          <w:tcPr>
            <w:tcW w:type="dxa" w:w="7488"/>
            <w:vAlign w:val="center"/>
            <w:shd w:fill="F1F5F9"/>
          </w:tcPr>
          <w:p>
            <w:pPr>
              <w:spacing w:after="0" w:line="252" w:lineRule="auto"/>
              <w:jc w:val="right"/>
            </w:pPr>
            <w:r/>
            <w:r>
              <w:rPr>
                <w:rFonts w:ascii="Arial" w:hAnsi="Arial" w:eastAsia="Arial"/>
                <w:b w:val="0"/>
                <w:color w:val="1F2937"/>
                <w:sz w:val="17"/>
              </w:rPr>
              <w:t>جلسات مستخدمين وصلاحيات أدوار وأقسام، مع مسارات عامة محدودة مثل اعتماد العينة.</w:t>
            </w:r>
          </w:p>
        </w:tc>
      </w:tr>
      <w:tr>
        <w:tc>
          <w:tcPr>
            <w:tcW w:type="dxa" w:w="2160"/>
            <w:vAlign w:val="center"/>
          </w:tcPr>
          <w:p>
            <w:pPr>
              <w:spacing w:after="0" w:line="252" w:lineRule="auto"/>
              <w:jc w:val="right"/>
            </w:pPr>
            <w:r/>
            <w:r>
              <w:rPr>
                <w:rFonts w:ascii="Arial" w:hAnsi="Arial" w:eastAsia="Arial"/>
                <w:b w:val="0"/>
                <w:color w:val="1F2937"/>
                <w:sz w:val="17"/>
              </w:rPr>
              <w:t>الملفات</w:t>
            </w:r>
          </w:p>
        </w:tc>
        <w:tc>
          <w:tcPr>
            <w:tcW w:type="dxa" w:w="7488"/>
            <w:vAlign w:val="center"/>
          </w:tcPr>
          <w:p>
            <w:pPr>
              <w:spacing w:after="0" w:line="252" w:lineRule="auto"/>
              <w:jc w:val="right"/>
            </w:pPr>
            <w:r/>
            <w:r>
              <w:rPr>
                <w:rFonts w:ascii="Arial" w:hAnsi="Arial" w:eastAsia="Arial"/>
                <w:b w:val="0"/>
                <w:color w:val="1F2937"/>
                <w:sz w:val="17"/>
              </w:rPr>
              <w:t>مرفقات الصور والملفات والتوقيعات تحفظ كرابط/بيانات مرفق مرتبطة بالسجل.</w:t>
            </w:r>
          </w:p>
        </w:tc>
      </w:tr>
      <w:tr>
        <w:tc>
          <w:tcPr>
            <w:tcW w:type="dxa" w:w="2160"/>
            <w:vAlign w:val="center"/>
            <w:shd w:fill="F1F5F9"/>
          </w:tcPr>
          <w:p>
            <w:pPr>
              <w:spacing w:after="0" w:line="252" w:lineRule="auto"/>
              <w:jc w:val="right"/>
            </w:pPr>
            <w:r/>
            <w:r>
              <w:rPr>
                <w:rFonts w:ascii="Arial" w:hAnsi="Arial" w:eastAsia="Arial"/>
                <w:b w:val="0"/>
                <w:color w:val="1F2937"/>
                <w:sz w:val="17"/>
              </w:rPr>
              <w:t>الاختبار</w:t>
            </w:r>
          </w:p>
        </w:tc>
        <w:tc>
          <w:tcPr>
            <w:tcW w:type="dxa" w:w="7488"/>
            <w:vAlign w:val="center"/>
            <w:shd w:fill="F1F5F9"/>
          </w:tcPr>
          <w:p>
            <w:pPr>
              <w:spacing w:after="0" w:line="252" w:lineRule="auto"/>
              <w:jc w:val="right"/>
            </w:pPr>
            <w:r/>
            <w:r>
              <w:rPr>
                <w:rFonts w:ascii="Arial" w:hAnsi="Arial" w:eastAsia="Arial"/>
                <w:b w:val="0"/>
                <w:color w:val="1F2937"/>
                <w:sz w:val="17"/>
              </w:rPr>
              <w:t>Vitest، مع اختبارات عقدية لمسارات الإنتاج، المخزون، الاستلام والتسليم، العملاء، والطباعة.</w:t>
            </w:r>
          </w:p>
        </w:tc>
      </w:tr>
    </w:tbl>
    <w:p>
      <w:pPr>
        <w:spacing w:after="20"/>
      </w:pPr>
    </w:p>
    <w:p>
      <w:pPr>
        <w:pStyle w:val="Heading2"/>
        <w:spacing w:before="180" w:after="100"/>
        <w:jc w:val="right"/>
        <w:bidi/>
      </w:pPr>
      <w:r>
        <w:t>نمط تدفق العملية</w:t>
      </w:r>
    </w:p>
    <w:p>
      <w:pPr>
        <w:spacing w:after="100" w:line="283" w:lineRule="auto"/>
        <w:jc w:val="right"/>
        <w:bidi/>
      </w:pPr>
      <w:r>
        <w:rPr>
          <w:rFonts w:ascii="Arial" w:hAnsi="Arial" w:eastAsia="Arial"/>
          <w:sz w:val="21"/>
        </w:rPr>
        <w:t>القاعدة العامة هي: إدخال الواجهة → تحقق محلي لتقليل الخطأ → استدعاء tRPC → تحقق خادمي وصلاحيات → كتابة ذرية في قاعدة البيانات → سجل حدث/إشعار عند الحاجة → إعادة تحميل البيانات في الواجهة. لا تعتبر رسالة النجاح وحدها دليلاً على الحفظ؛ الواجهة تعيد تحميل السجل بعد الحفظ وتعرض النتيجة من الخادم.</w:t>
      </w:r>
    </w:p>
    <w:tbl>
      <w:tblPr>
        <w:tblW w:type="auto" w:w="0"/>
        <w:jc w:val="center"/>
        <w:tblLook w:firstColumn="1" w:firstRow="1" w:lastColumn="0" w:lastRow="0" w:noHBand="0" w:noVBand="1" w:val="04A0"/>
      </w:tblPr>
      <w:tblGrid>
        <w:gridCol w:w="10224"/>
      </w:tblGrid>
      <w:tr>
        <w:tc>
          <w:tcPr>
            <w:tcW w:type="dxa" w:w="10224"/>
            <w:shd w:fill="E0F2FE"/>
          </w:tcPr>
          <w:p>
            <w:pPr>
              <w:spacing w:after="60"/>
              <w:jc w:val="right"/>
              <w:bidi/>
            </w:pPr>
            <w:r>
              <w:rPr>
                <w:rFonts w:ascii="Arial" w:hAnsi="Arial" w:eastAsia="Arial"/>
                <w:b/>
                <w:color w:val="0F4C81"/>
                <w:sz w:val="22"/>
              </w:rPr>
              <w:t>مبدأ الاتساق</w:t>
            </w:r>
          </w:p>
          <w:p>
            <w:pPr>
              <w:spacing w:after="40" w:line="276" w:lineRule="auto"/>
              <w:jc w:val="right"/>
              <w:bidi/>
            </w:pPr>
            <w:r>
              <w:rPr>
                <w:rFonts w:ascii="Arial" w:hAnsi="Arial" w:eastAsia="Arial"/>
                <w:sz w:val="20"/>
              </w:rPr>
              <w:t>أي عملية حساسة يجب أن تكون قابلة للتتبع من السجل النهائي إلى المستخدم، الوقت، الحركة السابقة، المرفقات، والتوقيع. لذلك توجد حماية في الواجهة وحماية ثانية في الخادم؛ حماية الواجهة وحدها لا تعتبر كافية.</w:t>
            </w:r>
          </w:p>
        </w:tc>
      </w:tr>
    </w:tbl>
    <w:p>
      <w:pPr>
        <w:spacing w:after="20"/>
      </w:pPr>
    </w:p>
    <w:p>
      <w:pPr>
        <w:pStyle w:val="Heading1"/>
        <w:spacing w:before="260" w:after="100"/>
        <w:jc w:val="right"/>
        <w:bidi/>
      </w:pPr>
      <w:r>
        <w:t>3. المستخدمون والصلاحيات</w:t>
      </w:r>
    </w:p>
    <w:p>
      <w:pPr>
        <w:spacing w:after="100" w:line="283" w:lineRule="auto"/>
        <w:jc w:val="right"/>
        <w:bidi/>
      </w:pPr>
      <w:r>
        <w:rPr>
          <w:rFonts w:ascii="Arial" w:hAnsi="Arial" w:eastAsia="Arial"/>
          <w:sz w:val="21"/>
        </w:rPr>
        <w:t>الصلاحيات مبنية على الدور والقسم، مع وجود حساب مدير النظام. قوائم الحسابات النشطة تستخدم لاختيار المستلم أو توجيه الإشعار، والحسابات المؤرشفة لا تظهر في القوائم التشغيلية.</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0F4C81"/>
          </w:tcPr>
          <w:p>
            <w:pPr>
              <w:spacing w:after="0" w:line="252" w:lineRule="auto"/>
              <w:jc w:val="right"/>
            </w:pPr>
            <w:r/>
            <w:r>
              <w:rPr>
                <w:rFonts w:ascii="Arial" w:hAnsi="Arial" w:eastAsia="Arial"/>
                <w:b/>
                <w:color w:val="FFFFFF"/>
                <w:sz w:val="18"/>
              </w:rPr>
              <w:t>الفئة</w:t>
            </w:r>
          </w:p>
        </w:tc>
        <w:tc>
          <w:tcPr>
            <w:tcW w:type="dxa" w:w="7344"/>
            <w:vAlign w:val="center"/>
            <w:shd w:fill="0F4C81"/>
          </w:tcPr>
          <w:p>
            <w:pPr>
              <w:spacing w:after="0" w:line="252" w:lineRule="auto"/>
              <w:jc w:val="right"/>
            </w:pPr>
            <w:r/>
            <w:r>
              <w:rPr>
                <w:rFonts w:ascii="Arial" w:hAnsi="Arial" w:eastAsia="Arial"/>
                <w:b/>
                <w:color w:val="FFFFFF"/>
                <w:sz w:val="18"/>
              </w:rPr>
              <w:t>أبرز الأعمال</w:t>
            </w:r>
          </w:p>
        </w:tc>
      </w:tr>
      <w:tr>
        <w:tc>
          <w:tcPr>
            <w:tcW w:type="dxa" w:w="2304"/>
            <w:vAlign w:val="center"/>
            <w:shd w:fill="F1F5F9"/>
          </w:tcPr>
          <w:p>
            <w:pPr>
              <w:spacing w:after="0" w:line="252" w:lineRule="auto"/>
              <w:jc w:val="right"/>
            </w:pPr>
            <w:r/>
            <w:r>
              <w:rPr>
                <w:rFonts w:ascii="Arial" w:hAnsi="Arial" w:eastAsia="Arial"/>
                <w:b w:val="0"/>
                <w:color w:val="1F2937"/>
                <w:sz w:val="17"/>
              </w:rPr>
              <w:t>مدير النظام / Admin</w:t>
            </w:r>
          </w:p>
        </w:tc>
        <w:tc>
          <w:tcPr>
            <w:tcW w:type="dxa" w:w="7344"/>
            <w:vAlign w:val="center"/>
            <w:shd w:fill="F1F5F9"/>
          </w:tcPr>
          <w:p>
            <w:pPr>
              <w:spacing w:after="0" w:line="252" w:lineRule="auto"/>
              <w:jc w:val="right"/>
            </w:pPr>
            <w:r/>
            <w:r>
              <w:rPr>
                <w:rFonts w:ascii="Arial" w:hAnsi="Arial" w:eastAsia="Arial"/>
                <w:b w:val="0"/>
                <w:color w:val="1F2937"/>
                <w:sz w:val="17"/>
              </w:rPr>
              <w:t>إدارة المستخدمين والصلاحيات، مراجعة كل التقارير، الإغلاق الاستثنائي، إدارة الإعدادات والنسخ الاحتياطي.</w:t>
            </w:r>
          </w:p>
        </w:tc>
      </w:tr>
      <w:tr>
        <w:tc>
          <w:tcPr>
            <w:tcW w:type="dxa" w:w="2304"/>
            <w:vAlign w:val="center"/>
          </w:tcPr>
          <w:p>
            <w:pPr>
              <w:spacing w:after="0" w:line="252" w:lineRule="auto"/>
              <w:jc w:val="right"/>
            </w:pPr>
            <w:r/>
            <w:r>
              <w:rPr>
                <w:rFonts w:ascii="Arial" w:hAnsi="Arial" w:eastAsia="Arial"/>
                <w:b w:val="0"/>
                <w:color w:val="1F2937"/>
                <w:sz w:val="17"/>
              </w:rPr>
              <w:t>مدير الإنتاج</w:t>
            </w:r>
          </w:p>
        </w:tc>
        <w:tc>
          <w:tcPr>
            <w:tcW w:type="dxa" w:w="7344"/>
            <w:vAlign w:val="center"/>
          </w:tcPr>
          <w:p>
            <w:pPr>
              <w:spacing w:after="0" w:line="252" w:lineRule="auto"/>
              <w:jc w:val="right"/>
            </w:pPr>
            <w:r/>
            <w:r>
              <w:rPr>
                <w:rFonts w:ascii="Arial" w:hAnsi="Arial" w:eastAsia="Arial"/>
                <w:b w:val="0"/>
                <w:color w:val="1F2937"/>
                <w:sz w:val="17"/>
              </w:rPr>
              <w:t>إدخال دفعات الإنتاج، توزيعها على مستلمي الروسو، اعتماد نتيجة طلب التصنيع، متابعة الإنتاج والمراحل.</w:t>
            </w:r>
          </w:p>
        </w:tc>
      </w:tr>
      <w:tr>
        <w:tc>
          <w:tcPr>
            <w:tcW w:type="dxa" w:w="2304"/>
            <w:vAlign w:val="center"/>
            <w:shd w:fill="F1F5F9"/>
          </w:tcPr>
          <w:p>
            <w:pPr>
              <w:spacing w:after="0" w:line="252" w:lineRule="auto"/>
              <w:jc w:val="right"/>
            </w:pPr>
            <w:r/>
            <w:r>
              <w:rPr>
                <w:rFonts w:ascii="Arial" w:hAnsi="Arial" w:eastAsia="Arial"/>
                <w:b w:val="0"/>
                <w:color w:val="1F2937"/>
                <w:sz w:val="17"/>
              </w:rPr>
              <w:t>عمال المراحل</w:t>
            </w:r>
          </w:p>
        </w:tc>
        <w:tc>
          <w:tcPr>
            <w:tcW w:type="dxa" w:w="7344"/>
            <w:vAlign w:val="center"/>
            <w:shd w:fill="F1F5F9"/>
          </w:tcPr>
          <w:p>
            <w:pPr>
              <w:spacing w:after="0" w:line="252" w:lineRule="auto"/>
              <w:jc w:val="right"/>
            </w:pPr>
            <w:r/>
            <w:r>
              <w:rPr>
                <w:rFonts w:ascii="Arial" w:hAnsi="Arial" w:eastAsia="Arial"/>
                <w:b w:val="0"/>
                <w:color w:val="1F2937"/>
                <w:sz w:val="17"/>
              </w:rPr>
              <w:t>استلام وتسليم عهدة المرحلة وفق الهوية والحركة الصحيحة، دون تعديل تفاصيل الإنتاج الأساسية.</w:t>
            </w:r>
          </w:p>
        </w:tc>
      </w:tr>
      <w:tr>
        <w:tc>
          <w:tcPr>
            <w:tcW w:type="dxa" w:w="2304"/>
            <w:vAlign w:val="center"/>
          </w:tcPr>
          <w:p>
            <w:pPr>
              <w:spacing w:after="0" w:line="252" w:lineRule="auto"/>
              <w:jc w:val="right"/>
            </w:pPr>
            <w:r/>
            <w:r>
              <w:rPr>
                <w:rFonts w:ascii="Arial" w:hAnsi="Arial" w:eastAsia="Arial"/>
                <w:b w:val="0"/>
                <w:color w:val="1F2937"/>
                <w:sz w:val="17"/>
              </w:rPr>
              <w:t>إدارة التسويق والمبيعات</w:t>
            </w:r>
          </w:p>
        </w:tc>
        <w:tc>
          <w:tcPr>
            <w:tcW w:type="dxa" w:w="7344"/>
            <w:vAlign w:val="center"/>
          </w:tcPr>
          <w:p>
            <w:pPr>
              <w:spacing w:after="0" w:line="252" w:lineRule="auto"/>
              <w:jc w:val="right"/>
            </w:pPr>
            <w:r/>
            <w:r>
              <w:rPr>
                <w:rFonts w:ascii="Arial" w:hAnsi="Arial" w:eastAsia="Arial"/>
                <w:b w:val="0"/>
                <w:color w:val="1F2937"/>
                <w:sz w:val="17"/>
              </w:rPr>
              <w:t>العملاء، الزيارات، الطلبات، الاعتمادات، أداء المندوب، واعتماد طلبات التصنيع الخاص.</w:t>
            </w:r>
          </w:p>
        </w:tc>
      </w:tr>
      <w:tr>
        <w:tc>
          <w:tcPr>
            <w:tcW w:type="dxa" w:w="2304"/>
            <w:vAlign w:val="center"/>
            <w:shd w:fill="F1F5F9"/>
          </w:tcPr>
          <w:p>
            <w:pPr>
              <w:spacing w:after="0" w:line="252" w:lineRule="auto"/>
              <w:jc w:val="right"/>
            </w:pPr>
            <w:r/>
            <w:r>
              <w:rPr>
                <w:rFonts w:ascii="Arial" w:hAnsi="Arial" w:eastAsia="Arial"/>
                <w:b w:val="0"/>
                <w:color w:val="1F2937"/>
                <w:sz w:val="17"/>
              </w:rPr>
              <w:t>المندوب</w:t>
            </w:r>
          </w:p>
        </w:tc>
        <w:tc>
          <w:tcPr>
            <w:tcW w:type="dxa" w:w="7344"/>
            <w:vAlign w:val="center"/>
            <w:shd w:fill="F1F5F9"/>
          </w:tcPr>
          <w:p>
            <w:pPr>
              <w:spacing w:after="0" w:line="252" w:lineRule="auto"/>
              <w:jc w:val="right"/>
            </w:pPr>
            <w:r/>
            <w:r>
              <w:rPr>
                <w:rFonts w:ascii="Arial" w:hAnsi="Arial" w:eastAsia="Arial"/>
                <w:b w:val="0"/>
                <w:color w:val="1F2937"/>
                <w:sz w:val="17"/>
              </w:rPr>
              <w:t>عملاءه فقط، الزيارات والطلبات والتحصيل التشغيلي، ورفع طلب تصنيع عند نقص المخزون.</w:t>
            </w:r>
          </w:p>
        </w:tc>
      </w:tr>
      <w:tr>
        <w:tc>
          <w:tcPr>
            <w:tcW w:type="dxa" w:w="2304"/>
            <w:vAlign w:val="center"/>
          </w:tcPr>
          <w:p>
            <w:pPr>
              <w:spacing w:after="0" w:line="252" w:lineRule="auto"/>
              <w:jc w:val="right"/>
            </w:pPr>
            <w:r/>
            <w:r>
              <w:rPr>
                <w:rFonts w:ascii="Arial" w:hAnsi="Arial" w:eastAsia="Arial"/>
                <w:b w:val="0"/>
                <w:color w:val="1F2937"/>
                <w:sz w:val="17"/>
              </w:rPr>
              <w:t>المستودعات</w:t>
            </w:r>
          </w:p>
        </w:tc>
        <w:tc>
          <w:tcPr>
            <w:tcW w:type="dxa" w:w="7344"/>
            <w:vAlign w:val="center"/>
          </w:tcPr>
          <w:p>
            <w:pPr>
              <w:spacing w:after="0" w:line="252" w:lineRule="auto"/>
              <w:jc w:val="right"/>
            </w:pPr>
            <w:r/>
            <w:r>
              <w:rPr>
                <w:rFonts w:ascii="Arial" w:hAnsi="Arial" w:eastAsia="Arial"/>
                <w:b w:val="0"/>
                <w:color w:val="1F2937"/>
                <w:sz w:val="17"/>
              </w:rPr>
              <w:t>مخزون الإنتاج التام، طلبات المندوبين، صرف الطلبات، التخزين، وتحديث الرصيد.</w:t>
            </w:r>
          </w:p>
        </w:tc>
      </w:tr>
      <w:tr>
        <w:tc>
          <w:tcPr>
            <w:tcW w:type="dxa" w:w="2304"/>
            <w:vAlign w:val="center"/>
            <w:shd w:fill="F1F5F9"/>
          </w:tcPr>
          <w:p>
            <w:pPr>
              <w:spacing w:after="0" w:line="252" w:lineRule="auto"/>
              <w:jc w:val="right"/>
            </w:pPr>
            <w:r/>
            <w:r>
              <w:rPr>
                <w:rFonts w:ascii="Arial" w:hAnsi="Arial" w:eastAsia="Arial"/>
                <w:b w:val="0"/>
                <w:color w:val="1F2937"/>
                <w:sz w:val="17"/>
              </w:rPr>
              <w:t>الإدارة المالية والإدارية</w:t>
            </w:r>
          </w:p>
        </w:tc>
        <w:tc>
          <w:tcPr>
            <w:tcW w:type="dxa" w:w="7344"/>
            <w:vAlign w:val="center"/>
            <w:shd w:fill="F1F5F9"/>
          </w:tcPr>
          <w:p>
            <w:pPr>
              <w:spacing w:after="0" w:line="252" w:lineRule="auto"/>
              <w:jc w:val="right"/>
            </w:pPr>
            <w:r/>
            <w:r>
              <w:rPr>
                <w:rFonts w:ascii="Arial" w:hAnsi="Arial" w:eastAsia="Arial"/>
                <w:b w:val="0"/>
                <w:color w:val="1F2937"/>
                <w:sz w:val="17"/>
              </w:rPr>
              <w:t>البنك، المصروفات، العهد، الأعمال الإدارية، والتقارير اليومية ذات الصلة.</w:t>
            </w:r>
          </w:p>
        </w:tc>
      </w:tr>
      <w:tr>
        <w:tc>
          <w:tcPr>
            <w:tcW w:type="dxa" w:w="2304"/>
            <w:vAlign w:val="center"/>
          </w:tcPr>
          <w:p>
            <w:pPr>
              <w:spacing w:after="0" w:line="252" w:lineRule="auto"/>
              <w:jc w:val="right"/>
            </w:pPr>
            <w:r/>
            <w:r>
              <w:rPr>
                <w:rFonts w:ascii="Arial" w:hAnsi="Arial" w:eastAsia="Arial"/>
                <w:b w:val="0"/>
                <w:color w:val="1F2937"/>
                <w:sz w:val="17"/>
              </w:rPr>
              <w:t>الاستشاري / المراجع</w:t>
            </w:r>
          </w:p>
        </w:tc>
        <w:tc>
          <w:tcPr>
            <w:tcW w:type="dxa" w:w="7344"/>
            <w:vAlign w:val="center"/>
          </w:tcPr>
          <w:p>
            <w:pPr>
              <w:spacing w:after="0" w:line="252" w:lineRule="auto"/>
              <w:jc w:val="right"/>
            </w:pPr>
            <w:r/>
            <w:r>
              <w:rPr>
                <w:rFonts w:ascii="Arial" w:hAnsi="Arial" w:eastAsia="Arial"/>
                <w:b w:val="0"/>
                <w:color w:val="1F2937"/>
                <w:sz w:val="17"/>
              </w:rPr>
              <w:t>يستخدم التقارير وسجلات التدقيق للمراجعة، ولا يمنح صلاحيات تشغيلية إلا بقرار إداري.</w:t>
            </w:r>
          </w:p>
        </w:tc>
      </w:tr>
    </w:tbl>
    <w:p>
      <w:pPr>
        <w:spacing w:after="20"/>
      </w:pPr>
    </w:p>
    <w:p>
      <w:pPr>
        <w:spacing w:after="100" w:line="283" w:lineRule="auto"/>
        <w:jc w:val="right"/>
        <w:bidi/>
      </w:pPr>
      <w:r>
        <w:rPr>
          <w:rFonts w:ascii="Arial" w:hAnsi="Arial" w:eastAsia="Arial"/>
          <w:sz w:val="21"/>
        </w:rPr>
        <w:t>حذف الموظف لا يحذف التاريخ التشغيلي المرتبط به؛ يستخدم الأرشفة/التعطيل للحفاظ على صحة التقارير وسجل المسؤولية. الحساب المؤرشف لا يسمح له بالدخول ولا يظهر في قوائم الاستلام والتسليم.</w:t>
      </w:r>
    </w:p>
    <w:p>
      <w:pPr>
        <w:pStyle w:val="Heading1"/>
        <w:spacing w:before="260" w:after="100"/>
        <w:jc w:val="right"/>
        <w:bidi/>
      </w:pPr>
      <w:r>
        <w:t>4. الإنتاج وسلسلة الاستلام والتسليم</w:t>
      </w:r>
    </w:p>
    <w:p>
      <w:pPr>
        <w:pStyle w:val="Heading2"/>
        <w:spacing w:before="180" w:after="100"/>
        <w:jc w:val="right"/>
        <w:bidi/>
      </w:pPr>
      <w:r>
        <w:t>السلسلة المعتمدة</w:t>
      </w:r>
    </w:p>
    <w:p>
      <w:pPr>
        <w:spacing w:after="100" w:line="283" w:lineRule="auto"/>
        <w:jc w:val="right"/>
        <w:bidi/>
      </w:pPr>
      <w:r>
        <w:rPr>
          <w:rFonts w:ascii="Arial" w:hAnsi="Arial" w:eastAsia="Arial"/>
          <w:sz w:val="21"/>
        </w:rPr>
        <w:t>الإنتاج → الروسو → القلب → الكاوية → مانع الانزلاق أو الفحص → الفحص → التغليف → مستودع الإنتاج التام. مانع الانزلاق فرع مستقل: يستلم ويسلم للكاوية فقط، بينما الكاوية يمكن أن توجه المنتج للفحص حسب المسار المحدد.</w:t>
      </w:r>
    </w:p>
    <w:p>
      <w:pPr>
        <w:pStyle w:val="Heading2"/>
        <w:spacing w:before="180" w:after="100"/>
        <w:jc w:val="right"/>
        <w:bidi/>
      </w:pPr>
      <w:r>
        <w:t>بيانات الحركة</w:t>
      </w:r>
    </w:p>
    <w:p>
      <w:pPr>
        <w:pStyle w:val="ListBullet"/>
        <w:spacing w:after="40"/>
        <w:jc w:val="right"/>
        <w:bidi/>
      </w:pPr>
      <w:r>
        <w:rPr>
          <w:rFonts w:ascii="Arial" w:hAnsi="Arial" w:eastAsia="Arial"/>
          <w:sz w:val="20"/>
        </w:rPr>
        <w:t>اسم المنتج والباركود.</w:t>
      </w:r>
    </w:p>
    <w:p>
      <w:pPr>
        <w:pStyle w:val="ListBullet"/>
        <w:spacing w:after="40"/>
        <w:jc w:val="right"/>
        <w:bidi/>
      </w:pPr>
      <w:r>
        <w:rPr>
          <w:rFonts w:ascii="Arial" w:hAnsi="Arial" w:eastAsia="Arial"/>
          <w:sz w:val="20"/>
        </w:rPr>
        <w:t>المقاس واللون والنوع: نخب أول أو نخب ثاني.</w:t>
      </w:r>
    </w:p>
    <w:p>
      <w:pPr>
        <w:pStyle w:val="ListBullet"/>
        <w:spacing w:after="40"/>
        <w:jc w:val="right"/>
        <w:bidi/>
      </w:pPr>
      <w:r>
        <w:rPr>
          <w:rFonts w:ascii="Arial" w:hAnsi="Arial" w:eastAsia="Arial"/>
          <w:sz w:val="20"/>
        </w:rPr>
        <w:t>رقم ماكينة الإنتاج، وردية الإنتاج، وتاريخ الإنتاج.</w:t>
      </w:r>
    </w:p>
    <w:p>
      <w:pPr>
        <w:pStyle w:val="ListBullet"/>
        <w:spacing w:after="40"/>
        <w:jc w:val="right"/>
        <w:bidi/>
      </w:pPr>
      <w:r>
        <w:rPr>
          <w:rFonts w:ascii="Arial" w:hAnsi="Arial" w:eastAsia="Arial"/>
          <w:sz w:val="20"/>
        </w:rPr>
        <w:t>كمية الاستلام والتسليم بالدرزن والزوج، مع بقاء القيم الأصلية وعدم فقدان الصفر.</w:t>
      </w:r>
    </w:p>
    <w:p>
      <w:pPr>
        <w:pStyle w:val="ListBullet"/>
        <w:spacing w:after="40"/>
        <w:jc w:val="right"/>
        <w:bidi/>
      </w:pPr>
      <w:r>
        <w:rPr>
          <w:rFonts w:ascii="Arial" w:hAnsi="Arial" w:eastAsia="Arial"/>
          <w:sz w:val="20"/>
        </w:rPr>
        <w:t>اسم المسلم الفعلي، حسابه، وقت التسليم، واسم المستلم وحسابه ووقت الاستلام.</w:t>
      </w:r>
    </w:p>
    <w:p>
      <w:pPr>
        <w:pStyle w:val="ListBullet"/>
        <w:spacing w:after="40"/>
        <w:jc w:val="right"/>
        <w:bidi/>
      </w:pPr>
      <w:r>
        <w:rPr>
          <w:rFonts w:ascii="Arial" w:hAnsi="Arial" w:eastAsia="Arial"/>
          <w:sz w:val="20"/>
        </w:rPr>
        <w:t>الحركة السابقة والحركة التالية، وحالة الانتظار أو الإتمام، مع الباقي عند التسليم الجزئي.</w:t>
      </w:r>
    </w:p>
    <w:p>
      <w:pPr>
        <w:pStyle w:val="Heading2"/>
        <w:spacing w:before="180" w:after="100"/>
        <w:jc w:val="right"/>
        <w:bidi/>
      </w:pPr>
      <w:r>
        <w:t>قواعد الاتساق والضبط</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0F4C81"/>
          </w:tcPr>
          <w:p>
            <w:pPr>
              <w:spacing w:after="0" w:line="252" w:lineRule="auto"/>
              <w:jc w:val="right"/>
            </w:pPr>
            <w:r/>
            <w:r>
              <w:rPr>
                <w:rFonts w:ascii="Arial" w:hAnsi="Arial" w:eastAsia="Arial"/>
                <w:b/>
                <w:color w:val="FFFFFF"/>
                <w:sz w:val="18"/>
              </w:rPr>
              <w:t>القاعدة</w:t>
            </w:r>
          </w:p>
        </w:tc>
        <w:tc>
          <w:tcPr>
            <w:tcW w:type="dxa" w:w="7344"/>
            <w:vAlign w:val="center"/>
            <w:shd w:fill="0F4C81"/>
          </w:tcPr>
          <w:p>
            <w:pPr>
              <w:spacing w:after="0" w:line="252" w:lineRule="auto"/>
              <w:jc w:val="right"/>
            </w:pPr>
            <w:r/>
            <w:r>
              <w:rPr>
                <w:rFonts w:ascii="Arial" w:hAnsi="Arial" w:eastAsia="Arial"/>
                <w:b/>
                <w:color w:val="FFFFFF"/>
                <w:sz w:val="18"/>
              </w:rPr>
              <w:t>السلوك</w:t>
            </w:r>
          </w:p>
        </w:tc>
      </w:tr>
      <w:tr>
        <w:tc>
          <w:tcPr>
            <w:tcW w:type="dxa" w:w="2304"/>
            <w:vAlign w:val="center"/>
            <w:shd w:fill="F1F5F9"/>
          </w:tcPr>
          <w:p>
            <w:pPr>
              <w:spacing w:after="0" w:line="252" w:lineRule="auto"/>
              <w:jc w:val="right"/>
            </w:pPr>
            <w:r/>
            <w:r>
              <w:rPr>
                <w:rFonts w:ascii="Arial" w:hAnsi="Arial" w:eastAsia="Arial"/>
                <w:b w:val="0"/>
                <w:color w:val="1F2937"/>
                <w:sz w:val="17"/>
              </w:rPr>
              <w:t>بصمة المنتج</w:t>
            </w:r>
          </w:p>
        </w:tc>
        <w:tc>
          <w:tcPr>
            <w:tcW w:type="dxa" w:w="7344"/>
            <w:vAlign w:val="center"/>
            <w:shd w:fill="F1F5F9"/>
          </w:tcPr>
          <w:p>
            <w:pPr>
              <w:spacing w:after="0" w:line="252" w:lineRule="auto"/>
              <w:jc w:val="right"/>
            </w:pPr>
            <w:r/>
            <w:r>
              <w:rPr>
                <w:rFonts w:ascii="Arial" w:hAnsi="Arial" w:eastAsia="Arial"/>
                <w:b w:val="0"/>
                <w:color w:val="1F2937"/>
                <w:sz w:val="17"/>
              </w:rPr>
              <w:t>لا يسمح بانتقال منتج إلى مرحلة إذا كانت بياناته الجوهرية لا تطابق الإنتاج المرجعي.</w:t>
            </w:r>
          </w:p>
        </w:tc>
      </w:tr>
      <w:tr>
        <w:tc>
          <w:tcPr>
            <w:tcW w:type="dxa" w:w="2304"/>
            <w:vAlign w:val="center"/>
          </w:tcPr>
          <w:p>
            <w:pPr>
              <w:spacing w:after="0" w:line="252" w:lineRule="auto"/>
              <w:jc w:val="right"/>
            </w:pPr>
            <w:r/>
            <w:r>
              <w:rPr>
                <w:rFonts w:ascii="Arial" w:hAnsi="Arial" w:eastAsia="Arial"/>
                <w:b w:val="0"/>
                <w:color w:val="1F2937"/>
                <w:sz w:val="17"/>
              </w:rPr>
              <w:t>الفصل الوظيفي</w:t>
            </w:r>
          </w:p>
        </w:tc>
        <w:tc>
          <w:tcPr>
            <w:tcW w:type="dxa" w:w="7344"/>
            <w:vAlign w:val="center"/>
          </w:tcPr>
          <w:p>
            <w:pPr>
              <w:spacing w:after="0" w:line="252" w:lineRule="auto"/>
              <w:jc w:val="right"/>
            </w:pPr>
            <w:r/>
            <w:r>
              <w:rPr>
                <w:rFonts w:ascii="Arial" w:hAnsi="Arial" w:eastAsia="Arial"/>
                <w:b w:val="0"/>
                <w:color w:val="1F2937"/>
                <w:sz w:val="17"/>
              </w:rPr>
              <w:t>لا يجوز للحساب نفسه أن يسلم ويستلم نفس العهدة. التحقق يعتمد على معرّف الحساب، وليس الاسم الظاهر فقط.</w:t>
            </w:r>
          </w:p>
        </w:tc>
      </w:tr>
      <w:tr>
        <w:tc>
          <w:tcPr>
            <w:tcW w:type="dxa" w:w="2304"/>
            <w:vAlign w:val="center"/>
            <w:shd w:fill="F1F5F9"/>
          </w:tcPr>
          <w:p>
            <w:pPr>
              <w:spacing w:after="0" w:line="252" w:lineRule="auto"/>
              <w:jc w:val="right"/>
            </w:pPr>
            <w:r/>
            <w:r>
              <w:rPr>
                <w:rFonts w:ascii="Arial" w:hAnsi="Arial" w:eastAsia="Arial"/>
                <w:b w:val="0"/>
                <w:color w:val="1F2937"/>
                <w:sz w:val="17"/>
              </w:rPr>
              <w:t>المسلم الفعلي</w:t>
            </w:r>
          </w:p>
        </w:tc>
        <w:tc>
          <w:tcPr>
            <w:tcW w:type="dxa" w:w="7344"/>
            <w:vAlign w:val="center"/>
            <w:shd w:fill="F1F5F9"/>
          </w:tcPr>
          <w:p>
            <w:pPr>
              <w:spacing w:after="0" w:line="252" w:lineRule="auto"/>
              <w:jc w:val="right"/>
            </w:pPr>
            <w:r/>
            <w:r>
              <w:rPr>
                <w:rFonts w:ascii="Arial" w:hAnsi="Arial" w:eastAsia="Arial"/>
                <w:b w:val="0"/>
                <w:color w:val="1F2937"/>
                <w:sz w:val="17"/>
              </w:rPr>
              <w:t>عند إنشاء حركة آلية، يحفظ النظام حامل العهدة الفعلي لا اسماً موروثاً من سجل قديم.</w:t>
            </w:r>
          </w:p>
        </w:tc>
      </w:tr>
      <w:tr>
        <w:tc>
          <w:tcPr>
            <w:tcW w:type="dxa" w:w="2304"/>
            <w:vAlign w:val="center"/>
          </w:tcPr>
          <w:p>
            <w:pPr>
              <w:spacing w:after="0" w:line="252" w:lineRule="auto"/>
              <w:jc w:val="right"/>
            </w:pPr>
            <w:r/>
            <w:r>
              <w:rPr>
                <w:rFonts w:ascii="Arial" w:hAnsi="Arial" w:eastAsia="Arial"/>
                <w:b w:val="0"/>
                <w:color w:val="1F2937"/>
                <w:sz w:val="17"/>
              </w:rPr>
              <w:t>التكرار</w:t>
            </w:r>
          </w:p>
        </w:tc>
        <w:tc>
          <w:tcPr>
            <w:tcW w:type="dxa" w:w="7344"/>
            <w:vAlign w:val="center"/>
          </w:tcPr>
          <w:p>
            <w:pPr>
              <w:spacing w:after="0" w:line="252" w:lineRule="auto"/>
              <w:jc w:val="right"/>
            </w:pPr>
            <w:r/>
            <w:r>
              <w:rPr>
                <w:rFonts w:ascii="Arial" w:hAnsi="Arial" w:eastAsia="Arial"/>
                <w:b w:val="0"/>
                <w:color w:val="1F2937"/>
                <w:sz w:val="17"/>
              </w:rPr>
              <w:t>الحركة المكررة ترفض برسالة واضحة، وتبقى الحركة الأصلية هي المرجع.</w:t>
            </w:r>
          </w:p>
        </w:tc>
      </w:tr>
      <w:tr>
        <w:tc>
          <w:tcPr>
            <w:tcW w:type="dxa" w:w="2304"/>
            <w:vAlign w:val="center"/>
            <w:shd w:fill="F1F5F9"/>
          </w:tcPr>
          <w:p>
            <w:pPr>
              <w:spacing w:after="0" w:line="252" w:lineRule="auto"/>
              <w:jc w:val="right"/>
            </w:pPr>
            <w:r/>
            <w:r>
              <w:rPr>
                <w:rFonts w:ascii="Arial" w:hAnsi="Arial" w:eastAsia="Arial"/>
                <w:b w:val="0"/>
                <w:color w:val="1F2937"/>
                <w:sz w:val="17"/>
              </w:rPr>
              <w:t>الاستلام الجزئي</w:t>
            </w:r>
          </w:p>
        </w:tc>
        <w:tc>
          <w:tcPr>
            <w:tcW w:type="dxa" w:w="7344"/>
            <w:vAlign w:val="center"/>
            <w:shd w:fill="F1F5F9"/>
          </w:tcPr>
          <w:p>
            <w:pPr>
              <w:spacing w:after="0" w:line="252" w:lineRule="auto"/>
              <w:jc w:val="right"/>
            </w:pPr>
            <w:r/>
            <w:r>
              <w:rPr>
                <w:rFonts w:ascii="Arial" w:hAnsi="Arial" w:eastAsia="Arial"/>
                <w:b w:val="0"/>
                <w:color w:val="1F2937"/>
                <w:sz w:val="17"/>
              </w:rPr>
              <w:t>إذا استلم العامل 50 درزناً وسلم 40، يبقى 10 درزن في أيقونة الكمية المتبقية حتى تسليمها.</w:t>
            </w:r>
          </w:p>
        </w:tc>
      </w:tr>
      <w:tr>
        <w:tc>
          <w:tcPr>
            <w:tcW w:type="dxa" w:w="2304"/>
            <w:vAlign w:val="center"/>
          </w:tcPr>
          <w:p>
            <w:pPr>
              <w:spacing w:after="0" w:line="252" w:lineRule="auto"/>
              <w:jc w:val="right"/>
            </w:pPr>
            <w:r/>
            <w:r>
              <w:rPr>
                <w:rFonts w:ascii="Arial" w:hAnsi="Arial" w:eastAsia="Arial"/>
                <w:b w:val="0"/>
                <w:color w:val="1F2937"/>
                <w:sz w:val="17"/>
              </w:rPr>
              <w:t>الفرق</w:t>
            </w:r>
          </w:p>
        </w:tc>
        <w:tc>
          <w:tcPr>
            <w:tcW w:type="dxa" w:w="7344"/>
            <w:vAlign w:val="center"/>
          </w:tcPr>
          <w:p>
            <w:pPr>
              <w:spacing w:after="0" w:line="252" w:lineRule="auto"/>
              <w:jc w:val="right"/>
            </w:pPr>
            <w:r/>
            <w:r>
              <w:rPr>
                <w:rFonts w:ascii="Arial" w:hAnsi="Arial" w:eastAsia="Arial"/>
                <w:b w:val="0"/>
                <w:color w:val="1F2937"/>
                <w:sz w:val="17"/>
              </w:rPr>
              <w:t>الموجب يظهر كزيادة تحتاج مراجعة، والسالب كنقص؛ لا يتم إخفاء الفرق داخل الإجمالي.</w:t>
            </w:r>
          </w:p>
        </w:tc>
      </w:tr>
      <w:tr>
        <w:tc>
          <w:tcPr>
            <w:tcW w:type="dxa" w:w="2304"/>
            <w:vAlign w:val="center"/>
            <w:shd w:fill="F1F5F9"/>
          </w:tcPr>
          <w:p>
            <w:pPr>
              <w:spacing w:after="0" w:line="252" w:lineRule="auto"/>
              <w:jc w:val="right"/>
            </w:pPr>
            <w:r/>
            <w:r>
              <w:rPr>
                <w:rFonts w:ascii="Arial" w:hAnsi="Arial" w:eastAsia="Arial"/>
                <w:b w:val="0"/>
                <w:color w:val="1F2937"/>
                <w:sz w:val="17"/>
              </w:rPr>
              <w:t>عدم تعديل بيانات الإنتاج</w:t>
            </w:r>
          </w:p>
        </w:tc>
        <w:tc>
          <w:tcPr>
            <w:tcW w:type="dxa" w:w="7344"/>
            <w:vAlign w:val="center"/>
            <w:shd w:fill="F1F5F9"/>
          </w:tcPr>
          <w:p>
            <w:pPr>
              <w:spacing w:after="0" w:line="252" w:lineRule="auto"/>
              <w:jc w:val="right"/>
            </w:pPr>
            <w:r/>
            <w:r>
              <w:rPr>
                <w:rFonts w:ascii="Arial" w:hAnsi="Arial" w:eastAsia="Arial"/>
                <w:b w:val="0"/>
                <w:color w:val="1F2937"/>
                <w:sz w:val="17"/>
              </w:rPr>
              <w:t>العامل يختار المستلم وينفذ الحركة، ولا يحرر المكينة أو الوردية أو اللون أو المقاس الأساسي.</w:t>
            </w:r>
          </w:p>
        </w:tc>
      </w:tr>
    </w:tbl>
    <w:p>
      <w:pPr>
        <w:spacing w:after="20"/>
      </w:pPr>
    </w:p>
    <w:p>
      <w:pPr>
        <w:pStyle w:val="Heading2"/>
        <w:spacing w:before="180" w:after="100"/>
        <w:jc w:val="right"/>
        <w:bidi/>
      </w:pPr>
      <w:r>
        <w:t>التشخيص عند تعطل حركة</w:t>
      </w:r>
    </w:p>
    <w:p>
      <w:pPr>
        <w:pStyle w:val="ListBullet"/>
        <w:spacing w:after="40"/>
        <w:jc w:val="right"/>
        <w:bidi/>
      </w:pPr>
      <w:r>
        <w:rPr>
          <w:rFonts w:ascii="Arial" w:hAnsi="Arial" w:eastAsia="Arial"/>
          <w:sz w:val="20"/>
        </w:rPr>
        <w:t>تحديد رقم الحركة والباركود والمرحلة والتاريخ والوقت.</w:t>
      </w:r>
    </w:p>
    <w:p>
      <w:pPr>
        <w:pStyle w:val="ListBullet"/>
        <w:spacing w:after="40"/>
        <w:jc w:val="right"/>
        <w:bidi/>
      </w:pPr>
      <w:r>
        <w:rPr>
          <w:rFonts w:ascii="Arial" w:hAnsi="Arial" w:eastAsia="Arial"/>
          <w:sz w:val="20"/>
        </w:rPr>
        <w:t>التحقق من حامل العهدة الحالي وليس الاسم القديم الظاهر في بطاقة تاريخية.</w:t>
      </w:r>
    </w:p>
    <w:p>
      <w:pPr>
        <w:pStyle w:val="ListBullet"/>
        <w:spacing w:after="40"/>
        <w:jc w:val="right"/>
        <w:bidi/>
      </w:pPr>
      <w:r>
        <w:rPr>
          <w:rFonts w:ascii="Arial" w:hAnsi="Arial" w:eastAsia="Arial"/>
          <w:sz w:val="20"/>
        </w:rPr>
        <w:t>التحقق من الحساب المختار للمستلم ومن ظهوره ضمن موظفي المرحلة.</w:t>
      </w:r>
    </w:p>
    <w:p>
      <w:pPr>
        <w:pStyle w:val="ListBullet"/>
        <w:spacing w:after="40"/>
        <w:jc w:val="right"/>
        <w:bidi/>
      </w:pPr>
      <w:r>
        <w:rPr>
          <w:rFonts w:ascii="Arial" w:hAnsi="Arial" w:eastAsia="Arial"/>
          <w:sz w:val="20"/>
        </w:rPr>
        <w:t>مراجعة هل الحركة السابقة استلمت فعلاً أم أن البطاقة منشأة آلياً وتنتظر الاستلام.</w:t>
      </w:r>
    </w:p>
    <w:p>
      <w:pPr>
        <w:pStyle w:val="ListBullet"/>
        <w:spacing w:after="40"/>
        <w:jc w:val="right"/>
        <w:bidi/>
      </w:pPr>
      <w:r>
        <w:rPr>
          <w:rFonts w:ascii="Arial" w:hAnsi="Arial" w:eastAsia="Arial"/>
          <w:sz w:val="20"/>
        </w:rPr>
        <w:t>مراجعة سجل الأحداث والتقرير التفصيلي قبل أي تصحيح يدوي.</w:t>
      </w:r>
    </w:p>
    <w:p>
      <w:pPr>
        <w:pStyle w:val="ListBullet"/>
        <w:spacing w:after="40"/>
        <w:jc w:val="right"/>
        <w:bidi/>
      </w:pPr>
      <w:r>
        <w:rPr>
          <w:rFonts w:ascii="Arial" w:hAnsi="Arial" w:eastAsia="Arial"/>
          <w:sz w:val="20"/>
        </w:rPr>
        <w:t>عدم حذف الحركة لتجاوز المشكلة؛ التصحيح يجب أن يحافظ على الأثر التاريخي ويكون بصلاحية إدارية.</w:t>
      </w:r>
    </w:p>
    <w:p>
      <w:pPr>
        <w:pStyle w:val="Heading1"/>
        <w:spacing w:before="260" w:after="100"/>
        <w:jc w:val="right"/>
        <w:bidi/>
      </w:pPr>
      <w:r>
        <w:t>5. الطلبات والعينات والتصنيع الخاص</w:t>
      </w:r>
    </w:p>
    <w:p>
      <w:pPr>
        <w:pStyle w:val="Heading2"/>
        <w:spacing w:before="180" w:after="100"/>
        <w:jc w:val="right"/>
        <w:bidi/>
      </w:pPr>
      <w:r>
        <w:t>طلب العينة</w:t>
      </w:r>
    </w:p>
    <w:p>
      <w:pPr>
        <w:spacing w:after="100" w:line="283" w:lineRule="auto"/>
        <w:jc w:val="right"/>
        <w:bidi/>
      </w:pPr>
      <w:r>
        <w:rPr>
          <w:rFonts w:ascii="Arial" w:hAnsi="Arial" w:eastAsia="Arial"/>
          <w:sz w:val="21"/>
        </w:rPr>
        <w:t>طلب العينة مفتوح من ناحية بيانات المنتج: الموظف يدخل اسم المنتج، المقاس، اللون، النوع، الكمية، الباركود عند وجوده، والمرفقات. لا يشترط وجود الصنف مسبقاً في كتالوج المنتجات؛ الهدف هو تمكين مدير الإنتاج من تنفيذ عينة جديدة.</w:t>
      </w:r>
    </w:p>
    <w:p>
      <w:pPr>
        <w:pStyle w:val="Heading2"/>
        <w:spacing w:before="180" w:after="100"/>
        <w:jc w:val="right"/>
        <w:bidi/>
      </w:pPr>
      <w:r>
        <w:t>رابط اعتماد العميل</w:t>
      </w:r>
    </w:p>
    <w:p>
      <w:pPr>
        <w:pStyle w:val="ListBullet"/>
        <w:spacing w:after="40"/>
        <w:jc w:val="right"/>
        <w:bidi/>
      </w:pPr>
      <w:r>
        <w:rPr>
          <w:rFonts w:ascii="Arial" w:hAnsi="Arial" w:eastAsia="Arial"/>
          <w:sz w:val="20"/>
        </w:rPr>
        <w:t>بعد الحفظ المبدئي يولد رابط عام خاص بالطلب.</w:t>
      </w:r>
    </w:p>
    <w:p>
      <w:pPr>
        <w:pStyle w:val="ListBullet"/>
        <w:spacing w:after="40"/>
        <w:jc w:val="right"/>
        <w:bidi/>
      </w:pPr>
      <w:r>
        <w:rPr>
          <w:rFonts w:ascii="Arial" w:hAnsi="Arial" w:eastAsia="Arial"/>
          <w:sz w:val="20"/>
        </w:rPr>
        <w:t>العميل يفتح الرابط دون تسجيل دخول، يرى تفاصيل العينة، ويختار موافق أو غير موافق.</w:t>
      </w:r>
    </w:p>
    <w:p>
      <w:pPr>
        <w:pStyle w:val="ListBullet"/>
        <w:spacing w:after="40"/>
        <w:jc w:val="right"/>
        <w:bidi/>
      </w:pPr>
      <w:r>
        <w:rPr>
          <w:rFonts w:ascii="Arial" w:hAnsi="Arial" w:eastAsia="Arial"/>
          <w:sz w:val="20"/>
        </w:rPr>
        <w:t>في حالة عدم الموافقة يكون السبب إلزامياً، مع إمكانية إرفاق صورة أو ملف.</w:t>
      </w:r>
    </w:p>
    <w:p>
      <w:pPr>
        <w:pStyle w:val="ListBullet"/>
        <w:spacing w:after="40"/>
        <w:jc w:val="right"/>
        <w:bidi/>
      </w:pPr>
      <w:r>
        <w:rPr>
          <w:rFonts w:ascii="Arial" w:hAnsi="Arial" w:eastAsia="Arial"/>
          <w:sz w:val="20"/>
        </w:rPr>
        <w:t>القرار ذري: لا يقبل النظام قرارين متزامنين أو تغيير قرار مسجل.</w:t>
      </w:r>
    </w:p>
    <w:p>
      <w:pPr>
        <w:pStyle w:val="ListBullet"/>
        <w:spacing w:after="40"/>
        <w:jc w:val="right"/>
        <w:bidi/>
      </w:pPr>
      <w:r>
        <w:rPr>
          <w:rFonts w:ascii="Arial" w:hAnsi="Arial" w:eastAsia="Arial"/>
          <w:sz w:val="20"/>
        </w:rPr>
        <w:t>عند الموافقة يصل إشعار إلى مقدم الطلب وإلى مدير/قسم الإنتاج والحسابات الإدارية النشطة.</w:t>
      </w:r>
    </w:p>
    <w:p>
      <w:pPr>
        <w:pStyle w:val="ListBullet"/>
        <w:spacing w:after="40"/>
        <w:jc w:val="right"/>
        <w:bidi/>
      </w:pPr>
      <w:r>
        <w:rPr>
          <w:rFonts w:ascii="Arial" w:hAnsi="Arial" w:eastAsia="Arial"/>
          <w:sz w:val="20"/>
        </w:rPr>
        <w:t>الرابط صالح لمدة 7 أيام، ويظهر تاريخ الانتهاء داخل بطاقة الطلب.</w:t>
      </w:r>
    </w:p>
    <w:p>
      <w:pPr>
        <w:pStyle w:val="ListBullet"/>
        <w:spacing w:after="40"/>
        <w:jc w:val="right"/>
        <w:bidi/>
      </w:pPr>
      <w:r>
        <w:rPr>
          <w:rFonts w:ascii="Arial" w:hAnsi="Arial" w:eastAsia="Arial"/>
          <w:sz w:val="20"/>
        </w:rPr>
        <w:t>يمكن للأدمن أو مقدم الطلب إبطال الرابط فوراً؛ الرابط المبطل أو المنتهي يرفض من الخادم، ويمكن إنشاء رابط جديد عند الحاجة.</w:t>
      </w:r>
    </w:p>
    <w:p>
      <w:pPr>
        <w:pStyle w:val="ListBullet"/>
        <w:spacing w:after="40"/>
        <w:jc w:val="right"/>
        <w:bidi/>
      </w:pPr>
      <w:r>
        <w:rPr>
          <w:rFonts w:ascii="Arial" w:hAnsi="Arial" w:eastAsia="Arial"/>
          <w:sz w:val="20"/>
        </w:rPr>
        <w:t>الحفظ النهائي بعد الموافقة هو النقطة التي تسمح بمتابعة الطلب إلى الإنتاج.</w:t>
      </w:r>
    </w:p>
    <w:p>
      <w:pPr>
        <w:pStyle w:val="Heading2"/>
        <w:spacing w:before="180" w:after="100"/>
        <w:jc w:val="right"/>
        <w:bidi/>
      </w:pPr>
      <w:r>
        <w:t>سياسة مدد الخدمة والتصعيد</w:t>
      </w:r>
    </w:p>
    <w:p>
      <w:pPr>
        <w:pStyle w:val="ListBullet"/>
        <w:spacing w:after="40"/>
        <w:jc w:val="right"/>
        <w:bidi/>
      </w:pPr>
      <w:r>
        <w:rPr>
          <w:rFonts w:ascii="Arial" w:hAnsi="Arial" w:eastAsia="Arial"/>
          <w:sz w:val="20"/>
        </w:rPr>
        <w:t>استقبال طلب العميل عبر خدمة العملاء: 4 ساعات عمل.</w:t>
      </w:r>
    </w:p>
    <w:p>
      <w:pPr>
        <w:pStyle w:val="ListBullet"/>
        <w:spacing w:after="40"/>
        <w:jc w:val="right"/>
        <w:bidi/>
      </w:pPr>
      <w:r>
        <w:rPr>
          <w:rFonts w:ascii="Arial" w:hAnsi="Arial" w:eastAsia="Arial"/>
          <w:sz w:val="20"/>
        </w:rPr>
        <w:t>تعبئة نموذج طلب العينة وإرساله: خلال ساعتين عمل من استقبال الطلب.</w:t>
      </w:r>
    </w:p>
    <w:p>
      <w:pPr>
        <w:pStyle w:val="ListBullet"/>
        <w:spacing w:after="40"/>
        <w:jc w:val="right"/>
        <w:bidi/>
      </w:pPr>
      <w:r>
        <w:rPr>
          <w:rFonts w:ascii="Arial" w:hAnsi="Arial" w:eastAsia="Arial"/>
          <w:sz w:val="20"/>
        </w:rPr>
        <w:t>إصدار العينة والإنتاج مع الكوستين بواسطة مدير الإنتاج: 3 أيام عمل.</w:t>
      </w:r>
    </w:p>
    <w:p>
      <w:pPr>
        <w:pStyle w:val="ListBullet"/>
        <w:spacing w:after="40"/>
        <w:jc w:val="right"/>
        <w:bidi/>
      </w:pPr>
      <w:r>
        <w:rPr>
          <w:rFonts w:ascii="Arial" w:hAnsi="Arial" w:eastAsia="Arial"/>
          <w:sz w:val="20"/>
        </w:rPr>
        <w:t>إرسال العينة للعميل للاعتماد: عبر رابط اعتماد عام محمي ومؤرخ.</w:t>
      </w:r>
    </w:p>
    <w:p>
      <w:pPr>
        <w:pStyle w:val="ListBullet"/>
        <w:spacing w:after="40"/>
        <w:jc w:val="right"/>
        <w:bidi/>
      </w:pPr>
      <w:r>
        <w:rPr>
          <w:rFonts w:ascii="Arial" w:hAnsi="Arial" w:eastAsia="Arial"/>
          <w:sz w:val="20"/>
        </w:rPr>
        <w:t>اعتماد العميل أو إرسال ملاحظاته: يوم عمل واحد كحد أقصى.</w:t>
      </w:r>
    </w:p>
    <w:p>
      <w:pPr>
        <w:pStyle w:val="ListBullet"/>
        <w:spacing w:after="40"/>
        <w:jc w:val="right"/>
        <w:bidi/>
      </w:pPr>
      <w:r>
        <w:rPr>
          <w:rFonts w:ascii="Arial" w:hAnsi="Arial" w:eastAsia="Arial"/>
          <w:sz w:val="20"/>
        </w:rPr>
        <w:t>معالجة ملاحظات العميل بواسطة مدير الإنتاج وخدمة العملاء: يوم عمل واحد.</w:t>
      </w:r>
    </w:p>
    <w:p>
      <w:pPr>
        <w:pStyle w:val="ListBullet"/>
        <w:spacing w:after="40"/>
        <w:jc w:val="right"/>
        <w:bidi/>
      </w:pPr>
      <w:r>
        <w:rPr>
          <w:rFonts w:ascii="Arial" w:hAnsi="Arial" w:eastAsia="Arial"/>
          <w:sz w:val="20"/>
        </w:rPr>
        <w:t>التنفيذ بعد اعتماد العينة: من 5 إلى 20 يوم عمل؛ يسجل النظام تاريخ الاستحقاق المبكر والأقصى.</w:t>
      </w:r>
    </w:p>
    <w:p>
      <w:pPr>
        <w:pStyle w:val="ListBullet"/>
        <w:spacing w:after="40"/>
        <w:jc w:val="right"/>
        <w:bidi/>
      </w:pPr>
      <w:r>
        <w:rPr>
          <w:rFonts w:ascii="Arial" w:hAnsi="Arial" w:eastAsia="Arial"/>
          <w:sz w:val="20"/>
        </w:rPr>
        <w:t>العقوبات الإدارية حسب السياسة: إنذار أول، ثم خصم 200 ريال في المرة الثانية، وتحمل الموظف المسؤول تعويضات العميل عند إنتاج بضاعة غير مطابقة، وفق اعتماد الإدارة واللوائح المعتمدة.</w:t>
      </w:r>
    </w:p>
    <w:p>
      <w:pPr>
        <w:pStyle w:val="ListBullet"/>
        <w:spacing w:after="40"/>
        <w:jc w:val="right"/>
        <w:bidi/>
      </w:pPr>
      <w:r>
        <w:rPr>
          <w:rFonts w:ascii="Arial" w:hAnsi="Arial" w:eastAsia="Arial"/>
          <w:sz w:val="20"/>
        </w:rPr>
        <w:t>تستخدم أيام العمل السعودية (الأحد إلى الخميس) في حساب المواعيد، وتظهر المواعيد داخل بطاقة الطلب للتصعيد والمتابعة.</w:t>
      </w:r>
    </w:p>
    <w:p>
      <w:pPr>
        <w:pStyle w:val="Heading2"/>
        <w:spacing w:before="180" w:after="100"/>
        <w:jc w:val="right"/>
        <w:bidi/>
      </w:pPr>
      <w:r>
        <w:t>طلب تصنيع منتج</w:t>
      </w:r>
    </w:p>
    <w:p>
      <w:pPr>
        <w:spacing w:after="100" w:line="283" w:lineRule="auto"/>
        <w:jc w:val="right"/>
        <w:bidi/>
      </w:pPr>
      <w:r>
        <w:rPr>
          <w:rFonts w:ascii="Arial" w:hAnsi="Arial" w:eastAsia="Arial"/>
          <w:sz w:val="21"/>
        </w:rPr>
        <w:t>ينشأ الطلب عندما يكون المنتج غير متوفر أو رصيده غير كافٍ. يحدد الموظف العميل، المنتج، الباركود، المقاس، اللون، الكمية، تاريخ الطلب، موعد التسليم، المرفقات، والتوقيع. يسير الطلب عبر مدير التسويق والمبيعات ثم مدير الإنتاج، مع إمكان الإرجاع بسبب، والتصعيد للمدير العام.</w:t>
      </w:r>
    </w:p>
    <w:p>
      <w:pPr>
        <w:pStyle w:val="Heading2"/>
        <w:spacing w:before="180" w:after="100"/>
        <w:jc w:val="right"/>
        <w:bidi/>
      </w:pPr>
      <w:r>
        <w:t>نتيجة الإنتاج</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4C81"/>
          </w:tcPr>
          <w:p>
            <w:pPr>
              <w:spacing w:after="0" w:line="252" w:lineRule="auto"/>
              <w:jc w:val="right"/>
            </w:pPr>
            <w:r/>
            <w:r>
              <w:rPr>
                <w:rFonts w:ascii="Arial" w:hAnsi="Arial" w:eastAsia="Arial"/>
                <w:b/>
                <w:color w:val="FFFFFF"/>
                <w:sz w:val="18"/>
              </w:rPr>
              <w:t>الحالة</w:t>
            </w:r>
          </w:p>
        </w:tc>
        <w:tc>
          <w:tcPr>
            <w:tcW w:type="dxa" w:w="7488"/>
            <w:vAlign w:val="center"/>
            <w:shd w:fill="0F4C81"/>
          </w:tcPr>
          <w:p>
            <w:pPr>
              <w:spacing w:after="0" w:line="252" w:lineRule="auto"/>
              <w:jc w:val="right"/>
            </w:pPr>
            <w:r/>
            <w:r>
              <w:rPr>
                <w:rFonts w:ascii="Arial" w:hAnsi="Arial" w:eastAsia="Arial"/>
                <w:b/>
                <w:color w:val="FFFFFF"/>
                <w:sz w:val="18"/>
              </w:rPr>
              <w:t>المعنى والضابط</w:t>
            </w:r>
          </w:p>
        </w:tc>
      </w:tr>
      <w:tr>
        <w:tc>
          <w:tcPr>
            <w:tcW w:type="dxa" w:w="2160"/>
            <w:vAlign w:val="center"/>
            <w:shd w:fill="F1F5F9"/>
          </w:tcPr>
          <w:p>
            <w:pPr>
              <w:spacing w:after="0" w:line="252" w:lineRule="auto"/>
              <w:jc w:val="right"/>
            </w:pPr>
            <w:r/>
            <w:r>
              <w:rPr>
                <w:rFonts w:ascii="Arial" w:hAnsi="Arial" w:eastAsia="Arial"/>
                <w:b w:val="0"/>
                <w:color w:val="1F2937"/>
                <w:sz w:val="17"/>
              </w:rPr>
              <w:t>لم تسجل النتيجة</w:t>
            </w:r>
          </w:p>
        </w:tc>
        <w:tc>
          <w:tcPr>
            <w:tcW w:type="dxa" w:w="7488"/>
            <w:vAlign w:val="center"/>
            <w:shd w:fill="F1F5F9"/>
          </w:tcPr>
          <w:p>
            <w:pPr>
              <w:spacing w:after="0" w:line="252" w:lineRule="auto"/>
              <w:jc w:val="right"/>
            </w:pPr>
            <w:r/>
            <w:r>
              <w:rPr>
                <w:rFonts w:ascii="Arial" w:hAnsi="Arial" w:eastAsia="Arial"/>
                <w:b w:val="0"/>
                <w:color w:val="1F2937"/>
                <w:sz w:val="17"/>
              </w:rPr>
              <w:t>الطلب بدأ الإنتاج أو ينتظر القرار؛ لا يسمح بإغلاقه كمكتمل قبل تسجيل النتيجة.</w:t>
            </w:r>
          </w:p>
        </w:tc>
      </w:tr>
      <w:tr>
        <w:tc>
          <w:tcPr>
            <w:tcW w:type="dxa" w:w="2160"/>
            <w:vAlign w:val="center"/>
          </w:tcPr>
          <w:p>
            <w:pPr>
              <w:spacing w:after="0" w:line="252" w:lineRule="auto"/>
              <w:jc w:val="right"/>
            </w:pPr>
            <w:r/>
            <w:r>
              <w:rPr>
                <w:rFonts w:ascii="Arial" w:hAnsi="Arial" w:eastAsia="Arial"/>
                <w:b w:val="0"/>
                <w:color w:val="1F2937"/>
                <w:sz w:val="17"/>
              </w:rPr>
              <w:t>تم الإنتاج</w:t>
            </w:r>
          </w:p>
        </w:tc>
        <w:tc>
          <w:tcPr>
            <w:tcW w:type="dxa" w:w="7488"/>
            <w:vAlign w:val="center"/>
          </w:tcPr>
          <w:p>
            <w:pPr>
              <w:spacing w:after="0" w:line="252" w:lineRule="auto"/>
              <w:jc w:val="right"/>
            </w:pPr>
            <w:r/>
            <w:r>
              <w:rPr>
                <w:rFonts w:ascii="Arial" w:hAnsi="Arial" w:eastAsia="Arial"/>
                <w:b w:val="0"/>
                <w:color w:val="1F2937"/>
                <w:sz w:val="17"/>
              </w:rPr>
              <w:t>يؤكد مدير الإنتاج أن الطلب أنتج، ثم يمكن للمستودع تنفيذ الصرف أو الإغلاق حسب الصلاحية.</w:t>
            </w:r>
          </w:p>
        </w:tc>
      </w:tr>
      <w:tr>
        <w:tc>
          <w:tcPr>
            <w:tcW w:type="dxa" w:w="2160"/>
            <w:vAlign w:val="center"/>
            <w:shd w:fill="F1F5F9"/>
          </w:tcPr>
          <w:p>
            <w:pPr>
              <w:spacing w:after="0" w:line="252" w:lineRule="auto"/>
              <w:jc w:val="right"/>
            </w:pPr>
            <w:r/>
            <w:r>
              <w:rPr>
                <w:rFonts w:ascii="Arial" w:hAnsi="Arial" w:eastAsia="Arial"/>
                <w:b w:val="0"/>
                <w:color w:val="1F2937"/>
                <w:sz w:val="17"/>
              </w:rPr>
              <w:t>لم يتم الإنتاج</w:t>
            </w:r>
          </w:p>
        </w:tc>
        <w:tc>
          <w:tcPr>
            <w:tcW w:type="dxa" w:w="7488"/>
            <w:vAlign w:val="center"/>
            <w:shd w:fill="F1F5F9"/>
          </w:tcPr>
          <w:p>
            <w:pPr>
              <w:spacing w:after="0" w:line="252" w:lineRule="auto"/>
              <w:jc w:val="right"/>
            </w:pPr>
            <w:r/>
            <w:r>
              <w:rPr>
                <w:rFonts w:ascii="Arial" w:hAnsi="Arial" w:eastAsia="Arial"/>
                <w:b w:val="0"/>
                <w:color w:val="1F2937"/>
                <w:sz w:val="17"/>
              </w:rPr>
              <w:t>يجب إدخال سبب واضح؛ يظهر السبب في البطاقة والتقرير الشهري ولا يسمح بالإغلاق كطلب منفذ.</w:t>
            </w:r>
          </w:p>
        </w:tc>
      </w:tr>
      <w:tr>
        <w:tc>
          <w:tcPr>
            <w:tcW w:type="dxa" w:w="2160"/>
            <w:vAlign w:val="center"/>
          </w:tcPr>
          <w:p>
            <w:pPr>
              <w:spacing w:after="0" w:line="252" w:lineRule="auto"/>
              <w:jc w:val="right"/>
            </w:pPr>
            <w:r/>
            <w:r>
              <w:rPr>
                <w:rFonts w:ascii="Arial" w:hAnsi="Arial" w:eastAsia="Arial"/>
                <w:b w:val="0"/>
                <w:color w:val="1F2937"/>
                <w:sz w:val="17"/>
              </w:rPr>
              <w:t>مرفقات وتوقيع</w:t>
            </w:r>
          </w:p>
        </w:tc>
        <w:tc>
          <w:tcPr>
            <w:tcW w:type="dxa" w:w="7488"/>
            <w:vAlign w:val="center"/>
          </w:tcPr>
          <w:p>
            <w:pPr>
              <w:spacing w:after="0" w:line="252" w:lineRule="auto"/>
              <w:jc w:val="right"/>
            </w:pPr>
            <w:r/>
            <w:r>
              <w:rPr>
                <w:rFonts w:ascii="Arial" w:hAnsi="Arial" w:eastAsia="Arial"/>
                <w:b w:val="0"/>
                <w:color w:val="1F2937"/>
                <w:sz w:val="17"/>
              </w:rPr>
              <w:t>قرار النتيجة يسجل بتوقيع المستخدم ووقت العملية وسجل الحدث.</w:t>
            </w:r>
          </w:p>
        </w:tc>
      </w:tr>
    </w:tbl>
    <w:p>
      <w:pPr>
        <w:spacing w:after="20"/>
      </w:pPr>
    </w:p>
    <w:p>
      <w:pPr>
        <w:pStyle w:val="Heading1"/>
        <w:spacing w:before="260" w:after="100"/>
        <w:jc w:val="right"/>
        <w:bidi/>
      </w:pPr>
      <w:r>
        <w:t>6. المبيعات والمندوبون والعملاء والتحصيل</w:t>
      </w:r>
    </w:p>
    <w:p>
      <w:pPr>
        <w:pStyle w:val="Heading2"/>
        <w:spacing w:before="180" w:after="100"/>
        <w:jc w:val="right"/>
        <w:bidi/>
      </w:pPr>
      <w:r>
        <w:t>إدارة العملاء</w:t>
      </w:r>
    </w:p>
    <w:p>
      <w:pPr>
        <w:pStyle w:val="ListBullet"/>
        <w:spacing w:after="40"/>
        <w:jc w:val="right"/>
        <w:bidi/>
      </w:pPr>
      <w:r>
        <w:rPr>
          <w:rFonts w:ascii="Arial" w:hAnsi="Arial" w:eastAsia="Arial"/>
          <w:sz w:val="20"/>
        </w:rPr>
        <w:t>نوع العميل: مؤسسة أو فرد، مع بيانات المسؤول ورقم الجوال.</w:t>
      </w:r>
    </w:p>
    <w:p>
      <w:pPr>
        <w:pStyle w:val="ListBullet"/>
        <w:spacing w:after="40"/>
        <w:jc w:val="right"/>
        <w:bidi/>
      </w:pPr>
      <w:r>
        <w:rPr>
          <w:rFonts w:ascii="Arial" w:hAnsi="Arial" w:eastAsia="Arial"/>
          <w:sz w:val="20"/>
        </w:rPr>
        <w:t>الرخصة والرقم الضريبي والبريد حقول يمكن أن تكون اختيارية حسب نوع العميل، مع تحديد الحقول الإلزامية في النموذج.</w:t>
      </w:r>
    </w:p>
    <w:p>
      <w:pPr>
        <w:pStyle w:val="ListBullet"/>
        <w:spacing w:after="40"/>
        <w:jc w:val="right"/>
        <w:bidi/>
      </w:pPr>
      <w:r>
        <w:rPr>
          <w:rFonts w:ascii="Arial" w:hAnsi="Arial" w:eastAsia="Arial"/>
          <w:sz w:val="20"/>
        </w:rPr>
        <w:t>العنوان الوطني والمدينة والشارع والبيانات المتاحة من ملف العملاء تحفظ ولا تضيع أثناء المزامنة.</w:t>
      </w:r>
    </w:p>
    <w:p>
      <w:pPr>
        <w:pStyle w:val="ListBullet"/>
        <w:spacing w:after="40"/>
        <w:jc w:val="right"/>
        <w:bidi/>
      </w:pPr>
      <w:r>
        <w:rPr>
          <w:rFonts w:ascii="Arial" w:hAnsi="Arial" w:eastAsia="Arial"/>
          <w:sz w:val="20"/>
        </w:rPr>
        <w:t>البحث يعرض النتائج المطابقة فقط، ولا يعرض قائمة العملاء كاملة للمندوبين.</w:t>
      </w:r>
    </w:p>
    <w:p>
      <w:pPr>
        <w:pStyle w:val="ListBullet"/>
        <w:spacing w:after="40"/>
        <w:jc w:val="right"/>
        <w:bidi/>
      </w:pPr>
      <w:r>
        <w:rPr>
          <w:rFonts w:ascii="Arial" w:hAnsi="Arial" w:eastAsia="Arial"/>
          <w:sz w:val="20"/>
        </w:rPr>
        <w:t>توزيع العملاء حسب المندوب؛ العملاء المخصصون لعادل تظهر لعادل، وبقية العملاء لا تظهر لغير المصرح لهم.</w:t>
      </w:r>
    </w:p>
    <w:p>
      <w:pPr>
        <w:pStyle w:val="ListBullet"/>
        <w:spacing w:after="40"/>
        <w:jc w:val="right"/>
        <w:bidi/>
      </w:pPr>
      <w:r>
        <w:rPr>
          <w:rFonts w:ascii="Arial" w:hAnsi="Arial" w:eastAsia="Arial"/>
          <w:sz w:val="20"/>
        </w:rPr>
        <w:t>الحركة على عميل ببيانات ناقصة تعرض تنبيهاً لاستكمال البيانات قبل استمرار الإجراء.</w:t>
      </w:r>
    </w:p>
    <w:p>
      <w:pPr>
        <w:pStyle w:val="Heading2"/>
        <w:spacing w:before="180" w:after="100"/>
        <w:jc w:val="right"/>
        <w:bidi/>
      </w:pPr>
      <w:r>
        <w:t>الطلبات والزيارات والتحصيل</w:t>
      </w:r>
    </w:p>
    <w:p>
      <w:pPr>
        <w:spacing w:after="100" w:line="283" w:lineRule="auto"/>
        <w:jc w:val="right"/>
        <w:bidi/>
      </w:pPr>
      <w:r>
        <w:rPr>
          <w:rFonts w:ascii="Arial" w:hAnsi="Arial" w:eastAsia="Arial"/>
          <w:sz w:val="21"/>
        </w:rPr>
        <w:t>الزيارة ليست طلباً؛ الزيارة تسجل متابعة أو عرض منتج أو ملاحظات. الطلب يحتوي منتجات وكميات وموعد تسليم. نوع العميل (فرد/مؤسسة، قديم/جديد) يظهر في التقارير. التحصيل وحدة تشغيلية مستقلة، ويمكن إدخال تحصيل قديم لا يرتبط بفاتورة داخل النظام.</w:t>
      </w:r>
    </w:p>
    <w:p>
      <w:pPr>
        <w:pStyle w:val="Heading2"/>
        <w:spacing w:before="180" w:after="100"/>
        <w:jc w:val="right"/>
        <w:bidi/>
      </w:pPr>
      <w:r>
        <w:t>أداء المندوب</w:t>
      </w:r>
    </w:p>
    <w:p>
      <w:pPr>
        <w:spacing w:after="100" w:line="283" w:lineRule="auto"/>
        <w:jc w:val="right"/>
        <w:bidi/>
      </w:pPr>
      <w:r>
        <w:rPr>
          <w:rFonts w:ascii="Arial" w:hAnsi="Arial" w:eastAsia="Arial"/>
          <w:sz w:val="21"/>
        </w:rPr>
        <w:t>التقرير يعرض العملاء، الطلبات، الزيارات، التحصيل، الأنشطة، التصنيع الخاص، التقييم النسبي، الملاحظات، والمرفقات. يدعم الطباعة وتقريراً شاملاً، مع عدم تحويل بيانات التحصيل إلى محاسبة فواتير إلزامية.</w:t>
      </w:r>
    </w:p>
    <w:p>
      <w:pPr>
        <w:pStyle w:val="Heading1"/>
        <w:spacing w:before="260" w:after="100"/>
        <w:jc w:val="right"/>
        <w:bidi/>
      </w:pPr>
      <w:r>
        <w:t>7. المستودعات والمخزون والباركود</w:t>
      </w:r>
    </w:p>
    <w:p>
      <w:pPr>
        <w:pStyle w:val="Heading2"/>
        <w:spacing w:before="180" w:after="100"/>
        <w:jc w:val="right"/>
        <w:bidi/>
      </w:pPr>
      <w:r>
        <w:t>مستودع الإنتاج التام</w:t>
      </w:r>
    </w:p>
    <w:p>
      <w:pPr>
        <w:pStyle w:val="ListBullet"/>
        <w:spacing w:after="40"/>
        <w:jc w:val="right"/>
        <w:bidi/>
      </w:pPr>
      <w:r>
        <w:rPr>
          <w:rFonts w:ascii="Arial" w:hAnsi="Arial" w:eastAsia="Arial"/>
          <w:sz w:val="20"/>
        </w:rPr>
        <w:t>الرصيد مفصول حسب المنتج والباركود والمقاس واللون والنوع.</w:t>
      </w:r>
    </w:p>
    <w:p>
      <w:pPr>
        <w:pStyle w:val="ListBullet"/>
        <w:spacing w:after="40"/>
        <w:jc w:val="right"/>
        <w:bidi/>
      </w:pPr>
      <w:r>
        <w:rPr>
          <w:rFonts w:ascii="Arial" w:hAnsi="Arial" w:eastAsia="Arial"/>
          <w:sz w:val="20"/>
        </w:rPr>
        <w:t>الكمية تحفظ بدقة عشرية حتى ست منازل، والطلب 3 درزن و2 زوج يحول إلى ما يعادلها عند الخصم دون فقدان الزوج.</w:t>
      </w:r>
    </w:p>
    <w:p>
      <w:pPr>
        <w:pStyle w:val="ListBullet"/>
        <w:spacing w:after="40"/>
        <w:jc w:val="right"/>
        <w:bidi/>
      </w:pPr>
      <w:r>
        <w:rPr>
          <w:rFonts w:ascii="Arial" w:hAnsi="Arial" w:eastAsia="Arial"/>
          <w:sz w:val="20"/>
        </w:rPr>
        <w:t>كل منتج جديد من الإنتاج يحتاج باركوداً قبل دخوله كصنف قابل للتداول.</w:t>
      </w:r>
    </w:p>
    <w:p>
      <w:pPr>
        <w:pStyle w:val="ListBullet"/>
        <w:spacing w:after="40"/>
        <w:jc w:val="right"/>
        <w:bidi/>
      </w:pPr>
      <w:r>
        <w:rPr>
          <w:rFonts w:ascii="Arial" w:hAnsi="Arial" w:eastAsia="Arial"/>
          <w:sz w:val="20"/>
        </w:rPr>
        <w:t>الحد الأدنى الافتراضي للمخزون 50 درزن، مع تنبيه مدير المستودعات والأدمن.</w:t>
      </w:r>
    </w:p>
    <w:p>
      <w:pPr>
        <w:pStyle w:val="ListBullet"/>
        <w:spacing w:after="40"/>
        <w:jc w:val="right"/>
        <w:bidi/>
      </w:pPr>
      <w:r>
        <w:rPr>
          <w:rFonts w:ascii="Arial" w:hAnsi="Arial" w:eastAsia="Arial"/>
          <w:sz w:val="20"/>
        </w:rPr>
        <w:t>حركات الدخول والخروج والمزامنة والاستيراد من Excel قابلة للمراجعة.</w:t>
      </w:r>
    </w:p>
    <w:p>
      <w:pPr>
        <w:pStyle w:val="ListBullet"/>
        <w:spacing w:after="40"/>
        <w:jc w:val="right"/>
        <w:bidi/>
      </w:pPr>
      <w:r>
        <w:rPr>
          <w:rFonts w:ascii="Arial" w:hAnsi="Arial" w:eastAsia="Arial"/>
          <w:sz w:val="20"/>
        </w:rPr>
        <w:t>أعمار حركة المنتجات توضح الأصناف عالية الطلب والراكدة بالنسبة المئوية.</w:t>
      </w:r>
    </w:p>
    <w:p>
      <w:pPr>
        <w:pStyle w:val="Heading2"/>
        <w:spacing w:before="180" w:after="100"/>
        <w:jc w:val="right"/>
        <w:bidi/>
      </w:pPr>
      <w:r>
        <w:t>طلبات المندوبين</w:t>
      </w:r>
    </w:p>
    <w:p>
      <w:pPr>
        <w:spacing w:after="100" w:line="283" w:lineRule="auto"/>
        <w:jc w:val="right"/>
        <w:bidi/>
      </w:pPr>
      <w:r>
        <w:rPr>
          <w:rFonts w:ascii="Arial" w:hAnsi="Arial" w:eastAsia="Arial"/>
          <w:sz w:val="21"/>
        </w:rPr>
        <w:t>عند كتابة حرفين أو أكثر من اسم المنتج تظهر قائمة اقتراحات قابلة للتمرير تحتوي النسخ المحددة والكمية المتاحة. اختيار المنتج يملأ الباركود والمقاس واللون تلقائياً. لا يعرض النظام كمية عامة قبل تحديد النسخة، لتجنب خصم رصيد خاطئ.</w:t>
      </w:r>
    </w:p>
    <w:p>
      <w:pPr>
        <w:pStyle w:val="Heading1"/>
        <w:spacing w:before="260" w:after="100"/>
        <w:jc w:val="right"/>
        <w:bidi/>
      </w:pPr>
      <w:r>
        <w:t>8. التقارير والتصدير والطباعة</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F4C81"/>
          </w:tcPr>
          <w:p>
            <w:pPr>
              <w:spacing w:after="0" w:line="252" w:lineRule="auto"/>
              <w:jc w:val="right"/>
            </w:pPr>
            <w:r/>
            <w:r>
              <w:rPr>
                <w:rFonts w:ascii="Arial" w:hAnsi="Arial" w:eastAsia="Arial"/>
                <w:b/>
                <w:color w:val="FFFFFF"/>
                <w:sz w:val="18"/>
              </w:rPr>
              <w:t>التقرير</w:t>
            </w:r>
          </w:p>
        </w:tc>
        <w:tc>
          <w:tcPr>
            <w:tcW w:type="dxa" w:w="7056"/>
            <w:vAlign w:val="center"/>
            <w:shd w:fill="0F4C81"/>
          </w:tcPr>
          <w:p>
            <w:pPr>
              <w:spacing w:after="0" w:line="252" w:lineRule="auto"/>
              <w:jc w:val="right"/>
            </w:pPr>
            <w:r/>
            <w:r>
              <w:rPr>
                <w:rFonts w:ascii="Arial" w:hAnsi="Arial" w:eastAsia="Arial"/>
                <w:b/>
                <w:color w:val="FFFFFF"/>
                <w:sz w:val="18"/>
              </w:rPr>
              <w:t>المحتوى الأساسي</w:t>
            </w:r>
          </w:p>
        </w:tc>
      </w:tr>
      <w:tr>
        <w:tc>
          <w:tcPr>
            <w:tcW w:type="dxa" w:w="2592"/>
            <w:vAlign w:val="center"/>
            <w:shd w:fill="F1F5F9"/>
          </w:tcPr>
          <w:p>
            <w:pPr>
              <w:spacing w:after="0" w:line="252" w:lineRule="auto"/>
              <w:jc w:val="right"/>
            </w:pPr>
            <w:r/>
            <w:r>
              <w:rPr>
                <w:rFonts w:ascii="Arial" w:hAnsi="Arial" w:eastAsia="Arial"/>
                <w:b w:val="0"/>
                <w:color w:val="1F2937"/>
                <w:sz w:val="17"/>
              </w:rPr>
              <w:t>التقرير الشامل</w:t>
            </w:r>
          </w:p>
        </w:tc>
        <w:tc>
          <w:tcPr>
            <w:tcW w:type="dxa" w:w="7056"/>
            <w:vAlign w:val="center"/>
            <w:shd w:fill="F1F5F9"/>
          </w:tcPr>
          <w:p>
            <w:pPr>
              <w:spacing w:after="0" w:line="252" w:lineRule="auto"/>
              <w:jc w:val="right"/>
            </w:pPr>
            <w:r/>
            <w:r>
              <w:rPr>
                <w:rFonts w:ascii="Arial" w:hAnsi="Arial" w:eastAsia="Arial"/>
                <w:b w:val="0"/>
                <w:color w:val="1F2937"/>
                <w:sz w:val="17"/>
              </w:rPr>
              <w:t>الإنتاج، المراحل، المستلم والمسلم، الباقي، مدد المراحل، أداء المندوب، الطلبات، الزيارات، التحصيل، الآلات، والتنبيهات.</w:t>
            </w:r>
          </w:p>
        </w:tc>
      </w:tr>
      <w:tr>
        <w:tc>
          <w:tcPr>
            <w:tcW w:type="dxa" w:w="2592"/>
            <w:vAlign w:val="center"/>
          </w:tcPr>
          <w:p>
            <w:pPr>
              <w:spacing w:after="0" w:line="252" w:lineRule="auto"/>
              <w:jc w:val="right"/>
            </w:pPr>
            <w:r/>
            <w:r>
              <w:rPr>
                <w:rFonts w:ascii="Arial" w:hAnsi="Arial" w:eastAsia="Arial"/>
                <w:b w:val="0"/>
                <w:color w:val="1F2937"/>
                <w:sz w:val="17"/>
              </w:rPr>
              <w:t>تقرير التسليم والاستلام</w:t>
            </w:r>
          </w:p>
        </w:tc>
        <w:tc>
          <w:tcPr>
            <w:tcW w:type="dxa" w:w="7056"/>
            <w:vAlign w:val="center"/>
          </w:tcPr>
          <w:p>
            <w:pPr>
              <w:spacing w:after="0" w:line="252" w:lineRule="auto"/>
              <w:jc w:val="right"/>
            </w:pPr>
            <w:r/>
            <w:r>
              <w:rPr>
                <w:rFonts w:ascii="Arial" w:hAnsi="Arial" w:eastAsia="Arial"/>
                <w:b w:val="0"/>
                <w:color w:val="1F2937"/>
                <w:sz w:val="17"/>
              </w:rPr>
              <w:t>مرحلة مستقلة لكل قسم، بيانات التاريخ واليوم والساعة، أسماء الموظفين، مدة بقاء المنتج، الرصيد السابق، الاستلام، المتاح، التسليم، المتبقي والفرق.</w:t>
            </w:r>
          </w:p>
        </w:tc>
      </w:tr>
      <w:tr>
        <w:tc>
          <w:tcPr>
            <w:tcW w:type="dxa" w:w="2592"/>
            <w:vAlign w:val="center"/>
            <w:shd w:fill="F1F5F9"/>
          </w:tcPr>
          <w:p>
            <w:pPr>
              <w:spacing w:after="0" w:line="252" w:lineRule="auto"/>
              <w:jc w:val="right"/>
            </w:pPr>
            <w:r/>
            <w:r>
              <w:rPr>
                <w:rFonts w:ascii="Arial" w:hAnsi="Arial" w:eastAsia="Arial"/>
                <w:b w:val="0"/>
                <w:color w:val="1F2937"/>
                <w:sz w:val="17"/>
              </w:rPr>
              <w:t>التقرير اليومي</w:t>
            </w:r>
          </w:p>
        </w:tc>
        <w:tc>
          <w:tcPr>
            <w:tcW w:type="dxa" w:w="7056"/>
            <w:vAlign w:val="center"/>
            <w:shd w:fill="F1F5F9"/>
          </w:tcPr>
          <w:p>
            <w:pPr>
              <w:spacing w:after="0" w:line="252" w:lineRule="auto"/>
              <w:jc w:val="right"/>
            </w:pPr>
            <w:r/>
            <w:r>
              <w:rPr>
                <w:rFonts w:ascii="Arial" w:hAnsi="Arial" w:eastAsia="Arial"/>
                <w:b w:val="0"/>
                <w:color w:val="1F2937"/>
                <w:sz w:val="17"/>
              </w:rPr>
              <w:t>ملخص التشغيل والموظفين والكميات والمراحل ومؤشرات اليوم.</w:t>
            </w:r>
          </w:p>
        </w:tc>
      </w:tr>
      <w:tr>
        <w:tc>
          <w:tcPr>
            <w:tcW w:type="dxa" w:w="2592"/>
            <w:vAlign w:val="center"/>
          </w:tcPr>
          <w:p>
            <w:pPr>
              <w:spacing w:after="0" w:line="252" w:lineRule="auto"/>
              <w:jc w:val="right"/>
            </w:pPr>
            <w:r/>
            <w:r>
              <w:rPr>
                <w:rFonts w:ascii="Arial" w:hAnsi="Arial" w:eastAsia="Arial"/>
                <w:b w:val="0"/>
                <w:color w:val="1F2937"/>
                <w:sz w:val="17"/>
              </w:rPr>
              <w:t>تقرير أداء المندوب</w:t>
            </w:r>
          </w:p>
        </w:tc>
        <w:tc>
          <w:tcPr>
            <w:tcW w:type="dxa" w:w="7056"/>
            <w:vAlign w:val="center"/>
          </w:tcPr>
          <w:p>
            <w:pPr>
              <w:spacing w:after="0" w:line="252" w:lineRule="auto"/>
              <w:jc w:val="right"/>
            </w:pPr>
            <w:r/>
            <w:r>
              <w:rPr>
                <w:rFonts w:ascii="Arial" w:hAnsi="Arial" w:eastAsia="Arial"/>
                <w:b w:val="0"/>
                <w:color w:val="1F2937"/>
                <w:sz w:val="17"/>
              </w:rPr>
              <w:t>الطلبات والزيارات والتحصيل والعملاء والتقييم والتفاصيل القابلة للطباعة.</w:t>
            </w:r>
          </w:p>
        </w:tc>
      </w:tr>
      <w:tr>
        <w:tc>
          <w:tcPr>
            <w:tcW w:type="dxa" w:w="2592"/>
            <w:vAlign w:val="center"/>
            <w:shd w:fill="F1F5F9"/>
          </w:tcPr>
          <w:p>
            <w:pPr>
              <w:spacing w:after="0" w:line="252" w:lineRule="auto"/>
              <w:jc w:val="right"/>
            </w:pPr>
            <w:r/>
            <w:r>
              <w:rPr>
                <w:rFonts w:ascii="Arial" w:hAnsi="Arial" w:eastAsia="Arial"/>
                <w:b w:val="0"/>
                <w:color w:val="1F2937"/>
                <w:sz w:val="17"/>
              </w:rPr>
              <w:t>التقرير الشهري لطلبات التصنيع</w:t>
            </w:r>
          </w:p>
        </w:tc>
        <w:tc>
          <w:tcPr>
            <w:tcW w:type="dxa" w:w="7056"/>
            <w:vAlign w:val="center"/>
            <w:shd w:fill="F1F5F9"/>
          </w:tcPr>
          <w:p>
            <w:pPr>
              <w:spacing w:after="0" w:line="252" w:lineRule="auto"/>
              <w:jc w:val="right"/>
            </w:pPr>
            <w:r/>
            <w:r>
              <w:rPr>
                <w:rFonts w:ascii="Arial" w:hAnsi="Arial" w:eastAsia="Arial"/>
                <w:b w:val="0"/>
                <w:color w:val="1F2937"/>
                <w:sz w:val="17"/>
              </w:rPr>
              <w:t>الإجمالي، المنتج، غير المنتج، المعلق، كميات الدرزن، وتجميع أسباب التعثر.</w:t>
            </w:r>
          </w:p>
        </w:tc>
      </w:tr>
      <w:tr>
        <w:tc>
          <w:tcPr>
            <w:tcW w:type="dxa" w:w="2592"/>
            <w:vAlign w:val="center"/>
          </w:tcPr>
          <w:p>
            <w:pPr>
              <w:spacing w:after="0" w:line="252" w:lineRule="auto"/>
              <w:jc w:val="right"/>
            </w:pPr>
            <w:r/>
            <w:r>
              <w:rPr>
                <w:rFonts w:ascii="Arial" w:hAnsi="Arial" w:eastAsia="Arial"/>
                <w:b w:val="0"/>
                <w:color w:val="1F2937"/>
                <w:sz w:val="17"/>
              </w:rPr>
              <w:t>تقارير الإنتاج</w:t>
            </w:r>
          </w:p>
        </w:tc>
        <w:tc>
          <w:tcPr>
            <w:tcW w:type="dxa" w:w="7056"/>
            <w:vAlign w:val="center"/>
          </w:tcPr>
          <w:p>
            <w:pPr>
              <w:spacing w:after="0" w:line="252" w:lineRule="auto"/>
              <w:jc w:val="right"/>
            </w:pPr>
            <w:r/>
            <w:r>
              <w:rPr>
                <w:rFonts w:ascii="Arial" w:hAnsi="Arial" w:eastAsia="Arial"/>
                <w:b w:val="0"/>
                <w:color w:val="1F2937"/>
                <w:sz w:val="17"/>
              </w:rPr>
              <w:t>المكائن العاملة والمتوقفة والسبب، مدة العمل، الهدر والخيوط والإبر والنخب الثاني.</w:t>
            </w:r>
          </w:p>
        </w:tc>
      </w:tr>
      <w:tr>
        <w:tc>
          <w:tcPr>
            <w:tcW w:type="dxa" w:w="2592"/>
            <w:vAlign w:val="center"/>
            <w:shd w:fill="F1F5F9"/>
          </w:tcPr>
          <w:p>
            <w:pPr>
              <w:spacing w:after="0" w:line="252" w:lineRule="auto"/>
              <w:jc w:val="right"/>
            </w:pPr>
            <w:r/>
            <w:r>
              <w:rPr>
                <w:rFonts w:ascii="Arial" w:hAnsi="Arial" w:eastAsia="Arial"/>
                <w:b w:val="0"/>
                <w:color w:val="1F2937"/>
                <w:sz w:val="17"/>
              </w:rPr>
              <w:t>التقارير المالية والإدارية</w:t>
            </w:r>
          </w:p>
        </w:tc>
        <w:tc>
          <w:tcPr>
            <w:tcW w:type="dxa" w:w="7056"/>
            <w:vAlign w:val="center"/>
            <w:shd w:fill="F1F5F9"/>
          </w:tcPr>
          <w:p>
            <w:pPr>
              <w:spacing w:after="0" w:line="252" w:lineRule="auto"/>
              <w:jc w:val="right"/>
            </w:pPr>
            <w:r/>
            <w:r>
              <w:rPr>
                <w:rFonts w:ascii="Arial" w:hAnsi="Arial" w:eastAsia="Arial"/>
                <w:b w:val="0"/>
                <w:color w:val="1F2937"/>
                <w:sz w:val="17"/>
              </w:rPr>
              <w:t>البنك، المصروفات، العهد، الأعمال الإدارية، والملخصات اليومية.</w:t>
            </w:r>
          </w:p>
        </w:tc>
      </w:tr>
    </w:tbl>
    <w:p>
      <w:pPr>
        <w:spacing w:after="20"/>
      </w:pPr>
    </w:p>
    <w:p>
      <w:pPr>
        <w:spacing w:after="100" w:line="283" w:lineRule="auto"/>
        <w:jc w:val="right"/>
        <w:bidi/>
      </w:pPr>
      <w:r>
        <w:rPr>
          <w:rFonts w:ascii="Arial" w:hAnsi="Arial" w:eastAsia="Arial"/>
          <w:sz w:val="21"/>
        </w:rPr>
        <w:t>قوالب الطباعة مصممة لتكون نصوصاً وجداول حقيقية وليست لقطة شاشة؛ التقارير الطويلة تستخدم العرض الأفقي أو ضغط الحقول في نفس الخلية مع عناوين عريضة لتقليل عدد الصفحات دون حذف البيانات. التقرير الشهري لطلبات التصنيع يمكن تصديره من شاشة الطلبات إلى Excel بصيغة جدول قابلة للفرز، أو إلى PDF عبر نافذة طباعة مستقلة.</w:t>
      </w:r>
    </w:p>
    <w:p>
      <w:pPr>
        <w:pStyle w:val="Heading2"/>
        <w:spacing w:before="180" w:after="100"/>
        <w:jc w:val="right"/>
        <w:bidi/>
      </w:pPr>
      <w:r>
        <w:t>لوحة مؤشرات أسباب التعثر</w:t>
      </w:r>
    </w:p>
    <w:p>
      <w:pPr>
        <w:spacing w:after="100" w:line="283" w:lineRule="auto"/>
        <w:jc w:val="right"/>
        <w:bidi/>
      </w:pPr>
      <w:r>
        <w:rPr>
          <w:rFonts w:ascii="Arial" w:hAnsi="Arial" w:eastAsia="Arial"/>
          <w:sz w:val="21"/>
        </w:rPr>
        <w:t>تظهر في التقرير الشهري لمجلس الإدارة بطاقة مستقلة لطلبات التصنيع: إجمالي الطلبات، تم الإنتاج، لم يتم الإنتاج، لم تسجل النتيجة، نسبة كل حالة من الإجمالي، ثم أكثر أسباب عدم الإنتاج مع عدد الطلبات ونسبة السبب من الطلبات غير المنتجة. ويقارن النظام تلقائياً الشهر الحالي بالشهر السابق في عدد المنتج وغير المنتج، وتدرج هذه المؤشرات أيضاً في ملف PDF الشهري المصدّر.</w:t>
      </w:r>
    </w:p>
    <w:p>
      <w:pPr>
        <w:pStyle w:val="Heading1"/>
        <w:spacing w:before="260" w:after="100"/>
        <w:jc w:val="right"/>
        <w:bidi/>
      </w:pPr>
      <w:r>
        <w:t>9. المالية والشؤون الإدارية والصيانة</w:t>
      </w:r>
    </w:p>
    <w:p>
      <w:pPr>
        <w:pStyle w:val="Heading2"/>
        <w:spacing w:before="180" w:after="100"/>
        <w:jc w:val="right"/>
        <w:bidi/>
      </w:pPr>
      <w:r>
        <w:t>الشؤون المالية</w:t>
      </w:r>
    </w:p>
    <w:p>
      <w:pPr>
        <w:pStyle w:val="ListBullet"/>
        <w:spacing w:after="40"/>
        <w:jc w:val="right"/>
        <w:bidi/>
      </w:pPr>
      <w:r>
        <w:rPr>
          <w:rFonts w:ascii="Arial" w:hAnsi="Arial" w:eastAsia="Arial"/>
          <w:sz w:val="20"/>
        </w:rPr>
        <w:t>رصيد البنك نهاية اليوم.</w:t>
      </w:r>
    </w:p>
    <w:p>
      <w:pPr>
        <w:pStyle w:val="ListBullet"/>
        <w:spacing w:after="40"/>
        <w:jc w:val="right"/>
        <w:bidi/>
      </w:pPr>
      <w:r>
        <w:rPr>
          <w:rFonts w:ascii="Arial" w:hAnsi="Arial" w:eastAsia="Arial"/>
          <w:sz w:val="20"/>
        </w:rPr>
        <w:t>المصروفات اليومية: المبلغ، البيان، طريقة الدفع نقداً أو تحويل بنكي، والملاحظات.</w:t>
      </w:r>
    </w:p>
    <w:p>
      <w:pPr>
        <w:pStyle w:val="ListBullet"/>
        <w:spacing w:after="40"/>
        <w:jc w:val="right"/>
        <w:bidi/>
      </w:pPr>
      <w:r>
        <w:rPr>
          <w:rFonts w:ascii="Arial" w:hAnsi="Arial" w:eastAsia="Arial"/>
          <w:sz w:val="20"/>
        </w:rPr>
        <w:t>تقرير العهد: مبلغ العهدة، الشخص المستلم، تاريخ التصفية، العجز، إجراء العجز، والملاحظات.</w:t>
      </w:r>
    </w:p>
    <w:p>
      <w:pPr>
        <w:pStyle w:val="ListBullet"/>
        <w:spacing w:after="40"/>
        <w:jc w:val="right"/>
        <w:bidi/>
      </w:pPr>
      <w:r>
        <w:rPr>
          <w:rFonts w:ascii="Arial" w:hAnsi="Arial" w:eastAsia="Arial"/>
          <w:sz w:val="20"/>
        </w:rPr>
        <w:t>التقرير المالي اليومي يجمع المؤشرات السابقة في عرض واحد.</w:t>
      </w:r>
    </w:p>
    <w:p>
      <w:pPr>
        <w:pStyle w:val="Heading2"/>
        <w:spacing w:before="180" w:after="100"/>
        <w:jc w:val="right"/>
        <w:bidi/>
      </w:pPr>
      <w:r>
        <w:t>الشؤون الإدارية</w:t>
      </w:r>
    </w:p>
    <w:p>
      <w:pPr>
        <w:pStyle w:val="ListBullet"/>
        <w:spacing w:after="40"/>
        <w:jc w:val="right"/>
        <w:bidi/>
      </w:pPr>
      <w:r>
        <w:rPr>
          <w:rFonts w:ascii="Arial" w:hAnsi="Arial" w:eastAsia="Arial"/>
          <w:sz w:val="20"/>
        </w:rPr>
        <w:t>الأعمال الإدارية مع شرح ووصف العمل، نوع الإجراء إلكتروني/يدوي، والحالة منجز/لم ينجز/منجز جزئياً.</w:t>
      </w:r>
    </w:p>
    <w:p>
      <w:pPr>
        <w:pStyle w:val="ListBullet"/>
        <w:spacing w:after="40"/>
        <w:jc w:val="right"/>
        <w:bidi/>
      </w:pPr>
      <w:r>
        <w:rPr>
          <w:rFonts w:ascii="Arial" w:hAnsi="Arial" w:eastAsia="Arial"/>
          <w:sz w:val="20"/>
        </w:rPr>
        <w:t>جدول الأعمال المطلوبة وتاريخ الإنجاز المحدد.</w:t>
      </w:r>
    </w:p>
    <w:p>
      <w:pPr>
        <w:pStyle w:val="ListBullet"/>
        <w:spacing w:after="40"/>
        <w:jc w:val="right"/>
        <w:bidi/>
      </w:pPr>
      <w:r>
        <w:rPr>
          <w:rFonts w:ascii="Arial" w:hAnsi="Arial" w:eastAsia="Arial"/>
          <w:sz w:val="20"/>
        </w:rPr>
        <w:t>التقرير الإداري اليومي ومتابعة البنود غير المنجزة وأسبابها.</w:t>
      </w:r>
    </w:p>
    <w:p>
      <w:pPr>
        <w:pStyle w:val="Heading2"/>
        <w:spacing w:before="180" w:after="100"/>
        <w:jc w:val="right"/>
        <w:bidi/>
      </w:pPr>
      <w:r>
        <w:t>الصيانة والمكائن</w:t>
      </w:r>
    </w:p>
    <w:p>
      <w:pPr>
        <w:spacing w:after="100" w:line="283" w:lineRule="auto"/>
        <w:jc w:val="right"/>
        <w:bidi/>
      </w:pPr>
      <w:r>
        <w:rPr>
          <w:rFonts w:ascii="Arial" w:hAnsi="Arial" w:eastAsia="Arial"/>
          <w:sz w:val="21"/>
        </w:rPr>
        <w:t>تشمل الصيانة الدورية والطارئة، المعدات المتوقفة، التوصيات، سجل الآلة، وتقارير مقارنة المكائن. التقرير الشامل يربط المكائن العاملة والمتوقفة بمدة العمل والسبب عند توفر البيانات.</w:t>
      </w:r>
    </w:p>
    <w:p>
      <w:pPr>
        <w:pStyle w:val="Heading1"/>
        <w:spacing w:before="260" w:after="100"/>
        <w:jc w:val="right"/>
        <w:bidi/>
      </w:pPr>
      <w:r>
        <w:t>10. الإشعارات والمرفقات والتوقيعات</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4C81"/>
          </w:tcPr>
          <w:p>
            <w:pPr>
              <w:spacing w:after="0" w:line="252" w:lineRule="auto"/>
              <w:jc w:val="right"/>
            </w:pPr>
            <w:r/>
            <w:r>
              <w:rPr>
                <w:rFonts w:ascii="Arial" w:hAnsi="Arial" w:eastAsia="Arial"/>
                <w:b/>
                <w:color w:val="FFFFFF"/>
                <w:sz w:val="18"/>
              </w:rPr>
              <w:t>العنصر</w:t>
            </w:r>
          </w:p>
        </w:tc>
        <w:tc>
          <w:tcPr>
            <w:tcW w:type="dxa" w:w="7488"/>
            <w:vAlign w:val="center"/>
            <w:shd w:fill="0F4C81"/>
          </w:tcPr>
          <w:p>
            <w:pPr>
              <w:spacing w:after="0" w:line="252" w:lineRule="auto"/>
              <w:jc w:val="right"/>
            </w:pPr>
            <w:r/>
            <w:r>
              <w:rPr>
                <w:rFonts w:ascii="Arial" w:hAnsi="Arial" w:eastAsia="Arial"/>
                <w:b/>
                <w:color w:val="FFFFFF"/>
                <w:sz w:val="18"/>
              </w:rPr>
              <w:t>آلية العمل</w:t>
            </w:r>
          </w:p>
        </w:tc>
      </w:tr>
      <w:tr>
        <w:tc>
          <w:tcPr>
            <w:tcW w:type="dxa" w:w="2160"/>
            <w:vAlign w:val="center"/>
            <w:shd w:fill="F1F5F9"/>
          </w:tcPr>
          <w:p>
            <w:pPr>
              <w:spacing w:after="0" w:line="252" w:lineRule="auto"/>
              <w:jc w:val="right"/>
            </w:pPr>
            <w:r/>
            <w:r>
              <w:rPr>
                <w:rFonts w:ascii="Arial" w:hAnsi="Arial" w:eastAsia="Arial"/>
                <w:b w:val="0"/>
                <w:color w:val="1F2937"/>
                <w:sz w:val="17"/>
              </w:rPr>
              <w:t>إشعارات النظام</w:t>
            </w:r>
          </w:p>
        </w:tc>
        <w:tc>
          <w:tcPr>
            <w:tcW w:type="dxa" w:w="7488"/>
            <w:vAlign w:val="center"/>
            <w:shd w:fill="F1F5F9"/>
          </w:tcPr>
          <w:p>
            <w:pPr>
              <w:spacing w:after="0" w:line="252" w:lineRule="auto"/>
              <w:jc w:val="right"/>
            </w:pPr>
            <w:r/>
            <w:r>
              <w:rPr>
                <w:rFonts w:ascii="Arial" w:hAnsi="Arial" w:eastAsia="Arial"/>
                <w:b w:val="0"/>
                <w:color w:val="1F2937"/>
                <w:sz w:val="17"/>
              </w:rPr>
              <w:t>تنبيهات مرتبطة بالمخزون، نتيجة العينة، اعتماد الطلب، انخفاض الرصيد، والكميات المتبقية.</w:t>
            </w:r>
          </w:p>
        </w:tc>
      </w:tr>
      <w:tr>
        <w:tc>
          <w:tcPr>
            <w:tcW w:type="dxa" w:w="2160"/>
            <w:vAlign w:val="center"/>
          </w:tcPr>
          <w:p>
            <w:pPr>
              <w:spacing w:after="0" w:line="252" w:lineRule="auto"/>
              <w:jc w:val="right"/>
            </w:pPr>
            <w:r/>
            <w:r>
              <w:rPr>
                <w:rFonts w:ascii="Arial" w:hAnsi="Arial" w:eastAsia="Arial"/>
                <w:b w:val="0"/>
                <w:color w:val="1F2937"/>
                <w:sz w:val="17"/>
              </w:rPr>
              <w:t>الرسائل الداخلية</w:t>
            </w:r>
          </w:p>
        </w:tc>
        <w:tc>
          <w:tcPr>
            <w:tcW w:type="dxa" w:w="7488"/>
            <w:vAlign w:val="center"/>
          </w:tcPr>
          <w:p>
            <w:pPr>
              <w:spacing w:after="0" w:line="252" w:lineRule="auto"/>
              <w:jc w:val="right"/>
            </w:pPr>
            <w:r/>
            <w:r>
              <w:rPr>
                <w:rFonts w:ascii="Arial" w:hAnsi="Arial" w:eastAsia="Arial"/>
                <w:b w:val="0"/>
                <w:color w:val="1F2937"/>
                <w:sz w:val="17"/>
              </w:rPr>
              <w:t>توجيه الطلبات أو الإحالات إلى مستخدم أو قسم، مع حالة قراءة ورسالة مرتبطة بالسجل.</w:t>
            </w:r>
          </w:p>
        </w:tc>
      </w:tr>
      <w:tr>
        <w:tc>
          <w:tcPr>
            <w:tcW w:type="dxa" w:w="2160"/>
            <w:vAlign w:val="center"/>
            <w:shd w:fill="F1F5F9"/>
          </w:tcPr>
          <w:p>
            <w:pPr>
              <w:spacing w:after="0" w:line="252" w:lineRule="auto"/>
              <w:jc w:val="right"/>
            </w:pPr>
            <w:r/>
            <w:r>
              <w:rPr>
                <w:rFonts w:ascii="Arial" w:hAnsi="Arial" w:eastAsia="Arial"/>
                <w:b w:val="0"/>
                <w:color w:val="1F2937"/>
                <w:sz w:val="17"/>
              </w:rPr>
              <w:t>المرفقات</w:t>
            </w:r>
          </w:p>
        </w:tc>
        <w:tc>
          <w:tcPr>
            <w:tcW w:type="dxa" w:w="7488"/>
            <w:vAlign w:val="center"/>
            <w:shd w:fill="F1F5F9"/>
          </w:tcPr>
          <w:p>
            <w:pPr>
              <w:spacing w:after="0" w:line="252" w:lineRule="auto"/>
              <w:jc w:val="right"/>
            </w:pPr>
            <w:r/>
            <w:r>
              <w:rPr>
                <w:rFonts w:ascii="Arial" w:hAnsi="Arial" w:eastAsia="Arial"/>
                <w:b w:val="0"/>
                <w:color w:val="1F2937"/>
                <w:sz w:val="17"/>
              </w:rPr>
              <w:t>صورة، ملف، أو مرفق من الجوال؛ تخزن مع الرابط والنوع والاسم، وتظهر في سجل العملية.</w:t>
            </w:r>
          </w:p>
        </w:tc>
      </w:tr>
      <w:tr>
        <w:tc>
          <w:tcPr>
            <w:tcW w:type="dxa" w:w="2160"/>
            <w:vAlign w:val="center"/>
          </w:tcPr>
          <w:p>
            <w:pPr>
              <w:spacing w:after="0" w:line="252" w:lineRule="auto"/>
              <w:jc w:val="right"/>
            </w:pPr>
            <w:r/>
            <w:r>
              <w:rPr>
                <w:rFonts w:ascii="Arial" w:hAnsi="Arial" w:eastAsia="Arial"/>
                <w:b w:val="0"/>
                <w:color w:val="1F2937"/>
                <w:sz w:val="17"/>
              </w:rPr>
              <w:t>التوقيع الإلكتروني</w:t>
            </w:r>
          </w:p>
        </w:tc>
        <w:tc>
          <w:tcPr>
            <w:tcW w:type="dxa" w:w="7488"/>
            <w:vAlign w:val="center"/>
          </w:tcPr>
          <w:p>
            <w:pPr>
              <w:spacing w:after="0" w:line="252" w:lineRule="auto"/>
              <w:jc w:val="right"/>
            </w:pPr>
            <w:r/>
            <w:r>
              <w:rPr>
                <w:rFonts w:ascii="Arial" w:hAnsi="Arial" w:eastAsia="Arial"/>
                <w:b w:val="0"/>
                <w:color w:val="1F2937"/>
                <w:sz w:val="17"/>
              </w:rPr>
              <w:t>يضاف عند الطلب أو قرار الاعتماد أو نتيجة الإنتاج، مع اسم الحساب والتاريخ والوقت.</w:t>
            </w:r>
          </w:p>
        </w:tc>
      </w:tr>
      <w:tr>
        <w:tc>
          <w:tcPr>
            <w:tcW w:type="dxa" w:w="2160"/>
            <w:vAlign w:val="center"/>
            <w:shd w:fill="F1F5F9"/>
          </w:tcPr>
          <w:p>
            <w:pPr>
              <w:spacing w:after="0" w:line="252" w:lineRule="auto"/>
              <w:jc w:val="right"/>
            </w:pPr>
            <w:r/>
            <w:r>
              <w:rPr>
                <w:rFonts w:ascii="Arial" w:hAnsi="Arial" w:eastAsia="Arial"/>
                <w:b w:val="0"/>
                <w:color w:val="1F2937"/>
                <w:sz w:val="17"/>
              </w:rPr>
              <w:t>الرابط العام</w:t>
            </w:r>
          </w:p>
        </w:tc>
        <w:tc>
          <w:tcPr>
            <w:tcW w:type="dxa" w:w="7488"/>
            <w:vAlign w:val="center"/>
            <w:shd w:fill="F1F5F9"/>
          </w:tcPr>
          <w:p>
            <w:pPr>
              <w:spacing w:after="0" w:line="252" w:lineRule="auto"/>
              <w:jc w:val="right"/>
            </w:pPr>
            <w:r/>
            <w:r>
              <w:rPr>
                <w:rFonts w:ascii="Arial" w:hAnsi="Arial" w:eastAsia="Arial"/>
                <w:b w:val="0"/>
                <w:color w:val="1F2937"/>
                <w:sz w:val="17"/>
              </w:rPr>
              <w:t>محصور في مسار اعتماد العينة ومحمّي برمز، ولا يفتح بقية النظام أو بيانات العملاء.</w:t>
            </w:r>
          </w:p>
        </w:tc>
      </w:tr>
    </w:tbl>
    <w:p>
      <w:pPr>
        <w:spacing w:after="20"/>
      </w:pPr>
    </w:p>
    <w:p>
      <w:pPr>
        <w:pStyle w:val="Heading1"/>
        <w:spacing w:before="260" w:after="100"/>
        <w:jc w:val="right"/>
        <w:bidi/>
      </w:pPr>
      <w:r>
        <w:t>11. قواعد البيانات والضوابط</w:t>
      </w:r>
    </w:p>
    <w:p>
      <w:pPr>
        <w:spacing w:after="100" w:line="283" w:lineRule="auto"/>
        <w:jc w:val="right"/>
        <w:bidi/>
      </w:pPr>
      <w:r>
        <w:rPr>
          <w:rFonts w:ascii="Arial" w:hAnsi="Arial" w:eastAsia="Arial"/>
          <w:sz w:val="21"/>
        </w:rPr>
        <w:t>مخطط قاعدة البيانات مقسم إلى جداول تشغيلية ومساندة. الجداول الحساسة لا تعتمد على واجهة المستخدم وحدها؛ الإجراء الخادمي يعيد فحص الهوية والصلاحية والحالة قبل الكتابة.</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0F4C81"/>
          </w:tcPr>
          <w:p>
            <w:pPr>
              <w:spacing w:after="0" w:line="252" w:lineRule="auto"/>
              <w:jc w:val="right"/>
            </w:pPr>
            <w:r/>
            <w:r>
              <w:rPr>
                <w:rFonts w:ascii="Arial" w:hAnsi="Arial" w:eastAsia="Arial"/>
                <w:b/>
                <w:color w:val="FFFFFF"/>
                <w:sz w:val="18"/>
              </w:rPr>
              <w:t>مجموعة البيانات</w:t>
            </w:r>
          </w:p>
        </w:tc>
        <w:tc>
          <w:tcPr>
            <w:tcW w:type="dxa" w:w="7200"/>
            <w:vAlign w:val="center"/>
            <w:shd w:fill="0F4C81"/>
          </w:tcPr>
          <w:p>
            <w:pPr>
              <w:spacing w:after="0" w:line="252" w:lineRule="auto"/>
              <w:jc w:val="right"/>
            </w:pPr>
            <w:r/>
            <w:r>
              <w:rPr>
                <w:rFonts w:ascii="Arial" w:hAnsi="Arial" w:eastAsia="Arial"/>
                <w:b/>
                <w:color w:val="FFFFFF"/>
                <w:sz w:val="18"/>
              </w:rPr>
              <w:t>الجداول/المجال</w:t>
            </w:r>
          </w:p>
        </w:tc>
      </w:tr>
      <w:tr>
        <w:tc>
          <w:tcPr>
            <w:tcW w:type="dxa" w:w="2448"/>
            <w:vAlign w:val="center"/>
            <w:shd w:fill="F1F5F9"/>
          </w:tcPr>
          <w:p>
            <w:pPr>
              <w:spacing w:after="0" w:line="252" w:lineRule="auto"/>
              <w:jc w:val="right"/>
            </w:pPr>
            <w:r/>
            <w:r>
              <w:rPr>
                <w:rFonts w:ascii="Arial" w:hAnsi="Arial" w:eastAsia="Arial"/>
                <w:b w:val="0"/>
                <w:color w:val="1F2937"/>
                <w:sz w:val="17"/>
              </w:rPr>
              <w:t>المستخدمون والصلاحيات</w:t>
            </w:r>
          </w:p>
        </w:tc>
        <w:tc>
          <w:tcPr>
            <w:tcW w:type="dxa" w:w="7200"/>
            <w:vAlign w:val="center"/>
            <w:shd w:fill="F1F5F9"/>
          </w:tcPr>
          <w:p>
            <w:pPr>
              <w:spacing w:after="0" w:line="252" w:lineRule="auto"/>
              <w:jc w:val="right"/>
            </w:pPr>
            <w:r/>
            <w:r>
              <w:rPr>
                <w:rFonts w:ascii="Arial" w:hAnsi="Arial" w:eastAsia="Arial"/>
                <w:b w:val="0"/>
                <w:color w:val="1F2937"/>
                <w:sz w:val="17"/>
              </w:rPr>
              <w:t>users، departments، employeeStageAssignment، manufacturingWorkers، systemSettings.</w:t>
            </w:r>
          </w:p>
        </w:tc>
      </w:tr>
      <w:tr>
        <w:tc>
          <w:tcPr>
            <w:tcW w:type="dxa" w:w="2448"/>
            <w:vAlign w:val="center"/>
          </w:tcPr>
          <w:p>
            <w:pPr>
              <w:spacing w:after="0" w:line="252" w:lineRule="auto"/>
              <w:jc w:val="right"/>
            </w:pPr>
            <w:r/>
            <w:r>
              <w:rPr>
                <w:rFonts w:ascii="Arial" w:hAnsi="Arial" w:eastAsia="Arial"/>
                <w:b w:val="0"/>
                <w:color w:val="1F2937"/>
                <w:sz w:val="17"/>
              </w:rPr>
              <w:t>الإنتاج والمراحل</w:t>
            </w:r>
          </w:p>
        </w:tc>
        <w:tc>
          <w:tcPr>
            <w:tcW w:type="dxa" w:w="7200"/>
            <w:vAlign w:val="center"/>
          </w:tcPr>
          <w:p>
            <w:pPr>
              <w:spacing w:after="0" w:line="252" w:lineRule="auto"/>
              <w:jc w:val="right"/>
            </w:pPr>
            <w:r/>
            <w:r>
              <w:rPr>
                <w:rFonts w:ascii="Arial" w:hAnsi="Arial" w:eastAsia="Arial"/>
                <w:b w:val="0"/>
                <w:color w:val="1F2937"/>
                <w:sz w:val="17"/>
              </w:rPr>
              <w:t>production، manufacturingStages، productionStages، products، productTypes، machines.</w:t>
            </w:r>
          </w:p>
        </w:tc>
      </w:tr>
      <w:tr>
        <w:tc>
          <w:tcPr>
            <w:tcW w:type="dxa" w:w="2448"/>
            <w:vAlign w:val="center"/>
            <w:shd w:fill="F1F5F9"/>
          </w:tcPr>
          <w:p>
            <w:pPr>
              <w:spacing w:after="0" w:line="252" w:lineRule="auto"/>
              <w:jc w:val="right"/>
            </w:pPr>
            <w:r/>
            <w:r>
              <w:rPr>
                <w:rFonts w:ascii="Arial" w:hAnsi="Arial" w:eastAsia="Arial"/>
                <w:b w:val="0"/>
                <w:color w:val="1F2937"/>
                <w:sz w:val="17"/>
              </w:rPr>
              <w:t>التتبع والحركات</w:t>
            </w:r>
          </w:p>
        </w:tc>
        <w:tc>
          <w:tcPr>
            <w:tcW w:type="dxa" w:w="7200"/>
            <w:vAlign w:val="center"/>
            <w:shd w:fill="F1F5F9"/>
          </w:tcPr>
          <w:p>
            <w:pPr>
              <w:spacing w:after="0" w:line="252" w:lineRule="auto"/>
              <w:jc w:val="right"/>
            </w:pPr>
            <w:r/>
            <w:r>
              <w:rPr>
                <w:rFonts w:ascii="Arial" w:hAnsi="Arial" w:eastAsia="Arial"/>
                <w:b w:val="0"/>
                <w:color w:val="1F2937"/>
                <w:sz w:val="17"/>
              </w:rPr>
              <w:t>productTracking، remaining quantities والمنطق المرتبط بحركات التسليم والاستلام.</w:t>
            </w:r>
          </w:p>
        </w:tc>
      </w:tr>
      <w:tr>
        <w:tc>
          <w:tcPr>
            <w:tcW w:type="dxa" w:w="2448"/>
            <w:vAlign w:val="center"/>
          </w:tcPr>
          <w:p>
            <w:pPr>
              <w:spacing w:after="0" w:line="252" w:lineRule="auto"/>
              <w:jc w:val="right"/>
            </w:pPr>
            <w:r/>
            <w:r>
              <w:rPr>
                <w:rFonts w:ascii="Arial" w:hAnsi="Arial" w:eastAsia="Arial"/>
                <w:b w:val="0"/>
                <w:color w:val="1F2937"/>
                <w:sz w:val="17"/>
              </w:rPr>
              <w:t>العملاء والمبيعات</w:t>
            </w:r>
          </w:p>
        </w:tc>
        <w:tc>
          <w:tcPr>
            <w:tcW w:type="dxa" w:w="7200"/>
            <w:vAlign w:val="center"/>
          </w:tcPr>
          <w:p>
            <w:pPr>
              <w:spacing w:after="0" w:line="252" w:lineRule="auto"/>
              <w:jc w:val="right"/>
            </w:pPr>
            <w:r/>
            <w:r>
              <w:rPr>
                <w:rFonts w:ascii="Arial" w:hAnsi="Arial" w:eastAsia="Arial"/>
                <w:b w:val="0"/>
                <w:color w:val="1F2937"/>
                <w:sz w:val="17"/>
              </w:rPr>
              <w:t>customers، representativeTransactions، representativeTransactionItems، representativeCollections، representativeWorkflowEvents.</w:t>
            </w:r>
          </w:p>
        </w:tc>
      </w:tr>
      <w:tr>
        <w:tc>
          <w:tcPr>
            <w:tcW w:type="dxa" w:w="2448"/>
            <w:vAlign w:val="center"/>
            <w:shd w:fill="F1F5F9"/>
          </w:tcPr>
          <w:p>
            <w:pPr>
              <w:spacing w:after="0" w:line="252" w:lineRule="auto"/>
              <w:jc w:val="right"/>
            </w:pPr>
            <w:r/>
            <w:r>
              <w:rPr>
                <w:rFonts w:ascii="Arial" w:hAnsi="Arial" w:eastAsia="Arial"/>
                <w:b w:val="0"/>
                <w:color w:val="1F2937"/>
                <w:sz w:val="17"/>
              </w:rPr>
              <w:t>العينات والتصنيع الخاص</w:t>
            </w:r>
          </w:p>
        </w:tc>
        <w:tc>
          <w:tcPr>
            <w:tcW w:type="dxa" w:w="7200"/>
            <w:vAlign w:val="center"/>
            <w:shd w:fill="F1F5F9"/>
          </w:tcPr>
          <w:p>
            <w:pPr>
              <w:spacing w:after="0" w:line="252" w:lineRule="auto"/>
              <w:jc w:val="right"/>
            </w:pPr>
            <w:r/>
            <w:r>
              <w:rPr>
                <w:rFonts w:ascii="Arial" w:hAnsi="Arial" w:eastAsia="Arial"/>
                <w:b w:val="0"/>
                <w:color w:val="1F2937"/>
                <w:sz w:val="17"/>
              </w:rPr>
              <w:t>sampleRequests، productManufacturingRequests، productManufacturingRequestEvents.</w:t>
            </w:r>
          </w:p>
        </w:tc>
      </w:tr>
      <w:tr>
        <w:tc>
          <w:tcPr>
            <w:tcW w:type="dxa" w:w="2448"/>
            <w:vAlign w:val="center"/>
          </w:tcPr>
          <w:p>
            <w:pPr>
              <w:spacing w:after="0" w:line="252" w:lineRule="auto"/>
              <w:jc w:val="right"/>
            </w:pPr>
            <w:r/>
            <w:r>
              <w:rPr>
                <w:rFonts w:ascii="Arial" w:hAnsi="Arial" w:eastAsia="Arial"/>
                <w:b w:val="0"/>
                <w:color w:val="1F2937"/>
                <w:sz w:val="17"/>
              </w:rPr>
              <w:t>المخزون</w:t>
            </w:r>
          </w:p>
        </w:tc>
        <w:tc>
          <w:tcPr>
            <w:tcW w:type="dxa" w:w="7200"/>
            <w:vAlign w:val="center"/>
          </w:tcPr>
          <w:p>
            <w:pPr>
              <w:spacing w:after="0" w:line="252" w:lineRule="auto"/>
              <w:jc w:val="right"/>
            </w:pPr>
            <w:r/>
            <w:r>
              <w:rPr>
                <w:rFonts w:ascii="Arial" w:hAnsi="Arial" w:eastAsia="Arial"/>
                <w:b w:val="0"/>
                <w:color w:val="1F2937"/>
                <w:sz w:val="17"/>
              </w:rPr>
              <w:t>finishedWarehouseStock، finishedWarehouseMovements، rawMaterials، incomingMaterials، materialConsumption.</w:t>
            </w:r>
          </w:p>
        </w:tc>
      </w:tr>
      <w:tr>
        <w:tc>
          <w:tcPr>
            <w:tcW w:type="dxa" w:w="2448"/>
            <w:vAlign w:val="center"/>
            <w:shd w:fill="F1F5F9"/>
          </w:tcPr>
          <w:p>
            <w:pPr>
              <w:spacing w:after="0" w:line="252" w:lineRule="auto"/>
              <w:jc w:val="right"/>
            </w:pPr>
            <w:r/>
            <w:r>
              <w:rPr>
                <w:rFonts w:ascii="Arial" w:hAnsi="Arial" w:eastAsia="Arial"/>
                <w:b w:val="0"/>
                <w:color w:val="1F2937"/>
                <w:sz w:val="17"/>
              </w:rPr>
              <w:t>التقارير والتدقيق</w:t>
            </w:r>
          </w:p>
        </w:tc>
        <w:tc>
          <w:tcPr>
            <w:tcW w:type="dxa" w:w="7200"/>
            <w:vAlign w:val="center"/>
            <w:shd w:fill="F1F5F9"/>
          </w:tcPr>
          <w:p>
            <w:pPr>
              <w:spacing w:after="0" w:line="252" w:lineRule="auto"/>
              <w:jc w:val="right"/>
            </w:pPr>
            <w:r/>
            <w:r>
              <w:rPr>
                <w:rFonts w:ascii="Arial" w:hAnsi="Arial" w:eastAsia="Arial"/>
                <w:b w:val="0"/>
                <w:color w:val="1F2937"/>
                <w:sz w:val="17"/>
              </w:rPr>
              <w:t>reports، alerts، internalMessages، activityLog، auditLog، daily/financial/administrative reports.</w:t>
            </w:r>
          </w:p>
        </w:tc>
      </w:tr>
    </w:tbl>
    <w:p>
      <w:pPr>
        <w:spacing w:after="20"/>
      </w:pPr>
    </w:p>
    <w:p>
      <w:pPr>
        <w:pStyle w:val="Heading2"/>
        <w:spacing w:before="180" w:after="100"/>
        <w:jc w:val="right"/>
        <w:bidi/>
      </w:pPr>
      <w:r>
        <w:t>ضوابط البيانات</w:t>
      </w:r>
    </w:p>
    <w:p>
      <w:pPr>
        <w:pStyle w:val="ListBullet"/>
        <w:spacing w:after="40"/>
        <w:jc w:val="right"/>
        <w:bidi/>
      </w:pPr>
      <w:r>
        <w:rPr>
          <w:rFonts w:ascii="Arial" w:hAnsi="Arial" w:eastAsia="Arial"/>
          <w:sz w:val="20"/>
        </w:rPr>
        <w:t>التحديثات الحرجة تستخدم شروط الحالة الحالية؛ لا تقبل الحركة إذا تغيرت الحالة بين القراءة والكتابة.</w:t>
      </w:r>
    </w:p>
    <w:p>
      <w:pPr>
        <w:pStyle w:val="ListBullet"/>
        <w:spacing w:after="40"/>
        <w:jc w:val="right"/>
        <w:bidi/>
      </w:pPr>
      <w:r>
        <w:rPr>
          <w:rFonts w:ascii="Arial" w:hAnsi="Arial" w:eastAsia="Arial"/>
          <w:sz w:val="20"/>
        </w:rPr>
        <w:t>القرارات العامة للعينة ذرية، لذلك لا يمكن لعميلين أو تبويبين تسجيل قرارين متعارضين.</w:t>
      </w:r>
    </w:p>
    <w:p>
      <w:pPr>
        <w:pStyle w:val="ListBullet"/>
        <w:spacing w:after="40"/>
        <w:jc w:val="right"/>
        <w:bidi/>
      </w:pPr>
      <w:r>
        <w:rPr>
          <w:rFonts w:ascii="Arial" w:hAnsi="Arial" w:eastAsia="Arial"/>
          <w:sz w:val="20"/>
        </w:rPr>
        <w:t>الأرشفة بدلاً من الحذف الفعلي تحافظ على التقارير، خصوصاً للموظفين والعملاء ذوي الحركات السابقة.</w:t>
      </w:r>
    </w:p>
    <w:p>
      <w:pPr>
        <w:pStyle w:val="ListBullet"/>
        <w:spacing w:after="40"/>
        <w:jc w:val="right"/>
        <w:bidi/>
      </w:pPr>
      <w:r>
        <w:rPr>
          <w:rFonts w:ascii="Arial" w:hAnsi="Arial" w:eastAsia="Arial"/>
          <w:sz w:val="20"/>
        </w:rPr>
        <w:t>الحذف التشغيلي مقيد بالحالة والصلاحية، ولا يسمح بحذف طلب بدأ اعتماده.</w:t>
      </w:r>
    </w:p>
    <w:p>
      <w:pPr>
        <w:pStyle w:val="ListBullet"/>
        <w:spacing w:after="40"/>
        <w:jc w:val="right"/>
        <w:bidi/>
      </w:pPr>
      <w:r>
        <w:rPr>
          <w:rFonts w:ascii="Arial" w:hAnsi="Arial" w:eastAsia="Arial"/>
          <w:sz w:val="20"/>
        </w:rPr>
        <w:t>الباركود والمقاس واللون يستخدمون لتحديد النسخة الصحيحة قبل خصم المخزون.</w:t>
      </w:r>
    </w:p>
    <w:p>
      <w:pPr>
        <w:pStyle w:val="ListBullet"/>
        <w:spacing w:after="40"/>
        <w:jc w:val="right"/>
        <w:bidi/>
      </w:pPr>
      <w:r>
        <w:rPr>
          <w:rFonts w:ascii="Arial" w:hAnsi="Arial" w:eastAsia="Arial"/>
          <w:sz w:val="20"/>
        </w:rPr>
        <w:t>سجل الحدث يوضح من نفذ، ماذا فعل، الحالة السابقة، الحالة اللاحقة، السبب، المرفقات، والتوقيع عندما تكون متاحة.</w:t>
      </w:r>
    </w:p>
    <w:p>
      <w:pPr>
        <w:pStyle w:val="Heading1"/>
        <w:spacing w:before="260" w:after="100"/>
        <w:jc w:val="right"/>
        <w:bidi/>
      </w:pPr>
      <w:r>
        <w:t>12. الاختبارات وضمان الجودة</w:t>
      </w:r>
    </w:p>
    <w:p>
      <w:pPr>
        <w:pStyle w:val="Heading2"/>
        <w:spacing w:before="180" w:after="100"/>
        <w:jc w:val="right"/>
        <w:bidi/>
      </w:pPr>
      <w:r>
        <w:t>اختبارات المسارات الحرجة</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0F4C81"/>
          </w:tcPr>
          <w:p>
            <w:pPr>
              <w:spacing w:after="0" w:line="252" w:lineRule="auto"/>
              <w:jc w:val="right"/>
            </w:pPr>
            <w:r/>
            <w:r>
              <w:rPr>
                <w:rFonts w:ascii="Arial" w:hAnsi="Arial" w:eastAsia="Arial"/>
                <w:b/>
                <w:color w:val="FFFFFF"/>
                <w:sz w:val="18"/>
              </w:rPr>
              <w:t>النطاق</w:t>
            </w:r>
          </w:p>
        </w:tc>
        <w:tc>
          <w:tcPr>
            <w:tcW w:type="dxa" w:w="7488"/>
            <w:vAlign w:val="center"/>
            <w:shd w:fill="0F4C81"/>
          </w:tcPr>
          <w:p>
            <w:pPr>
              <w:spacing w:after="0" w:line="252" w:lineRule="auto"/>
              <w:jc w:val="right"/>
            </w:pPr>
            <w:r/>
            <w:r>
              <w:rPr>
                <w:rFonts w:ascii="Arial" w:hAnsi="Arial" w:eastAsia="Arial"/>
                <w:b/>
                <w:color w:val="FFFFFF"/>
                <w:sz w:val="18"/>
              </w:rPr>
              <w:t>أمثلة على التغطية</w:t>
            </w:r>
          </w:p>
        </w:tc>
      </w:tr>
      <w:tr>
        <w:tc>
          <w:tcPr>
            <w:tcW w:type="dxa" w:w="2160"/>
            <w:vAlign w:val="center"/>
            <w:shd w:fill="F1F5F9"/>
          </w:tcPr>
          <w:p>
            <w:pPr>
              <w:spacing w:after="0" w:line="252" w:lineRule="auto"/>
              <w:jc w:val="right"/>
            </w:pPr>
            <w:r/>
            <w:r>
              <w:rPr>
                <w:rFonts w:ascii="Arial" w:hAnsi="Arial" w:eastAsia="Arial"/>
                <w:b w:val="0"/>
                <w:color w:val="1F2937"/>
                <w:sz w:val="17"/>
              </w:rPr>
              <w:t>الاستلام والتسليم</w:t>
            </w:r>
          </w:p>
        </w:tc>
        <w:tc>
          <w:tcPr>
            <w:tcW w:type="dxa" w:w="7488"/>
            <w:vAlign w:val="center"/>
            <w:shd w:fill="F1F5F9"/>
          </w:tcPr>
          <w:p>
            <w:pPr>
              <w:spacing w:after="0" w:line="252" w:lineRule="auto"/>
              <w:jc w:val="right"/>
            </w:pPr>
            <w:r/>
            <w:r>
              <w:rPr>
                <w:rFonts w:ascii="Arial" w:hAnsi="Arial" w:eastAsia="Arial"/>
                <w:b w:val="0"/>
                <w:color w:val="1F2937"/>
                <w:sz w:val="17"/>
              </w:rPr>
              <w:t>الفصل الوظيفي، الهوية بالمعرف، الانتقال الروسو/القلب، منع التكرار، الباقي، والكمية الجزئية.</w:t>
            </w:r>
          </w:p>
        </w:tc>
      </w:tr>
      <w:tr>
        <w:tc>
          <w:tcPr>
            <w:tcW w:type="dxa" w:w="2160"/>
            <w:vAlign w:val="center"/>
          </w:tcPr>
          <w:p>
            <w:pPr>
              <w:spacing w:after="0" w:line="252" w:lineRule="auto"/>
              <w:jc w:val="right"/>
            </w:pPr>
            <w:r/>
            <w:r>
              <w:rPr>
                <w:rFonts w:ascii="Arial" w:hAnsi="Arial" w:eastAsia="Arial"/>
                <w:b w:val="0"/>
                <w:color w:val="1F2937"/>
                <w:sz w:val="17"/>
              </w:rPr>
              <w:t>الإنتاج</w:t>
            </w:r>
          </w:p>
        </w:tc>
        <w:tc>
          <w:tcPr>
            <w:tcW w:type="dxa" w:w="7488"/>
            <w:vAlign w:val="center"/>
          </w:tcPr>
          <w:p>
            <w:pPr>
              <w:spacing w:after="0" w:line="252" w:lineRule="auto"/>
              <w:jc w:val="right"/>
            </w:pPr>
            <w:r/>
            <w:r>
              <w:rPr>
                <w:rFonts w:ascii="Arial" w:hAnsi="Arial" w:eastAsia="Arial"/>
                <w:b w:val="0"/>
                <w:color w:val="1F2937"/>
                <w:sz w:val="17"/>
              </w:rPr>
              <w:t>الإدخال الدفعي، بيانات الوردية والمكينة، التوزيع، الكميات، ومدد المراحل.</w:t>
            </w:r>
          </w:p>
        </w:tc>
      </w:tr>
      <w:tr>
        <w:tc>
          <w:tcPr>
            <w:tcW w:type="dxa" w:w="2160"/>
            <w:vAlign w:val="center"/>
            <w:shd w:fill="F1F5F9"/>
          </w:tcPr>
          <w:p>
            <w:pPr>
              <w:spacing w:after="0" w:line="252" w:lineRule="auto"/>
              <w:jc w:val="right"/>
            </w:pPr>
            <w:r/>
            <w:r>
              <w:rPr>
                <w:rFonts w:ascii="Arial" w:hAnsi="Arial" w:eastAsia="Arial"/>
                <w:b w:val="0"/>
                <w:color w:val="1F2937"/>
                <w:sz w:val="17"/>
              </w:rPr>
              <w:t>المستودع</w:t>
            </w:r>
          </w:p>
        </w:tc>
        <w:tc>
          <w:tcPr>
            <w:tcW w:type="dxa" w:w="7488"/>
            <w:vAlign w:val="center"/>
            <w:shd w:fill="F1F5F9"/>
          </w:tcPr>
          <w:p>
            <w:pPr>
              <w:spacing w:after="0" w:line="252" w:lineRule="auto"/>
              <w:jc w:val="right"/>
            </w:pPr>
            <w:r/>
            <w:r>
              <w:rPr>
                <w:rFonts w:ascii="Arial" w:hAnsi="Arial" w:eastAsia="Arial"/>
                <w:b w:val="0"/>
                <w:color w:val="1F2937"/>
                <w:sz w:val="17"/>
              </w:rPr>
              <w:t>البحث بالنسخة، الباركود، الخصم بالدرزن والزوج، الحد الأدنى، والحركات.</w:t>
            </w:r>
          </w:p>
        </w:tc>
      </w:tr>
      <w:tr>
        <w:tc>
          <w:tcPr>
            <w:tcW w:type="dxa" w:w="2160"/>
            <w:vAlign w:val="center"/>
          </w:tcPr>
          <w:p>
            <w:pPr>
              <w:spacing w:after="0" w:line="252" w:lineRule="auto"/>
              <w:jc w:val="right"/>
            </w:pPr>
            <w:r/>
            <w:r>
              <w:rPr>
                <w:rFonts w:ascii="Arial" w:hAnsi="Arial" w:eastAsia="Arial"/>
                <w:b w:val="0"/>
                <w:color w:val="1F2937"/>
                <w:sz w:val="17"/>
              </w:rPr>
              <w:t>المبيعات</w:t>
            </w:r>
          </w:p>
        </w:tc>
        <w:tc>
          <w:tcPr>
            <w:tcW w:type="dxa" w:w="7488"/>
            <w:vAlign w:val="center"/>
          </w:tcPr>
          <w:p>
            <w:pPr>
              <w:spacing w:after="0" w:line="252" w:lineRule="auto"/>
              <w:jc w:val="right"/>
            </w:pPr>
            <w:r/>
            <w:r>
              <w:rPr>
                <w:rFonts w:ascii="Arial" w:hAnsi="Arial" w:eastAsia="Arial"/>
                <w:b w:val="0"/>
                <w:color w:val="1F2937"/>
                <w:sz w:val="17"/>
              </w:rPr>
              <w:t>حفظ العميل مرة واحدة، صلاحيات المندوب، الطلبات والزيارات والتحصيل، وطباعة الأداء.</w:t>
            </w:r>
          </w:p>
        </w:tc>
      </w:tr>
      <w:tr>
        <w:tc>
          <w:tcPr>
            <w:tcW w:type="dxa" w:w="2160"/>
            <w:vAlign w:val="center"/>
            <w:shd w:fill="F1F5F9"/>
          </w:tcPr>
          <w:p>
            <w:pPr>
              <w:spacing w:after="0" w:line="252" w:lineRule="auto"/>
              <w:jc w:val="right"/>
            </w:pPr>
            <w:r/>
            <w:r>
              <w:rPr>
                <w:rFonts w:ascii="Arial" w:hAnsi="Arial" w:eastAsia="Arial"/>
                <w:b w:val="0"/>
                <w:color w:val="1F2937"/>
                <w:sz w:val="17"/>
              </w:rPr>
              <w:t>العينات والتصنيع الخاص</w:t>
            </w:r>
          </w:p>
        </w:tc>
        <w:tc>
          <w:tcPr>
            <w:tcW w:type="dxa" w:w="7488"/>
            <w:vAlign w:val="center"/>
            <w:shd w:fill="F1F5F9"/>
          </w:tcPr>
          <w:p>
            <w:pPr>
              <w:spacing w:after="0" w:line="252" w:lineRule="auto"/>
              <w:jc w:val="right"/>
            </w:pPr>
            <w:r/>
            <w:r>
              <w:rPr>
                <w:rFonts w:ascii="Arial" w:hAnsi="Arial" w:eastAsia="Arial"/>
                <w:b w:val="0"/>
                <w:color w:val="1F2937"/>
                <w:sz w:val="17"/>
              </w:rPr>
              <w:t>الرابط العام، الموافقة والرفض، سبب الرفض، المرفقات، نتيجة الإنتاج، سبب عدم الإنتاج، الفلتر والتقرير الشهري.</w:t>
            </w:r>
          </w:p>
        </w:tc>
      </w:tr>
      <w:tr>
        <w:tc>
          <w:tcPr>
            <w:tcW w:type="dxa" w:w="2160"/>
            <w:vAlign w:val="center"/>
          </w:tcPr>
          <w:p>
            <w:pPr>
              <w:spacing w:after="0" w:line="252" w:lineRule="auto"/>
              <w:jc w:val="right"/>
            </w:pPr>
            <w:r/>
            <w:r>
              <w:rPr>
                <w:rFonts w:ascii="Arial" w:hAnsi="Arial" w:eastAsia="Arial"/>
                <w:b w:val="0"/>
                <w:color w:val="1F2937"/>
                <w:sz w:val="17"/>
              </w:rPr>
              <w:t>التقارير والطباعة</w:t>
            </w:r>
          </w:p>
        </w:tc>
        <w:tc>
          <w:tcPr>
            <w:tcW w:type="dxa" w:w="7488"/>
            <w:vAlign w:val="center"/>
          </w:tcPr>
          <w:p>
            <w:pPr>
              <w:spacing w:after="0" w:line="252" w:lineRule="auto"/>
              <w:jc w:val="right"/>
            </w:pPr>
            <w:r/>
            <w:r>
              <w:rPr>
                <w:rFonts w:ascii="Arial" w:hAnsi="Arial" w:eastAsia="Arial"/>
                <w:b w:val="0"/>
                <w:color w:val="1F2937"/>
                <w:sz w:val="17"/>
              </w:rPr>
              <w:t>النطاق الزمني، الأقسام، الصفحة الواحدة، العربية، والتصدير.</w:t>
            </w:r>
          </w:p>
        </w:tc>
      </w:tr>
    </w:tbl>
    <w:p>
      <w:pPr>
        <w:spacing w:after="20"/>
      </w:pPr>
    </w:p>
    <w:p>
      <w:pPr>
        <w:pStyle w:val="Heading2"/>
        <w:spacing w:before="180" w:after="100"/>
        <w:jc w:val="right"/>
        <w:bidi/>
      </w:pPr>
      <w:r>
        <w:t>نتيجة التحقق الحالي</w:t>
      </w:r>
    </w:p>
    <w:p>
      <w:pPr>
        <w:spacing w:after="100" w:line="283" w:lineRule="auto"/>
        <w:jc w:val="right"/>
        <w:bidi/>
      </w:pPr>
      <w:r>
        <w:rPr>
          <w:rFonts w:ascii="Arial" w:hAnsi="Arial" w:eastAsia="Arial"/>
          <w:sz w:val="21"/>
        </w:rPr>
        <w:t>تم تشغيل TypeScript واختبارات التعديلات الجديدة بنجاح: 15 اختباراً مستهدفاً. كما نجح البناء الإنتاجي وفحص git diff. يجب إعادة تشغيل مجموعة الاختبارات الكاملة بعد أي تعديل لاحق على مسار التصنيع أو الاستلام والتسليم أو الصادرات العامة.</w:t>
      </w:r>
    </w:p>
    <w:tbl>
      <w:tblPr>
        <w:tblW w:type="auto" w:w="0"/>
        <w:jc w:val="center"/>
        <w:tblLook w:firstColumn="1" w:firstRow="1" w:lastColumn="0" w:lastRow="0" w:noHBand="0" w:noVBand="1" w:val="04A0"/>
      </w:tblPr>
      <w:tblGrid>
        <w:gridCol w:w="10224"/>
      </w:tblGrid>
      <w:tr>
        <w:tc>
          <w:tcPr>
            <w:tcW w:type="dxa" w:w="10224"/>
            <w:shd w:fill="E0F2FE"/>
          </w:tcPr>
          <w:p>
            <w:pPr>
              <w:spacing w:after="60"/>
              <w:jc w:val="right"/>
              <w:bidi/>
            </w:pPr>
            <w:r>
              <w:rPr>
                <w:rFonts w:ascii="Arial" w:hAnsi="Arial" w:eastAsia="Arial"/>
                <w:b/>
                <w:color w:val="0F4C81"/>
                <w:sz w:val="22"/>
              </w:rPr>
              <w:t>معيار القبول التشغيلي</w:t>
            </w:r>
          </w:p>
          <w:p>
            <w:pPr>
              <w:spacing w:after="40" w:line="276" w:lineRule="auto"/>
              <w:jc w:val="right"/>
              <w:bidi/>
            </w:pPr>
            <w:r>
              <w:rPr>
                <w:rFonts w:ascii="Arial" w:hAnsi="Arial" w:eastAsia="Arial"/>
                <w:sz w:val="20"/>
              </w:rPr>
              <w:t>لا يعتمد تسليم النسخة للمستخدمين على نجاح البناء فقط؛ يجب تنفيذ سيناريو عملي بحساب عامل، حساب مدير الإنتاج، حساب المستودع، وحساب المندوب، مع التحقق من التقرير الناتج وسجل الأحداث.</w:t>
            </w:r>
          </w:p>
        </w:tc>
      </w:tr>
    </w:tbl>
    <w:p>
      <w:pPr>
        <w:spacing w:after="20"/>
      </w:pPr>
    </w:p>
    <w:p>
      <w:pPr>
        <w:pStyle w:val="Heading1"/>
        <w:spacing w:before="260" w:after="100"/>
        <w:jc w:val="right"/>
        <w:bidi/>
      </w:pPr>
      <w:r>
        <w:t>13. التشغيل والمخاطر والتوصيات</w:t>
      </w:r>
    </w:p>
    <w:p>
      <w:pPr>
        <w:pStyle w:val="Heading2"/>
        <w:spacing w:before="180" w:after="100"/>
        <w:jc w:val="right"/>
        <w:bidi/>
      </w:pPr>
      <w:r>
        <w:t>إجراءات تشغيل مقترحة</w:t>
      </w:r>
    </w:p>
    <w:p>
      <w:pPr>
        <w:pStyle w:val="ListBullet"/>
        <w:spacing w:after="40"/>
        <w:jc w:val="right"/>
        <w:bidi/>
      </w:pPr>
      <w:r>
        <w:rPr>
          <w:rFonts w:ascii="Arial" w:hAnsi="Arial" w:eastAsia="Arial"/>
          <w:sz w:val="20"/>
        </w:rPr>
        <w:t>قبل بدء اليوم: مراجعة الكميات المتبقية والحركات المعلقة والطلبات التي لم تسجل نتيجة الإنتاج.</w:t>
      </w:r>
    </w:p>
    <w:p>
      <w:pPr>
        <w:pStyle w:val="ListBullet"/>
        <w:spacing w:after="40"/>
        <w:jc w:val="right"/>
        <w:bidi/>
      </w:pPr>
      <w:r>
        <w:rPr>
          <w:rFonts w:ascii="Arial" w:hAnsi="Arial" w:eastAsia="Arial"/>
          <w:sz w:val="20"/>
        </w:rPr>
        <w:t>أثناء العمل: استخدام البحث والباركود، عدم إنشاء نسخة منتج جديدة إذا كانت النسخة موجودة، وعدم مشاركة الحسابات.</w:t>
      </w:r>
    </w:p>
    <w:p>
      <w:pPr>
        <w:pStyle w:val="ListBullet"/>
        <w:spacing w:after="40"/>
        <w:jc w:val="right"/>
        <w:bidi/>
      </w:pPr>
      <w:r>
        <w:rPr>
          <w:rFonts w:ascii="Arial" w:hAnsi="Arial" w:eastAsia="Arial"/>
          <w:sz w:val="20"/>
        </w:rPr>
        <w:t>عند فشل حركة: تصوير الرسالة، حفظ رقم المنتج والمرحلة والوقت، وعدم إعادة الضغط المتكرر أو إنشاء سجل جديد.</w:t>
      </w:r>
    </w:p>
    <w:p>
      <w:pPr>
        <w:pStyle w:val="ListBullet"/>
        <w:spacing w:after="40"/>
        <w:jc w:val="right"/>
        <w:bidi/>
      </w:pPr>
      <w:r>
        <w:rPr>
          <w:rFonts w:ascii="Arial" w:hAnsi="Arial" w:eastAsia="Arial"/>
          <w:sz w:val="20"/>
        </w:rPr>
        <w:t>في نهاية اليوم: تشغيل التقرير اليومي، مراجعة فروق المستلم والمسلم، ومراجعة المكائن المتوقفة والمتبقي.</w:t>
      </w:r>
    </w:p>
    <w:p>
      <w:pPr>
        <w:pStyle w:val="ListBullet"/>
        <w:spacing w:after="40"/>
        <w:jc w:val="right"/>
        <w:bidi/>
      </w:pPr>
      <w:r>
        <w:rPr>
          <w:rFonts w:ascii="Arial" w:hAnsi="Arial" w:eastAsia="Arial"/>
          <w:sz w:val="20"/>
        </w:rPr>
        <w:t>شهرياً: إصدار تقرير نتائج طلبات التصنيع، تحليل أسباب التعثر، ومراجعة المستخدمين النشطين والصلاحيات.</w:t>
      </w:r>
    </w:p>
    <w:p>
      <w:pPr>
        <w:pStyle w:val="Heading2"/>
        <w:spacing w:before="180" w:after="100"/>
        <w:jc w:val="right"/>
        <w:bidi/>
      </w:pPr>
      <w:r>
        <w:t>مخاطر متبقية يجب على الاستشاري مراجعتها</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F4C81"/>
          </w:tcPr>
          <w:p>
            <w:pPr>
              <w:spacing w:after="0" w:line="252" w:lineRule="auto"/>
              <w:jc w:val="right"/>
            </w:pPr>
            <w:r/>
            <w:r>
              <w:rPr>
                <w:rFonts w:ascii="Arial" w:hAnsi="Arial" w:eastAsia="Arial"/>
                <w:b/>
                <w:color w:val="FFFFFF"/>
                <w:sz w:val="18"/>
              </w:rPr>
              <w:t>المخاطرة</w:t>
            </w:r>
          </w:p>
        </w:tc>
        <w:tc>
          <w:tcPr>
            <w:tcW w:type="dxa" w:w="7056"/>
            <w:vAlign w:val="center"/>
            <w:shd w:fill="0F4C81"/>
          </w:tcPr>
          <w:p>
            <w:pPr>
              <w:spacing w:after="0" w:line="252" w:lineRule="auto"/>
              <w:jc w:val="right"/>
            </w:pPr>
            <w:r/>
            <w:r>
              <w:rPr>
                <w:rFonts w:ascii="Arial" w:hAnsi="Arial" w:eastAsia="Arial"/>
                <w:b/>
                <w:color w:val="FFFFFF"/>
                <w:sz w:val="18"/>
              </w:rPr>
              <w:t>المعالجة المقترحة</w:t>
            </w:r>
          </w:p>
        </w:tc>
      </w:tr>
      <w:tr>
        <w:tc>
          <w:tcPr>
            <w:tcW w:type="dxa" w:w="2592"/>
            <w:vAlign w:val="center"/>
            <w:shd w:fill="F1F5F9"/>
          </w:tcPr>
          <w:p>
            <w:pPr>
              <w:spacing w:after="0" w:line="252" w:lineRule="auto"/>
              <w:jc w:val="right"/>
            </w:pPr>
            <w:r/>
            <w:r>
              <w:rPr>
                <w:rFonts w:ascii="Arial" w:hAnsi="Arial" w:eastAsia="Arial"/>
                <w:b w:val="0"/>
                <w:color w:val="1F2937"/>
                <w:sz w:val="17"/>
              </w:rPr>
              <w:t>اختلاف أسماء الأقسام أو الحسابات</w:t>
            </w:r>
          </w:p>
        </w:tc>
        <w:tc>
          <w:tcPr>
            <w:tcW w:type="dxa" w:w="7056"/>
            <w:vAlign w:val="center"/>
            <w:shd w:fill="F1F5F9"/>
          </w:tcPr>
          <w:p>
            <w:pPr>
              <w:spacing w:after="0" w:line="252" w:lineRule="auto"/>
              <w:jc w:val="right"/>
            </w:pPr>
            <w:r/>
            <w:r>
              <w:rPr>
                <w:rFonts w:ascii="Arial" w:hAnsi="Arial" w:eastAsia="Arial"/>
                <w:b w:val="0"/>
                <w:color w:val="1F2937"/>
                <w:sz w:val="17"/>
              </w:rPr>
              <w:t>توحيد قاموس الأقسام وربط كل موظف بمعرف وقسم نشط، مع مراجعة دورية.</w:t>
            </w:r>
          </w:p>
        </w:tc>
      </w:tr>
      <w:tr>
        <w:tc>
          <w:tcPr>
            <w:tcW w:type="dxa" w:w="2592"/>
            <w:vAlign w:val="center"/>
          </w:tcPr>
          <w:p>
            <w:pPr>
              <w:spacing w:after="0" w:line="252" w:lineRule="auto"/>
              <w:jc w:val="right"/>
            </w:pPr>
            <w:r/>
            <w:r>
              <w:rPr>
                <w:rFonts w:ascii="Arial" w:hAnsi="Arial" w:eastAsia="Arial"/>
                <w:b w:val="0"/>
                <w:color w:val="1F2937"/>
                <w:sz w:val="17"/>
              </w:rPr>
              <w:t>ضعف الشبكة أثناء الحفظ</w:t>
            </w:r>
          </w:p>
        </w:tc>
        <w:tc>
          <w:tcPr>
            <w:tcW w:type="dxa" w:w="7056"/>
            <w:vAlign w:val="center"/>
          </w:tcPr>
          <w:p>
            <w:pPr>
              <w:spacing w:after="0" w:line="252" w:lineRule="auto"/>
              <w:jc w:val="right"/>
            </w:pPr>
            <w:r/>
            <w:r>
              <w:rPr>
                <w:rFonts w:ascii="Arial" w:hAnsi="Arial" w:eastAsia="Arial"/>
                <w:b w:val="0"/>
                <w:color w:val="1F2937"/>
                <w:sz w:val="17"/>
              </w:rPr>
              <w:t>إظهار حالة انتظار واضحة، ومنع إعادة الإرسال المكرر، وإعادة تحميل السجل بعد النجاح.</w:t>
            </w:r>
          </w:p>
        </w:tc>
      </w:tr>
      <w:tr>
        <w:tc>
          <w:tcPr>
            <w:tcW w:type="dxa" w:w="2592"/>
            <w:vAlign w:val="center"/>
            <w:shd w:fill="F1F5F9"/>
          </w:tcPr>
          <w:p>
            <w:pPr>
              <w:spacing w:after="0" w:line="252" w:lineRule="auto"/>
              <w:jc w:val="right"/>
            </w:pPr>
            <w:r/>
            <w:r>
              <w:rPr>
                <w:rFonts w:ascii="Arial" w:hAnsi="Arial" w:eastAsia="Arial"/>
                <w:b w:val="0"/>
                <w:color w:val="1F2937"/>
                <w:sz w:val="17"/>
              </w:rPr>
              <w:t>بيانات تاريخية سابقة للنظام</w:t>
            </w:r>
          </w:p>
        </w:tc>
        <w:tc>
          <w:tcPr>
            <w:tcW w:type="dxa" w:w="7056"/>
            <w:vAlign w:val="center"/>
            <w:shd w:fill="F1F5F9"/>
          </w:tcPr>
          <w:p>
            <w:pPr>
              <w:spacing w:after="0" w:line="252" w:lineRule="auto"/>
              <w:jc w:val="right"/>
            </w:pPr>
            <w:r/>
            <w:r>
              <w:rPr>
                <w:rFonts w:ascii="Arial" w:hAnsi="Arial" w:eastAsia="Arial"/>
                <w:b w:val="0"/>
                <w:color w:val="1F2937"/>
                <w:sz w:val="17"/>
              </w:rPr>
              <w:t>تمييز الرصيد السابق عن حركة الفترة وعدم خلط سجلات ما قبل تاريخ بدء التشغيل.</w:t>
            </w:r>
          </w:p>
        </w:tc>
      </w:tr>
      <w:tr>
        <w:tc>
          <w:tcPr>
            <w:tcW w:type="dxa" w:w="2592"/>
            <w:vAlign w:val="center"/>
          </w:tcPr>
          <w:p>
            <w:pPr>
              <w:spacing w:after="0" w:line="252" w:lineRule="auto"/>
              <w:jc w:val="right"/>
            </w:pPr>
            <w:r/>
            <w:r>
              <w:rPr>
                <w:rFonts w:ascii="Arial" w:hAnsi="Arial" w:eastAsia="Arial"/>
                <w:b w:val="0"/>
                <w:color w:val="1F2937"/>
                <w:sz w:val="17"/>
              </w:rPr>
              <w:t>زيادة غير مبررة في الكمية</w:t>
            </w:r>
          </w:p>
        </w:tc>
        <w:tc>
          <w:tcPr>
            <w:tcW w:type="dxa" w:w="7056"/>
            <w:vAlign w:val="center"/>
          </w:tcPr>
          <w:p>
            <w:pPr>
              <w:spacing w:after="0" w:line="252" w:lineRule="auto"/>
              <w:jc w:val="right"/>
            </w:pPr>
            <w:r/>
            <w:r>
              <w:rPr>
                <w:rFonts w:ascii="Arial" w:hAnsi="Arial" w:eastAsia="Arial"/>
                <w:b w:val="0"/>
                <w:color w:val="1F2937"/>
                <w:sz w:val="17"/>
              </w:rPr>
              <w:t>فتح تقرير الكميات المتبقية والتحقيق في الحركة المصدرية قبل تعديل أي رصيد.</w:t>
            </w:r>
          </w:p>
        </w:tc>
      </w:tr>
      <w:tr>
        <w:tc>
          <w:tcPr>
            <w:tcW w:type="dxa" w:w="2592"/>
            <w:vAlign w:val="center"/>
            <w:shd w:fill="F1F5F9"/>
          </w:tcPr>
          <w:p>
            <w:pPr>
              <w:spacing w:after="0" w:line="252" w:lineRule="auto"/>
              <w:jc w:val="right"/>
            </w:pPr>
            <w:r/>
            <w:r>
              <w:rPr>
                <w:rFonts w:ascii="Arial" w:hAnsi="Arial" w:eastAsia="Arial"/>
                <w:b w:val="0"/>
                <w:color w:val="1F2937"/>
                <w:sz w:val="17"/>
              </w:rPr>
              <w:t>صلاحيات واسعة</w:t>
            </w:r>
          </w:p>
        </w:tc>
        <w:tc>
          <w:tcPr>
            <w:tcW w:type="dxa" w:w="7056"/>
            <w:vAlign w:val="center"/>
            <w:shd w:fill="F1F5F9"/>
          </w:tcPr>
          <w:p>
            <w:pPr>
              <w:spacing w:after="0" w:line="252" w:lineRule="auto"/>
              <w:jc w:val="right"/>
            </w:pPr>
            <w:r/>
            <w:r>
              <w:rPr>
                <w:rFonts w:ascii="Arial" w:hAnsi="Arial" w:eastAsia="Arial"/>
                <w:b w:val="0"/>
                <w:color w:val="1F2937"/>
                <w:sz w:val="17"/>
              </w:rPr>
              <w:t>مراجعة دورية لمصفوفة الصلاحيات، وإلغاء الحسابات غير المستخدمة بالأرشفة.</w:t>
            </w:r>
          </w:p>
        </w:tc>
      </w:tr>
      <w:tr>
        <w:tc>
          <w:tcPr>
            <w:tcW w:type="dxa" w:w="2592"/>
            <w:vAlign w:val="center"/>
          </w:tcPr>
          <w:p>
            <w:pPr>
              <w:spacing w:after="0" w:line="252" w:lineRule="auto"/>
              <w:jc w:val="right"/>
            </w:pPr>
            <w:r/>
            <w:r>
              <w:rPr>
                <w:rFonts w:ascii="Arial" w:hAnsi="Arial" w:eastAsia="Arial"/>
                <w:b w:val="0"/>
                <w:color w:val="1F2937"/>
                <w:sz w:val="17"/>
              </w:rPr>
              <w:t>اعتماد العميل من رابط متداول</w:t>
            </w:r>
          </w:p>
        </w:tc>
        <w:tc>
          <w:tcPr>
            <w:tcW w:type="dxa" w:w="7056"/>
            <w:vAlign w:val="center"/>
          </w:tcPr>
          <w:p>
            <w:pPr>
              <w:spacing w:after="0" w:line="252" w:lineRule="auto"/>
              <w:jc w:val="right"/>
            </w:pPr>
            <w:r/>
            <w:r>
              <w:rPr>
                <w:rFonts w:ascii="Arial" w:hAnsi="Arial" w:eastAsia="Arial"/>
                <w:b w:val="0"/>
                <w:color w:val="1F2937"/>
                <w:sz w:val="17"/>
              </w:rPr>
              <w:t>مدة الرابط 7 أيام عمل، مع إبطال فوري وإصدار رابط جديد عند الحاجة.</w:t>
            </w:r>
          </w:p>
        </w:tc>
      </w:tr>
    </w:tbl>
    <w:p>
      <w:pPr>
        <w:spacing w:after="20"/>
      </w:pPr>
    </w:p>
    <w:p>
      <w:pPr>
        <w:pStyle w:val="Heading2"/>
        <w:spacing w:before="180" w:after="100"/>
        <w:jc w:val="right"/>
        <w:bidi/>
      </w:pPr>
      <w:r>
        <w:t>خلاصة الاستشاري المطلوبة</w:t>
      </w:r>
    </w:p>
    <w:p>
      <w:pPr>
        <w:spacing w:after="100" w:line="283" w:lineRule="auto"/>
        <w:jc w:val="right"/>
        <w:bidi/>
      </w:pPr>
      <w:r>
        <w:rPr>
          <w:rFonts w:ascii="Arial" w:hAnsi="Arial" w:eastAsia="Arial"/>
          <w:sz w:val="21"/>
        </w:rPr>
        <w:t>يرجى من الاستشاري مراجعة: ملاءمة دورة الاعتماد لسياسة الشركة، فصل المسؤوليات بين الإنتاج والمراحل والمستودعات، كفاية سجل التدقيق، دقة التقارير مقارنة بالواقع، سياسات النسخ الاحتياطي والاسترجاع، ضوابط الحسابات، وحالات العمل عند انقطاع الشبكة أو الضغط المزدوج.</w:t>
      </w:r>
    </w:p>
    <w:tbl>
      <w:tblPr>
        <w:tblW w:type="auto" w:w="0"/>
        <w:jc w:val="center"/>
        <w:tblLook w:firstColumn="1" w:firstRow="1" w:lastColumn="0" w:lastRow="0" w:noHBand="0" w:noVBand="1" w:val="04A0"/>
      </w:tblPr>
      <w:tblGrid>
        <w:gridCol w:w="10224"/>
      </w:tblGrid>
      <w:tr>
        <w:tc>
          <w:tcPr>
            <w:tcW w:type="dxa" w:w="10224"/>
            <w:shd w:fill="E0F2FE"/>
          </w:tcPr>
          <w:p>
            <w:pPr>
              <w:spacing w:after="60"/>
              <w:jc w:val="right"/>
              <w:bidi/>
            </w:pPr>
            <w:r>
              <w:rPr>
                <w:rFonts w:ascii="Arial" w:hAnsi="Arial" w:eastAsia="Arial"/>
                <w:b/>
                <w:color w:val="0F4C81"/>
                <w:sz w:val="22"/>
              </w:rPr>
              <w:t>النتيجة العامة</w:t>
            </w:r>
          </w:p>
          <w:p>
            <w:pPr>
              <w:spacing w:after="40" w:line="276" w:lineRule="auto"/>
              <w:jc w:val="right"/>
              <w:bidi/>
            </w:pPr>
            <w:r>
              <w:rPr>
                <w:rFonts w:ascii="Arial" w:hAnsi="Arial" w:eastAsia="Arial"/>
                <w:sz w:val="20"/>
              </w:rPr>
              <w:t>النظام أصبح منصة تشغيلية مترابطة وليست مجموعة شاشات منفصلة: الإنتاج يعرّف المنتج، المراحل تنفذ انتقاله، المستودع يحفظ رصيده، المبيعات تطلبه، التقارير تقيسه، وسجل الأحداث يوضح المسؤولية. أي تغيير مستقبلي يجب أن يحافظ على هذا الترابط ولا يختصر التحقق الخادمي لصالح تعديل سريع في الواجهة.</w:t>
            </w:r>
          </w:p>
        </w:tc>
      </w:tr>
    </w:tbl>
    <w:p>
      <w:pPr>
        <w:spacing w:after="20"/>
      </w:pPr>
    </w:p>
    <w:p>
      <w:pPr>
        <w:spacing w:before="400" w:after="0"/>
        <w:jc w:val="right"/>
        <w:bidi/>
      </w:pPr>
      <w:r>
        <w:rPr>
          <w:rFonts w:ascii="Arial" w:hAnsi="Arial" w:eastAsia="Arial"/>
          <w:b/>
          <w:color w:val="0F4C81"/>
          <w:sz w:val="20"/>
        </w:rPr>
        <w:t>نهاية التقرير — نسخة مراجعة استشارية</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eastAsia="Arial"/>
        <w:color w:val="64748B"/>
        <w:sz w:val="16"/>
      </w:rPr>
      <w:t>مصنع السلطان  |  تقرير استشاري للنظام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4C8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التقرير الاستشاري الشامل لنظام مصنع السلطان</dc:title>
  <dc:subject>الوصف الوظيفي والتقني والتشغيلي للنظام</dc:subject>
  <dc:creator>نظام مصنع السلطان</dc:creator>
  <cp:keywords>مصنع السلطان، الإنتاج، الاستلام، التسليم، المستودعات، التقارير، المبيعات</cp:keywords>
  <dc:description>generated by python-docx</dc:description>
  <cp:lastModifiedBy/>
  <cp:revision>1</cp:revision>
  <dcterms:created xsi:type="dcterms:W3CDTF">2013-12-23T23:15:00Z</dcterms:created>
  <dcterms:modified xsi:type="dcterms:W3CDTF">2013-12-23T23:15:00Z</dcterms:modified>
  <cp:category/>
</cp:coreProperties>
</file>