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E546E" w14:textId="77777777" w:rsidR="000E5B60" w:rsidRPr="000E5B60" w:rsidRDefault="000E5B60" w:rsidP="000E5B60">
      <w:pPr>
        <w:rPr>
          <w:b/>
          <w:bCs/>
        </w:rPr>
      </w:pPr>
      <w:r w:rsidRPr="000E5B60">
        <w:rPr>
          <w:b/>
          <w:bCs/>
        </w:rPr>
        <w:t>Unit 12 Seminar – The Great Debate: The Future of Security Risk Management (SRM)</w:t>
      </w:r>
    </w:p>
    <w:p w14:paraId="05F9B850" w14:textId="18A9CCEA" w:rsidR="000E5B60" w:rsidRPr="000E5B60" w:rsidRDefault="000E5B60" w:rsidP="000E5B60">
      <w:r w:rsidRPr="000E5B60">
        <w:rPr>
          <w:b/>
          <w:bCs/>
        </w:rPr>
        <w:t>Title:</w:t>
      </w:r>
      <w:r w:rsidRPr="000E5B60">
        <w:t xml:space="preserve"> The Great Debate – The Future of SRM</w:t>
      </w:r>
      <w:r w:rsidRPr="000E5B60">
        <w:br/>
      </w:r>
    </w:p>
    <w:p w14:paraId="582078F4" w14:textId="79FA76BB" w:rsidR="000E5B60" w:rsidRPr="000E5B60" w:rsidRDefault="000E5B60" w:rsidP="000E5B60"/>
    <w:p w14:paraId="70CD02B4" w14:textId="77777777" w:rsidR="000E5B60" w:rsidRPr="000E5B60" w:rsidRDefault="000E5B60" w:rsidP="000E5B60">
      <w:pPr>
        <w:rPr>
          <w:b/>
          <w:bCs/>
        </w:rPr>
      </w:pPr>
      <w:r w:rsidRPr="000E5B60">
        <w:rPr>
          <w:b/>
          <w:bCs/>
        </w:rPr>
        <w:t>1. Selected Trend: Artificial Intelligence in Cyber Risk Management</w:t>
      </w:r>
    </w:p>
    <w:p w14:paraId="03ED99F9" w14:textId="77777777" w:rsidR="000E5B60" w:rsidRPr="000E5B60" w:rsidRDefault="000E5B60" w:rsidP="000E5B60">
      <w:r w:rsidRPr="000E5B60">
        <w:t xml:space="preserve">Our team chose </w:t>
      </w:r>
      <w:r w:rsidRPr="000E5B60">
        <w:rPr>
          <w:b/>
          <w:bCs/>
        </w:rPr>
        <w:t>Artificial Intelligence (AI) and Machine Learning (ML)</w:t>
      </w:r>
      <w:r w:rsidRPr="000E5B60">
        <w:t xml:space="preserve"> as the most influential trend shaping SRM in the next five years. AI is transforming how organisations detect, assess, and mitigate security risks by automating data analysis, anomaly detection, and predictive modelling. Tools like Microsoft Security Copilot and Darktrace already demonstrate adaptive threat response capabilities, supporting faster and more accurate decision-making.</w:t>
      </w:r>
    </w:p>
    <w:p w14:paraId="4D388C32" w14:textId="77777777" w:rsidR="000E5B60" w:rsidRPr="000E5B60" w:rsidRDefault="000E5B60" w:rsidP="000E5B60">
      <w:r w:rsidRPr="000E5B60">
        <w:t xml:space="preserve">AI also enables risk quantification through continuous monitoring of network baselines, user </w:t>
      </w:r>
      <w:proofErr w:type="spellStart"/>
      <w:r w:rsidRPr="000E5B60">
        <w:t>behaviour</w:t>
      </w:r>
      <w:proofErr w:type="spellEnd"/>
      <w:r w:rsidRPr="000E5B60">
        <w:t>, and vulnerability trends. As threat actors increasingly exploit automation and AI-driven malware, security teams must embrace the same technologies for defensive parity.</w:t>
      </w:r>
    </w:p>
    <w:p w14:paraId="0D67307C" w14:textId="022FAC87" w:rsidR="000E5B60" w:rsidRPr="000E5B60" w:rsidRDefault="000E5B60" w:rsidP="000E5B60"/>
    <w:p w14:paraId="4ABBC21D" w14:textId="77777777" w:rsidR="000E5B60" w:rsidRPr="000E5B60" w:rsidRDefault="000E5B60" w:rsidP="000E5B60">
      <w:pPr>
        <w:rPr>
          <w:b/>
          <w:bCs/>
        </w:rPr>
      </w:pPr>
      <w:r w:rsidRPr="000E5B60">
        <w:rPr>
          <w:b/>
          <w:bCs/>
        </w:rPr>
        <w:t>2. Key Arguments Presented by the Team</w:t>
      </w:r>
    </w:p>
    <w:p w14:paraId="2012ADCD" w14:textId="77777777" w:rsidR="000E5B60" w:rsidRPr="000E5B60" w:rsidRDefault="000E5B60" w:rsidP="000E5B60">
      <w:pPr>
        <w:numPr>
          <w:ilvl w:val="0"/>
          <w:numId w:val="1"/>
        </w:numPr>
      </w:pPr>
      <w:r w:rsidRPr="000E5B60">
        <w:rPr>
          <w:b/>
          <w:bCs/>
        </w:rPr>
        <w:t>Enhanced Risk Prediction:</w:t>
      </w:r>
      <w:r w:rsidRPr="000E5B60">
        <w:t xml:space="preserve"> AI algorithms process large datasets to identify emerging threats and simulate attack patterns in real time, improving situational awareness.</w:t>
      </w:r>
    </w:p>
    <w:p w14:paraId="07A24E18" w14:textId="77777777" w:rsidR="000E5B60" w:rsidRPr="000E5B60" w:rsidRDefault="000E5B60" w:rsidP="000E5B60">
      <w:pPr>
        <w:numPr>
          <w:ilvl w:val="0"/>
          <w:numId w:val="1"/>
        </w:numPr>
      </w:pPr>
      <w:r w:rsidRPr="000E5B60">
        <w:rPr>
          <w:b/>
          <w:bCs/>
        </w:rPr>
        <w:t>Adaptive Response:</w:t>
      </w:r>
      <w:r w:rsidRPr="000E5B60">
        <w:t xml:space="preserve"> Machine learning models refine incident response playbooks by learning from past events and integrating with SOAR and NDR platforms.</w:t>
      </w:r>
    </w:p>
    <w:p w14:paraId="789AA02B" w14:textId="77777777" w:rsidR="000E5B60" w:rsidRPr="000E5B60" w:rsidRDefault="000E5B60" w:rsidP="000E5B60">
      <w:pPr>
        <w:numPr>
          <w:ilvl w:val="0"/>
          <w:numId w:val="1"/>
        </w:numPr>
      </w:pPr>
      <w:r w:rsidRPr="000E5B60">
        <w:rPr>
          <w:b/>
          <w:bCs/>
        </w:rPr>
        <w:t>Reduced Human Error:</w:t>
      </w:r>
      <w:r w:rsidRPr="000E5B60">
        <w:t xml:space="preserve"> Automating repetitive security tasks allows analysts to focus on critical investigations and governance decisions.</w:t>
      </w:r>
    </w:p>
    <w:p w14:paraId="5EFF8D53" w14:textId="77777777" w:rsidR="000E5B60" w:rsidRPr="000E5B60" w:rsidRDefault="000E5B60" w:rsidP="000E5B60">
      <w:pPr>
        <w:numPr>
          <w:ilvl w:val="0"/>
          <w:numId w:val="1"/>
        </w:numPr>
      </w:pPr>
      <w:r w:rsidRPr="000E5B60">
        <w:rPr>
          <w:b/>
          <w:bCs/>
        </w:rPr>
        <w:t>Integration with Frameworks:</w:t>
      </w:r>
      <w:r w:rsidRPr="000E5B60">
        <w:t xml:space="preserve"> AI-driven analytics align with ISO 31000 and NIST RMF principles by strengthening continuous risk assessment and control validation.</w:t>
      </w:r>
    </w:p>
    <w:p w14:paraId="0CDDA52A" w14:textId="77777777" w:rsidR="000E5B60" w:rsidRPr="000E5B60" w:rsidRDefault="000E5B60" w:rsidP="000E5B60">
      <w:pPr>
        <w:numPr>
          <w:ilvl w:val="0"/>
          <w:numId w:val="1"/>
        </w:numPr>
      </w:pPr>
      <w:r w:rsidRPr="000E5B60">
        <w:rPr>
          <w:b/>
          <w:bCs/>
        </w:rPr>
        <w:t>Ethical and Governance Challenges:</w:t>
      </w:r>
      <w:r w:rsidRPr="000E5B60">
        <w:t xml:space="preserve"> The team discussed the dual-use dilemma of AI — while improving </w:t>
      </w:r>
      <w:proofErr w:type="spellStart"/>
      <w:r w:rsidRPr="000E5B60">
        <w:t>defence</w:t>
      </w:r>
      <w:proofErr w:type="spellEnd"/>
      <w:r w:rsidRPr="000E5B60">
        <w:t xml:space="preserve">, it can also enhance attacker sophistication. This </w:t>
      </w:r>
      <w:proofErr w:type="spellStart"/>
      <w:r w:rsidRPr="000E5B60">
        <w:t>emphasises</w:t>
      </w:r>
      <w:proofErr w:type="spellEnd"/>
      <w:r w:rsidRPr="000E5B60">
        <w:t xml:space="preserve"> the importance of AI ethics, transparency, and accountability in security systems.</w:t>
      </w:r>
    </w:p>
    <w:p w14:paraId="2E15E0F9" w14:textId="0993B266" w:rsidR="000E5B60" w:rsidRPr="000E5B60" w:rsidRDefault="000E5B60" w:rsidP="000E5B60"/>
    <w:p w14:paraId="18648A73" w14:textId="77777777" w:rsidR="000E5B60" w:rsidRPr="000E5B60" w:rsidRDefault="000E5B60" w:rsidP="000E5B60">
      <w:pPr>
        <w:rPr>
          <w:b/>
          <w:bCs/>
        </w:rPr>
      </w:pPr>
      <w:r w:rsidRPr="000E5B60">
        <w:rPr>
          <w:b/>
          <w:bCs/>
        </w:rPr>
        <w:lastRenderedPageBreak/>
        <w:t>3. Summary of Class Debate and Poll Outcome</w:t>
      </w:r>
    </w:p>
    <w:p w14:paraId="64201705" w14:textId="77777777" w:rsidR="000E5B60" w:rsidRPr="000E5B60" w:rsidRDefault="000E5B60" w:rsidP="000E5B60">
      <w:r w:rsidRPr="000E5B60">
        <w:t xml:space="preserve">The debate featured multiple trends, including </w:t>
      </w:r>
      <w:r w:rsidRPr="000E5B60">
        <w:rPr>
          <w:b/>
          <w:bCs/>
        </w:rPr>
        <w:t>Zero Trust Architecture</w:t>
      </w:r>
      <w:r w:rsidRPr="000E5B60">
        <w:t xml:space="preserve">, </w:t>
      </w:r>
      <w:r w:rsidRPr="000E5B60">
        <w:rPr>
          <w:b/>
          <w:bCs/>
        </w:rPr>
        <w:t>Quantum-Resistant Cryptography</w:t>
      </w:r>
      <w:r w:rsidRPr="000E5B60">
        <w:t xml:space="preserve">, and </w:t>
      </w:r>
      <w:r w:rsidRPr="000E5B60">
        <w:rPr>
          <w:b/>
          <w:bCs/>
        </w:rPr>
        <w:t>AI-Driven SRM</w:t>
      </w:r>
      <w:r w:rsidRPr="000E5B60">
        <w:t>. While Zero Trust emphasised identity-based verification and network segmentation, AI was argued to have broader strategic impact due to its cross-domain applicability.</w:t>
      </w:r>
    </w:p>
    <w:p w14:paraId="3E201254" w14:textId="77777777" w:rsidR="000E5B60" w:rsidRPr="000E5B60" w:rsidRDefault="000E5B60" w:rsidP="000E5B60">
      <w:r w:rsidRPr="000E5B60">
        <w:t xml:space="preserve">During the tutor-led poll, </w:t>
      </w:r>
      <w:r w:rsidRPr="000E5B60">
        <w:rPr>
          <w:b/>
          <w:bCs/>
        </w:rPr>
        <w:t>AI in SRM</w:t>
      </w:r>
      <w:r w:rsidRPr="000E5B60">
        <w:t xml:space="preserve"> received the majority vote as the </w:t>
      </w:r>
      <w:r w:rsidRPr="000E5B60">
        <w:rPr>
          <w:b/>
          <w:bCs/>
        </w:rPr>
        <w:t>most influential future trend</w:t>
      </w:r>
      <w:r w:rsidRPr="000E5B60">
        <w:t>, primarily for its ability to enhance predictive analytics, automate risk detection, and adapt to evolving threats.</w:t>
      </w:r>
    </w:p>
    <w:p w14:paraId="6F6BEF7D" w14:textId="77777777" w:rsidR="000E5B60" w:rsidRPr="000E5B60" w:rsidRDefault="000E5B60" w:rsidP="000E5B60">
      <w:r w:rsidRPr="000E5B60">
        <w:pict w14:anchorId="645BECB6">
          <v:rect id="_x0000_i1064" style="width:0;height:1.5pt" o:hralign="center" o:hrstd="t" o:hr="t" fillcolor="#a0a0a0" stroked="f"/>
        </w:pict>
      </w:r>
    </w:p>
    <w:p w14:paraId="1ACF797C" w14:textId="5978C7BE" w:rsidR="000E5B60" w:rsidRPr="000E5B60" w:rsidRDefault="000E5B60" w:rsidP="000E5B60">
      <w:pPr>
        <w:rPr>
          <w:b/>
          <w:bCs/>
        </w:rPr>
      </w:pPr>
      <w:r w:rsidRPr="000E5B60">
        <w:rPr>
          <w:b/>
          <w:bCs/>
        </w:rPr>
        <w:t xml:space="preserve">4. Reflection </w:t>
      </w:r>
    </w:p>
    <w:p w14:paraId="24745341" w14:textId="77777777" w:rsidR="000E5B60" w:rsidRPr="000E5B60" w:rsidRDefault="000E5B60" w:rsidP="000E5B60">
      <w:r w:rsidRPr="000E5B60">
        <w:t xml:space="preserve">Participating in the debate deepened my understanding of how </w:t>
      </w:r>
      <w:r w:rsidRPr="000E5B60">
        <w:rPr>
          <w:b/>
          <w:bCs/>
        </w:rPr>
        <w:t>AI integrates with risk frameworks</w:t>
      </w:r>
      <w:r w:rsidRPr="000E5B60">
        <w:t xml:space="preserve"> to </w:t>
      </w:r>
      <w:proofErr w:type="spellStart"/>
      <w:r w:rsidRPr="000E5B60">
        <w:t>revolutionise</w:t>
      </w:r>
      <w:proofErr w:type="spellEnd"/>
      <w:r w:rsidRPr="000E5B60">
        <w:t xml:space="preserve"> security operations. Before this activity, I viewed AI primarily as a tool for automation; now, I see its strategic potential for predictive and adaptive security governance. The discussion highlighted the ethical and legal implications of algorithmic bias, data privacy, and transparency in automated decision-making.</w:t>
      </w:r>
    </w:p>
    <w:p w14:paraId="1DAAA9D9" w14:textId="77777777" w:rsidR="000E5B60" w:rsidRPr="000E5B60" w:rsidRDefault="000E5B60" w:rsidP="000E5B60">
      <w:r w:rsidRPr="000E5B60">
        <w:t>This activity strengthened my analytical and presentation skills, particularly in evaluating future technologies from technical and governance perspectives. I now plan to integrate AI-driven analytics within risk management processes at my workplace, aligning with ISO 31000 principles to improve resilience and data-driven decision-making.</w:t>
      </w:r>
    </w:p>
    <w:p w14:paraId="3742BD61" w14:textId="4BD06401" w:rsidR="000E5B60" w:rsidRPr="000E5B60" w:rsidRDefault="000E5B60" w:rsidP="000E5B60"/>
    <w:p w14:paraId="1667FA06" w14:textId="77777777" w:rsidR="000E5B60" w:rsidRPr="000E5B60" w:rsidRDefault="000E5B60" w:rsidP="000E5B60">
      <w:pPr>
        <w:rPr>
          <w:b/>
          <w:bCs/>
        </w:rPr>
      </w:pPr>
      <w:r w:rsidRPr="000E5B60">
        <w:rPr>
          <w:b/>
          <w:bCs/>
        </w:rPr>
        <w:t>5. Learning Outcomes Achieved</w:t>
      </w:r>
    </w:p>
    <w:p w14:paraId="5734F79C" w14:textId="77777777" w:rsidR="000E5B60" w:rsidRDefault="000E5B60" w:rsidP="000E5B60">
      <w:pPr>
        <w:pStyle w:val="ListParagraph"/>
        <w:numPr>
          <w:ilvl w:val="0"/>
          <w:numId w:val="3"/>
        </w:numPr>
      </w:pPr>
      <w:r w:rsidRPr="000E5B60">
        <w:t xml:space="preserve"> Identified and critically </w:t>
      </w:r>
      <w:proofErr w:type="spellStart"/>
      <w:r w:rsidRPr="000E5B60">
        <w:t>analysed</w:t>
      </w:r>
      <w:proofErr w:type="spellEnd"/>
      <w:r w:rsidRPr="000E5B60">
        <w:t xml:space="preserve"> future security risks and vulnerabilities using AI-based SRM models.</w:t>
      </w:r>
    </w:p>
    <w:p w14:paraId="07D3239D" w14:textId="77777777" w:rsidR="000E5B60" w:rsidRDefault="000E5B60" w:rsidP="000E5B60">
      <w:pPr>
        <w:pStyle w:val="ListParagraph"/>
        <w:numPr>
          <w:ilvl w:val="0"/>
          <w:numId w:val="3"/>
        </w:numPr>
      </w:pPr>
      <w:proofErr w:type="spellStart"/>
      <w:r w:rsidRPr="000E5B60">
        <w:t>Synthesised</w:t>
      </w:r>
      <w:proofErr w:type="spellEnd"/>
      <w:r w:rsidRPr="000E5B60">
        <w:t xml:space="preserve"> insights from scholarly and industry sources (ENISA, NIST, Gartner).</w:t>
      </w:r>
    </w:p>
    <w:p w14:paraId="0A448A12" w14:textId="77777777" w:rsidR="000E5B60" w:rsidRDefault="000E5B60" w:rsidP="000E5B60">
      <w:pPr>
        <w:pStyle w:val="ListParagraph"/>
        <w:numPr>
          <w:ilvl w:val="0"/>
          <w:numId w:val="3"/>
        </w:numPr>
      </w:pPr>
      <w:r w:rsidRPr="000E5B60">
        <w:t xml:space="preserve"> Determined appropriate AI-based methodologies to mitigate future cyber threats.</w:t>
      </w:r>
    </w:p>
    <w:p w14:paraId="2DEF6C1B" w14:textId="02718E9D" w:rsidR="000E5B60" w:rsidRPr="000E5B60" w:rsidRDefault="000E5B60" w:rsidP="000E5B60">
      <w:pPr>
        <w:pStyle w:val="ListParagraph"/>
        <w:numPr>
          <w:ilvl w:val="0"/>
          <w:numId w:val="3"/>
        </w:numPr>
      </w:pPr>
      <w:r w:rsidRPr="000E5B60">
        <w:t>Reflected on legal, ethical, and professional issues related to automated risk management.</w:t>
      </w:r>
    </w:p>
    <w:p w14:paraId="55131CED" w14:textId="14995AF3" w:rsidR="000E5B60" w:rsidRPr="000E5B60" w:rsidRDefault="000E5B60" w:rsidP="000E5B60"/>
    <w:p w14:paraId="5949971F" w14:textId="77777777" w:rsidR="000E5B60" w:rsidRPr="000E5B60" w:rsidRDefault="000E5B60" w:rsidP="000E5B60">
      <w:pPr>
        <w:rPr>
          <w:b/>
          <w:bCs/>
        </w:rPr>
      </w:pPr>
      <w:r w:rsidRPr="000E5B60">
        <w:rPr>
          <w:b/>
          <w:bCs/>
        </w:rPr>
        <w:t>References</w:t>
      </w:r>
    </w:p>
    <w:p w14:paraId="77377718" w14:textId="77777777" w:rsidR="000E5B60" w:rsidRPr="000E5B60" w:rsidRDefault="000E5B60" w:rsidP="000E5B60">
      <w:pPr>
        <w:numPr>
          <w:ilvl w:val="0"/>
          <w:numId w:val="2"/>
        </w:numPr>
      </w:pPr>
      <w:r w:rsidRPr="000E5B60">
        <w:t xml:space="preserve">ENISA (2024) </w:t>
      </w:r>
      <w:r w:rsidRPr="000E5B60">
        <w:rPr>
          <w:i/>
          <w:iCs/>
        </w:rPr>
        <w:t>Artificial Intelligence Cybersecurity Challenges: Recommendations for Risk Management.</w:t>
      </w:r>
      <w:r w:rsidRPr="000E5B60">
        <w:t xml:space="preserve"> Athens: ENISA.</w:t>
      </w:r>
    </w:p>
    <w:p w14:paraId="25E0D712" w14:textId="77777777" w:rsidR="000E5B60" w:rsidRPr="000E5B60" w:rsidRDefault="000E5B60" w:rsidP="000E5B60">
      <w:pPr>
        <w:numPr>
          <w:ilvl w:val="0"/>
          <w:numId w:val="2"/>
        </w:numPr>
      </w:pPr>
      <w:r w:rsidRPr="000E5B60">
        <w:t xml:space="preserve">ISO (2018) </w:t>
      </w:r>
      <w:r w:rsidRPr="000E5B60">
        <w:rPr>
          <w:i/>
          <w:iCs/>
        </w:rPr>
        <w:t>ISO 31000:2018 – Risk Management — Guidelines.</w:t>
      </w:r>
      <w:r w:rsidRPr="000E5B60">
        <w:t xml:space="preserve"> Geneva: ISO.</w:t>
      </w:r>
    </w:p>
    <w:p w14:paraId="3DA7910D" w14:textId="77777777" w:rsidR="000E5B60" w:rsidRPr="000E5B60" w:rsidRDefault="000E5B60" w:rsidP="000E5B60">
      <w:pPr>
        <w:numPr>
          <w:ilvl w:val="0"/>
          <w:numId w:val="2"/>
        </w:numPr>
      </w:pPr>
      <w:r w:rsidRPr="000E5B60">
        <w:lastRenderedPageBreak/>
        <w:t xml:space="preserve">NIST (2023) </w:t>
      </w:r>
      <w:r w:rsidRPr="000E5B60">
        <w:rPr>
          <w:i/>
          <w:iCs/>
        </w:rPr>
        <w:t>Artificial Intelligence Risk Management Framework (AI RMF 1.0).</w:t>
      </w:r>
      <w:r w:rsidRPr="000E5B60">
        <w:t xml:space="preserve"> Gaithersburg, MD: NIST.</w:t>
      </w:r>
    </w:p>
    <w:p w14:paraId="60746C73" w14:textId="77777777" w:rsidR="000E5B60" w:rsidRPr="000E5B60" w:rsidRDefault="000E5B60" w:rsidP="000E5B60">
      <w:pPr>
        <w:numPr>
          <w:ilvl w:val="0"/>
          <w:numId w:val="2"/>
        </w:numPr>
      </w:pPr>
      <w:r w:rsidRPr="000E5B60">
        <w:t xml:space="preserve">Sutton, D. (2021) </w:t>
      </w:r>
      <w:r w:rsidRPr="000E5B60">
        <w:rPr>
          <w:i/>
          <w:iCs/>
        </w:rPr>
        <w:t>Resilient IT Infrastructure: A Guide to Business Continuity and Disaster Recovery Design.</w:t>
      </w:r>
      <w:r w:rsidRPr="000E5B60">
        <w:t xml:space="preserve"> Oxford: IT Governance Publishing.</w:t>
      </w:r>
    </w:p>
    <w:p w14:paraId="6D71519D" w14:textId="77777777" w:rsidR="000E5B60" w:rsidRPr="000E5B60" w:rsidRDefault="000E5B60" w:rsidP="000E5B60">
      <w:pPr>
        <w:numPr>
          <w:ilvl w:val="0"/>
          <w:numId w:val="2"/>
        </w:numPr>
      </w:pPr>
      <w:r w:rsidRPr="000E5B60">
        <w:t xml:space="preserve">Gartner (2024) </w:t>
      </w:r>
      <w:r w:rsidRPr="000E5B60">
        <w:rPr>
          <w:i/>
          <w:iCs/>
        </w:rPr>
        <w:t>Emerging Technologies Impact Radar: Security.</w:t>
      </w:r>
      <w:r w:rsidRPr="000E5B60">
        <w:t xml:space="preserve"> Stamford, CT: Gartner Research.</w:t>
      </w:r>
    </w:p>
    <w:p w14:paraId="0DF97686" w14:textId="77777777" w:rsidR="006145B7" w:rsidRDefault="006145B7"/>
    <w:sectPr w:rsidR="006145B7">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11A93" w14:textId="77777777" w:rsidR="006C197F" w:rsidRDefault="006C197F" w:rsidP="000E5B60">
      <w:pPr>
        <w:spacing w:after="0" w:line="240" w:lineRule="auto"/>
      </w:pPr>
      <w:r>
        <w:separator/>
      </w:r>
    </w:p>
  </w:endnote>
  <w:endnote w:type="continuationSeparator" w:id="0">
    <w:p w14:paraId="585DB0FA" w14:textId="77777777" w:rsidR="006C197F" w:rsidRDefault="006C197F" w:rsidP="000E5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FB433" w14:textId="1A82D14E" w:rsidR="000E5B60" w:rsidRDefault="000E5B60">
    <w:pPr>
      <w:pStyle w:val="Footer"/>
    </w:pPr>
    <w:r>
      <w:rPr>
        <w:noProof/>
      </w:rPr>
      <mc:AlternateContent>
        <mc:Choice Requires="wps">
          <w:drawing>
            <wp:anchor distT="0" distB="0" distL="0" distR="0" simplePos="0" relativeHeight="251659264" behindDoc="0" locked="0" layoutInCell="1" allowOverlap="1" wp14:anchorId="27A45815" wp14:editId="0BFBE382">
              <wp:simplePos x="635" y="635"/>
              <wp:positionH relativeFrom="page">
                <wp:align>left</wp:align>
              </wp:positionH>
              <wp:positionV relativeFrom="page">
                <wp:align>bottom</wp:align>
              </wp:positionV>
              <wp:extent cx="1518285" cy="370205"/>
              <wp:effectExtent l="0" t="0" r="5715" b="0"/>
              <wp:wrapNone/>
              <wp:docPr id="1153107185" name="Text Box 2"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8285" cy="370205"/>
                      </a:xfrm>
                      <a:prstGeom prst="rect">
                        <a:avLst/>
                      </a:prstGeom>
                      <a:noFill/>
                      <a:ln>
                        <a:noFill/>
                      </a:ln>
                    </wps:spPr>
                    <wps:txbx>
                      <w:txbxContent>
                        <w:p w14:paraId="16DFB355" w14:textId="1EEF934E" w:rsidR="000E5B60" w:rsidRPr="000E5B60" w:rsidRDefault="000E5B60" w:rsidP="000E5B60">
                          <w:pPr>
                            <w:spacing w:after="0"/>
                            <w:rPr>
                              <w:rFonts w:ascii="Aptos" w:eastAsia="Aptos" w:hAnsi="Aptos" w:cs="Aptos"/>
                              <w:noProof/>
                              <w:color w:val="000000"/>
                              <w:sz w:val="20"/>
                              <w:szCs w:val="20"/>
                            </w:rPr>
                          </w:pPr>
                          <w:r w:rsidRPr="000E5B60">
                            <w:rPr>
                              <w:rFonts w:ascii="Aptos" w:eastAsia="Aptos" w:hAnsi="Aptos" w:cs="Aptos"/>
                              <w:noProof/>
                              <w:color w:val="000000"/>
                              <w:sz w:val="20"/>
                              <w:szCs w:val="20"/>
                            </w:rPr>
                            <w:t>Classification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A45815" id="_x0000_t202" coordsize="21600,21600" o:spt="202" path="m,l,21600r21600,l21600,xe">
              <v:stroke joinstyle="miter"/>
              <v:path gradientshapeok="t" o:connecttype="rect"/>
            </v:shapetype>
            <v:shape id="Text Box 2" o:spid="_x0000_s1026" type="#_x0000_t202" alt="Classification : Internal" style="position:absolute;margin-left:0;margin-top:0;width:119.5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" filled="f" stroked="f">
              <v:fill o:detectmouseclick="t"/>
              <v:textbox style="mso-fit-shape-to-text:t" inset="20pt,0,0,15pt">
                <w:txbxContent>
                  <w:p w14:paraId="16DFB355" w14:textId="1EEF934E" w:rsidR="000E5B60" w:rsidRPr="000E5B60" w:rsidRDefault="000E5B60" w:rsidP="000E5B60">
                    <w:pPr>
                      <w:spacing w:after="0"/>
                      <w:rPr>
                        <w:rFonts w:ascii="Aptos" w:eastAsia="Aptos" w:hAnsi="Aptos" w:cs="Aptos"/>
                        <w:noProof/>
                        <w:color w:val="000000"/>
                        <w:sz w:val="20"/>
                        <w:szCs w:val="20"/>
                      </w:rPr>
                    </w:pPr>
                    <w:r w:rsidRPr="000E5B60">
                      <w:rPr>
                        <w:rFonts w:ascii="Aptos" w:eastAsia="Aptos" w:hAnsi="Aptos" w:cs="Aptos"/>
                        <w:noProof/>
                        <w:color w:val="000000"/>
                        <w:sz w:val="20"/>
                        <w:szCs w:val="20"/>
                      </w:rPr>
                      <w:t>Classification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7A364" w14:textId="7C4496D0" w:rsidR="000E5B60" w:rsidRDefault="000E5B60">
    <w:pPr>
      <w:pStyle w:val="Footer"/>
    </w:pPr>
    <w:r>
      <w:rPr>
        <w:noProof/>
      </w:rPr>
      <mc:AlternateContent>
        <mc:Choice Requires="wps">
          <w:drawing>
            <wp:anchor distT="0" distB="0" distL="0" distR="0" simplePos="0" relativeHeight="251660288" behindDoc="0" locked="0" layoutInCell="1" allowOverlap="1" wp14:anchorId="6E5AABB6" wp14:editId="4EC7B4A9">
              <wp:simplePos x="914400" y="9413563"/>
              <wp:positionH relativeFrom="page">
                <wp:align>left</wp:align>
              </wp:positionH>
              <wp:positionV relativeFrom="page">
                <wp:align>bottom</wp:align>
              </wp:positionV>
              <wp:extent cx="1518285" cy="370205"/>
              <wp:effectExtent l="0" t="0" r="5715" b="0"/>
              <wp:wrapNone/>
              <wp:docPr id="1061122996" name="Text Box 3"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8285" cy="370205"/>
                      </a:xfrm>
                      <a:prstGeom prst="rect">
                        <a:avLst/>
                      </a:prstGeom>
                      <a:noFill/>
                      <a:ln>
                        <a:noFill/>
                      </a:ln>
                    </wps:spPr>
                    <wps:txbx>
                      <w:txbxContent>
                        <w:p w14:paraId="33291B76" w14:textId="4B0F5D67" w:rsidR="000E5B60" w:rsidRPr="000E5B60" w:rsidRDefault="000E5B60" w:rsidP="000E5B60">
                          <w:pPr>
                            <w:spacing w:after="0"/>
                            <w:rPr>
                              <w:rFonts w:ascii="Aptos" w:eastAsia="Aptos" w:hAnsi="Aptos" w:cs="Aptos"/>
                              <w:noProof/>
                              <w:color w:val="000000"/>
                              <w:sz w:val="20"/>
                              <w:szCs w:val="20"/>
                            </w:rPr>
                          </w:pPr>
                          <w:r w:rsidRPr="000E5B60">
                            <w:rPr>
                              <w:rFonts w:ascii="Aptos" w:eastAsia="Aptos" w:hAnsi="Aptos" w:cs="Aptos"/>
                              <w:noProof/>
                              <w:color w:val="000000"/>
                              <w:sz w:val="20"/>
                              <w:szCs w:val="20"/>
                            </w:rPr>
                            <w:t>Classification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5AABB6" id="_x0000_t202" coordsize="21600,21600" o:spt="202" path="m,l,21600r21600,l21600,xe">
              <v:stroke joinstyle="miter"/>
              <v:path gradientshapeok="t" o:connecttype="rect"/>
            </v:shapetype>
            <v:shape id="Text Box 3" o:spid="_x0000_s1027" type="#_x0000_t202" alt="Classification : Internal" style="position:absolute;margin-left:0;margin-top:0;width:119.5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" filled="f" stroked="f">
              <v:fill o:detectmouseclick="t"/>
              <v:textbox style="mso-fit-shape-to-text:t" inset="20pt,0,0,15pt">
                <w:txbxContent>
                  <w:p w14:paraId="33291B76" w14:textId="4B0F5D67" w:rsidR="000E5B60" w:rsidRPr="000E5B60" w:rsidRDefault="000E5B60" w:rsidP="000E5B60">
                    <w:pPr>
                      <w:spacing w:after="0"/>
                      <w:rPr>
                        <w:rFonts w:ascii="Aptos" w:eastAsia="Aptos" w:hAnsi="Aptos" w:cs="Aptos"/>
                        <w:noProof/>
                        <w:color w:val="000000"/>
                        <w:sz w:val="20"/>
                        <w:szCs w:val="20"/>
                      </w:rPr>
                    </w:pPr>
                    <w:r w:rsidRPr="000E5B60">
                      <w:rPr>
                        <w:rFonts w:ascii="Aptos" w:eastAsia="Aptos" w:hAnsi="Aptos" w:cs="Aptos"/>
                        <w:noProof/>
                        <w:color w:val="000000"/>
                        <w:sz w:val="20"/>
                        <w:szCs w:val="20"/>
                      </w:rPr>
                      <w:t>Classification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A6B8" w14:textId="6626675B" w:rsidR="000E5B60" w:rsidRDefault="000E5B60">
    <w:pPr>
      <w:pStyle w:val="Footer"/>
    </w:pPr>
    <w:r>
      <w:rPr>
        <w:noProof/>
      </w:rPr>
      <mc:AlternateContent>
        <mc:Choice Requires="wps">
          <w:drawing>
            <wp:anchor distT="0" distB="0" distL="0" distR="0" simplePos="0" relativeHeight="251658240" behindDoc="0" locked="0" layoutInCell="1" allowOverlap="1" wp14:anchorId="6A580C76" wp14:editId="4D8413E8">
              <wp:simplePos x="635" y="635"/>
              <wp:positionH relativeFrom="page">
                <wp:align>left</wp:align>
              </wp:positionH>
              <wp:positionV relativeFrom="page">
                <wp:align>bottom</wp:align>
              </wp:positionV>
              <wp:extent cx="1518285" cy="370205"/>
              <wp:effectExtent l="0" t="0" r="5715" b="0"/>
              <wp:wrapNone/>
              <wp:docPr id="34549336" name="Text Box 1"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8285" cy="370205"/>
                      </a:xfrm>
                      <a:prstGeom prst="rect">
                        <a:avLst/>
                      </a:prstGeom>
                      <a:noFill/>
                      <a:ln>
                        <a:noFill/>
                      </a:ln>
                    </wps:spPr>
                    <wps:txbx>
                      <w:txbxContent>
                        <w:p w14:paraId="4B1B560B" w14:textId="72C0B78A" w:rsidR="000E5B60" w:rsidRPr="000E5B60" w:rsidRDefault="000E5B60" w:rsidP="000E5B60">
                          <w:pPr>
                            <w:spacing w:after="0"/>
                            <w:rPr>
                              <w:rFonts w:ascii="Aptos" w:eastAsia="Aptos" w:hAnsi="Aptos" w:cs="Aptos"/>
                              <w:noProof/>
                              <w:color w:val="000000"/>
                              <w:sz w:val="20"/>
                              <w:szCs w:val="20"/>
                            </w:rPr>
                          </w:pPr>
                          <w:r w:rsidRPr="000E5B60">
                            <w:rPr>
                              <w:rFonts w:ascii="Aptos" w:eastAsia="Aptos" w:hAnsi="Aptos" w:cs="Aptos"/>
                              <w:noProof/>
                              <w:color w:val="000000"/>
                              <w:sz w:val="20"/>
                              <w:szCs w:val="20"/>
                            </w:rPr>
                            <w:t>Classification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580C76" id="_x0000_t202" coordsize="21600,21600" o:spt="202" path="m,l,21600r21600,l21600,xe">
              <v:stroke joinstyle="miter"/>
              <v:path gradientshapeok="t" o:connecttype="rect"/>
            </v:shapetype>
            <v:shape id="Text Box 1" o:spid="_x0000_s1028" type="#_x0000_t202" alt="Classification : Internal" style="position:absolute;margin-left:0;margin-top:0;width:119.5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" filled="f" stroked="f">
              <v:fill o:detectmouseclick="t"/>
              <v:textbox style="mso-fit-shape-to-text:t" inset="20pt,0,0,15pt">
                <w:txbxContent>
                  <w:p w14:paraId="4B1B560B" w14:textId="72C0B78A" w:rsidR="000E5B60" w:rsidRPr="000E5B60" w:rsidRDefault="000E5B60" w:rsidP="000E5B60">
                    <w:pPr>
                      <w:spacing w:after="0"/>
                      <w:rPr>
                        <w:rFonts w:ascii="Aptos" w:eastAsia="Aptos" w:hAnsi="Aptos" w:cs="Aptos"/>
                        <w:noProof/>
                        <w:color w:val="000000"/>
                        <w:sz w:val="20"/>
                        <w:szCs w:val="20"/>
                      </w:rPr>
                    </w:pPr>
                    <w:r w:rsidRPr="000E5B60">
                      <w:rPr>
                        <w:rFonts w:ascii="Aptos" w:eastAsia="Aptos" w:hAnsi="Aptos" w:cs="Aptos"/>
                        <w:noProof/>
                        <w:color w:val="000000"/>
                        <w:sz w:val="20"/>
                        <w:szCs w:val="20"/>
                      </w:rPr>
                      <w:t>Classification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ECBEA" w14:textId="77777777" w:rsidR="006C197F" w:rsidRDefault="006C197F" w:rsidP="000E5B60">
      <w:pPr>
        <w:spacing w:after="0" w:line="240" w:lineRule="auto"/>
      </w:pPr>
      <w:r>
        <w:separator/>
      </w:r>
    </w:p>
  </w:footnote>
  <w:footnote w:type="continuationSeparator" w:id="0">
    <w:p w14:paraId="5437793B" w14:textId="77777777" w:rsidR="006C197F" w:rsidRDefault="006C197F" w:rsidP="000E5B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1E91"/>
    <w:multiLevelType w:val="multilevel"/>
    <w:tmpl w:val="956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50334"/>
    <w:multiLevelType w:val="multilevel"/>
    <w:tmpl w:val="956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26443"/>
    <w:multiLevelType w:val="hybridMultilevel"/>
    <w:tmpl w:val="5386A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831493">
    <w:abstractNumId w:val="1"/>
  </w:num>
  <w:num w:numId="2" w16cid:durableId="1401563234">
    <w:abstractNumId w:val="0"/>
  </w:num>
  <w:num w:numId="3" w16cid:durableId="1819228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5B4"/>
    <w:rsid w:val="000C44A8"/>
    <w:rsid w:val="000E5B60"/>
    <w:rsid w:val="001955D8"/>
    <w:rsid w:val="00400D2D"/>
    <w:rsid w:val="004405B4"/>
    <w:rsid w:val="0058444E"/>
    <w:rsid w:val="006145B7"/>
    <w:rsid w:val="006C197F"/>
    <w:rsid w:val="007E60CF"/>
    <w:rsid w:val="00832A17"/>
    <w:rsid w:val="008856C0"/>
    <w:rsid w:val="008A5DEB"/>
    <w:rsid w:val="00AB5A87"/>
    <w:rsid w:val="00B63716"/>
    <w:rsid w:val="00EA03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826AE"/>
  <w15:chartTrackingRefBased/>
  <w15:docId w15:val="{2131303B-C5A2-4803-BEC5-6162C870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5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5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5B4"/>
    <w:rPr>
      <w:rFonts w:eastAsiaTheme="majorEastAsia" w:cstheme="majorBidi"/>
      <w:color w:val="272727" w:themeColor="text1" w:themeTint="D8"/>
    </w:rPr>
  </w:style>
  <w:style w:type="paragraph" w:styleId="Title">
    <w:name w:val="Title"/>
    <w:basedOn w:val="Normal"/>
    <w:next w:val="Normal"/>
    <w:link w:val="TitleChar"/>
    <w:uiPriority w:val="10"/>
    <w:qFormat/>
    <w:rsid w:val="00440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5B4"/>
    <w:pPr>
      <w:spacing w:before="160"/>
      <w:jc w:val="center"/>
    </w:pPr>
    <w:rPr>
      <w:i/>
      <w:iCs/>
      <w:color w:val="404040" w:themeColor="text1" w:themeTint="BF"/>
    </w:rPr>
  </w:style>
  <w:style w:type="character" w:customStyle="1" w:styleId="QuoteChar">
    <w:name w:val="Quote Char"/>
    <w:basedOn w:val="DefaultParagraphFont"/>
    <w:link w:val="Quote"/>
    <w:uiPriority w:val="29"/>
    <w:rsid w:val="004405B4"/>
    <w:rPr>
      <w:i/>
      <w:iCs/>
      <w:color w:val="404040" w:themeColor="text1" w:themeTint="BF"/>
    </w:rPr>
  </w:style>
  <w:style w:type="paragraph" w:styleId="ListParagraph">
    <w:name w:val="List Paragraph"/>
    <w:basedOn w:val="Normal"/>
    <w:uiPriority w:val="34"/>
    <w:qFormat/>
    <w:rsid w:val="004405B4"/>
    <w:pPr>
      <w:ind w:left="720"/>
      <w:contextualSpacing/>
    </w:pPr>
  </w:style>
  <w:style w:type="character" w:styleId="IntenseEmphasis">
    <w:name w:val="Intense Emphasis"/>
    <w:basedOn w:val="DefaultParagraphFont"/>
    <w:uiPriority w:val="21"/>
    <w:qFormat/>
    <w:rsid w:val="004405B4"/>
    <w:rPr>
      <w:i/>
      <w:iCs/>
      <w:color w:val="0F4761" w:themeColor="accent1" w:themeShade="BF"/>
    </w:rPr>
  </w:style>
  <w:style w:type="paragraph" w:styleId="IntenseQuote">
    <w:name w:val="Intense Quote"/>
    <w:basedOn w:val="Normal"/>
    <w:next w:val="Normal"/>
    <w:link w:val="IntenseQuoteChar"/>
    <w:uiPriority w:val="30"/>
    <w:qFormat/>
    <w:rsid w:val="00440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5B4"/>
    <w:rPr>
      <w:i/>
      <w:iCs/>
      <w:color w:val="0F4761" w:themeColor="accent1" w:themeShade="BF"/>
    </w:rPr>
  </w:style>
  <w:style w:type="character" w:styleId="IntenseReference">
    <w:name w:val="Intense Reference"/>
    <w:basedOn w:val="DefaultParagraphFont"/>
    <w:uiPriority w:val="32"/>
    <w:qFormat/>
    <w:rsid w:val="004405B4"/>
    <w:rPr>
      <w:b/>
      <w:bCs/>
      <w:smallCaps/>
      <w:color w:val="0F4761" w:themeColor="accent1" w:themeShade="BF"/>
      <w:spacing w:val="5"/>
    </w:rPr>
  </w:style>
  <w:style w:type="paragraph" w:styleId="Footer">
    <w:name w:val="footer"/>
    <w:basedOn w:val="Normal"/>
    <w:link w:val="FooterChar"/>
    <w:uiPriority w:val="99"/>
    <w:unhideWhenUsed/>
    <w:rsid w:val="000E5B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Ali Harahsheh</dc:creator>
  <cp:keywords/>
  <dc:description/>
  <cp:lastModifiedBy>Mohammed Ali Harahsheh</cp:lastModifiedBy>
  <cp:revision>2</cp:revision>
  <dcterms:created xsi:type="dcterms:W3CDTF">2025-10-11T09:19:00Z</dcterms:created>
  <dcterms:modified xsi:type="dcterms:W3CDTF">2025-10-11T09:20:00Z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20f2e58,44bb04f1,3f3f73b4</vt:lpwstr>
  </property>
  <property fmtid="{D5CDD505-2E9C-101B-9397-08002B2CF9AE}" pid="3" name="ClassificationContentMarkingFooterFontProps">
    <vt:lpwstr>#000000,10,Aptos</vt:lpwstr>
  </property>
  <property fmtid="{D5CDD505-2E9C-101B-9397-08002B2CF9AE}" pid="4" name="ClassificationContentMarkingFooterText">
    <vt:lpwstr>Classification : Internal</vt:lpwstr>
  </property>
  <property fmtid="{D5CDD505-2E9C-101B-9397-08002B2CF9AE}" pid="5" name="MSIP_Label_ba36020d-ba40-4770-a787-3bf47d300462_Enabled">
    <vt:lpwstr>true</vt:lpwstr>
  </property>
  <property fmtid="{D5CDD505-2E9C-101B-9397-08002B2CF9AE}" pid="6" name="MSIP_Label_ba36020d-ba40-4770-a787-3bf47d300462_SetDate">
    <vt:lpwstr>2025-10-11T09:19:28Z</vt:lpwstr>
  </property>
  <property fmtid="{D5CDD505-2E9C-101B-9397-08002B2CF9AE}" pid="7" name="MSIP_Label_ba36020d-ba40-4770-a787-3bf47d300462_Method">
    <vt:lpwstr>Privileged</vt:lpwstr>
  </property>
  <property fmtid="{D5CDD505-2E9C-101B-9397-08002B2CF9AE}" pid="8" name="MSIP_Label_ba36020d-ba40-4770-a787-3bf47d300462_Name">
    <vt:lpwstr>Internal</vt:lpwstr>
  </property>
  <property fmtid="{D5CDD505-2E9C-101B-9397-08002B2CF9AE}" pid="9" name="MSIP_Label_ba36020d-ba40-4770-a787-3bf47d300462_SiteId">
    <vt:lpwstr>0a8d00b7-df0a-4a52-a647-5c13f8349631</vt:lpwstr>
  </property>
  <property fmtid="{D5CDD505-2E9C-101B-9397-08002B2CF9AE}" pid="10" name="MSIP_Label_ba36020d-ba40-4770-a787-3bf47d300462_ActionId">
    <vt:lpwstr>da62195f-9bd7-441d-8481-7c6e48a26fe4</vt:lpwstr>
  </property>
  <property fmtid="{D5CDD505-2E9C-101B-9397-08002B2CF9AE}" pid="11" name="MSIP_Label_ba36020d-ba40-4770-a787-3bf47d300462_ContentBits">
    <vt:lpwstr>2</vt:lpwstr>
  </property>
  <property fmtid="{D5CDD505-2E9C-101B-9397-08002B2CF9AE}" pid="12" name="MSIP_Label_ba36020d-ba40-4770-a787-3bf47d300462_Tag">
    <vt:lpwstr>10, 0, 1, 1</vt:lpwstr>
  </property>
</Properties>
</file>