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ED2" w:rsidRDefault="0078045B" w:rsidP="0024463C">
      <w:pPr>
        <w:ind w:left="-990"/>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4" type="#_x0000_t47" style="position:absolute;left:0;text-align:left;margin-left:370.85pt;margin-top:41.1pt;width:121.4pt;height:24.35pt;z-index:251663360" adj="-10400,65820,-1068,7984,-12811,42579,-12811,42579">
            <v:textbox>
              <w:txbxContent>
                <w:p w:rsidR="00264955" w:rsidRDefault="00264955">
                  <w:r>
                    <w:t xml:space="preserve">This box can stay as is.  </w:t>
                  </w:r>
                </w:p>
              </w:txbxContent>
            </v:textbox>
            <o:callout v:ext="edit" minusy="t"/>
          </v:shape>
        </w:pict>
      </w:r>
      <w:r>
        <w:rPr>
          <w:noProof/>
        </w:rPr>
        <w:pict>
          <v:shape id="_x0000_s1028" type="#_x0000_t47" style="position:absolute;left:0;text-align:left;margin-left:160.45pt;margin-top:-26.4pt;width:268.45pt;height:54.2pt;z-index:251659264" adj="-5536,31862,-483,3587,-1159,29630,-1159,29630">
            <v:textbox>
              <w:txbxContent>
                <w:p w:rsidR="00264955" w:rsidRDefault="00264955">
                  <w:r>
                    <w:t xml:space="preserve">Perhaps these tabs can have departments: Data QA/QC, Transactions, Securities &amp; Servicing, Instructions, Acronyms/Glossary, </w:t>
                  </w:r>
                  <w:proofErr w:type="gramStart"/>
                  <w:r>
                    <w:t>FAQ</w:t>
                  </w:r>
                  <w:proofErr w:type="gramEnd"/>
                  <w:r>
                    <w:t>/Frequently reported issues list.</w:t>
                  </w:r>
                </w:p>
              </w:txbxContent>
            </v:textbox>
            <o:callout v:ext="edit" minusy="t"/>
          </v:shape>
        </w:pict>
      </w:r>
      <w:r w:rsidR="00092723">
        <w:rPr>
          <w:noProof/>
          <w:lang w:eastAsia="zh-TW"/>
        </w:rPr>
        <w:pict>
          <v:shapetype id="_x0000_t202" coordsize="21600,21600" o:spt="202" path="m,l,21600r21600,l21600,xe">
            <v:stroke joinstyle="miter"/>
            <v:path gradientshapeok="t" o:connecttype="rect"/>
          </v:shapetype>
          <v:shape id="_x0000_s1038" type="#_x0000_t202" style="position:absolute;left:0;text-align:left;margin-left:305.45pt;margin-top:158pt;width:186.35pt;height:110.6pt;z-index:251665408;mso-width-percent:400;mso-height-percent:200;mso-width-percent:400;mso-height-percent:200;mso-width-relative:margin;mso-height-relative:margin">
            <v:textbox style="mso-fit-shape-to-text:t">
              <w:txbxContent>
                <w:p w:rsidR="00264955" w:rsidRPr="00092723" w:rsidRDefault="00264955" w:rsidP="00092723">
                  <w:r>
                    <w:t>Add an “Advanced search” button so users can enter more detail if they are looking for something specific, such as field, issue type, or product affected either county specific or nationwide.</w:t>
                  </w:r>
                </w:p>
              </w:txbxContent>
            </v:textbox>
          </v:shape>
        </w:pict>
      </w:r>
      <w:r w:rsidR="006E4A91">
        <w:rPr>
          <w:noProof/>
        </w:rPr>
        <w:pict>
          <v:rect id="_x0000_s1033" style="position:absolute;left:0;text-align:left;margin-left:111.1pt;margin-top:117.9pt;width:243.75pt;height:48.35pt;z-index:251662336" strokecolor="yellow" strokeweight="3pt">
            <v:fill opacity="0"/>
          </v:rect>
        </w:pict>
      </w:r>
      <w:r w:rsidR="0024463C">
        <w:rPr>
          <w:noProof/>
        </w:rPr>
        <w:pict>
          <v:rect id="_x0000_s1029" style="position:absolute;left:0;text-align:left;margin-left:-45.25pt;margin-top:89.1pt;width:199.55pt;height:21.6pt;z-index:251660288" strokecolor="yellow" strokeweight="3pt">
            <v:fill opacity="0"/>
          </v:rect>
        </w:pict>
      </w:r>
      <w:r w:rsidR="0024463C">
        <w:rPr>
          <w:noProof/>
        </w:rPr>
        <w:pict>
          <v:rect id="_x0000_s1027" style="position:absolute;left:0;text-align:left;margin-left:-50.4pt;margin-top:58.25pt;width:180pt;height:25.7pt;z-index:251658240" strokecolor="yellow" strokeweight="4.5pt">
            <v:fill opacity="0"/>
          </v:rect>
        </w:pict>
      </w:r>
      <w:r w:rsidR="0024463C">
        <w:rPr>
          <w:noProof/>
        </w:rPr>
        <w:drawing>
          <wp:inline distT="0" distB="0" distL="0" distR="0">
            <wp:extent cx="7101954" cy="2612572"/>
            <wp:effectExtent l="19050" t="0" r="36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6750" t="14062" r="56250" b="51562"/>
                    <a:stretch>
                      <a:fillRect/>
                    </a:stretch>
                  </pic:blipFill>
                  <pic:spPr bwMode="auto">
                    <a:xfrm>
                      <a:off x="0" y="0"/>
                      <a:ext cx="7100585" cy="2612068"/>
                    </a:xfrm>
                    <a:prstGeom prst="rect">
                      <a:avLst/>
                    </a:prstGeom>
                    <a:noFill/>
                    <a:ln w="9525">
                      <a:noFill/>
                      <a:miter lim="800000"/>
                      <a:headEnd/>
                      <a:tailEnd/>
                    </a:ln>
                  </pic:spPr>
                </pic:pic>
              </a:graphicData>
            </a:graphic>
          </wp:inline>
        </w:drawing>
      </w:r>
    </w:p>
    <w:p w:rsidR="00C34ABE" w:rsidRDefault="0078045B" w:rsidP="0024463C">
      <w:pPr>
        <w:ind w:left="-990"/>
      </w:pPr>
      <w:r>
        <w:rPr>
          <w:noProof/>
        </w:rPr>
        <w:pict>
          <v:shape id="_x0000_s1031" type="#_x0000_t47" style="position:absolute;left:0;text-align:left;margin-left:44.25pt;margin-top:3pt;width:101.8pt;height:26.75pt;z-index:251661312" adj="-13060,-87611,-1273,7267,-2620,14938,-2620,14938">
            <v:textbox>
              <w:txbxContent>
                <w:p w:rsidR="00264955" w:rsidRPr="00092723" w:rsidRDefault="00264955" w:rsidP="00092723">
                  <w:r>
                    <w:t xml:space="preserve">This can stay as is.  </w:t>
                  </w:r>
                </w:p>
              </w:txbxContent>
            </v:textbox>
          </v:shape>
        </w:pict>
      </w:r>
    </w:p>
    <w:p w:rsidR="00C34ABE" w:rsidRDefault="00C34ABE" w:rsidP="0024463C">
      <w:pPr>
        <w:ind w:left="-990"/>
      </w:pPr>
    </w:p>
    <w:p w:rsidR="00C34ABE" w:rsidRDefault="00C34ABE" w:rsidP="0024463C">
      <w:pPr>
        <w:ind w:left="-990"/>
      </w:pPr>
    </w:p>
    <w:p w:rsidR="00C34ABE" w:rsidRDefault="00C34ABE" w:rsidP="0024463C">
      <w:pPr>
        <w:ind w:left="-990"/>
      </w:pPr>
    </w:p>
    <w:p w:rsidR="00C34ABE" w:rsidRDefault="003734E7" w:rsidP="0024463C">
      <w:pPr>
        <w:ind w:left="-990"/>
      </w:pPr>
      <w:r>
        <w:rPr>
          <w:noProof/>
        </w:rPr>
        <w:pict>
          <v:shape id="_x0000_s1052" type="#_x0000_t202" style="position:absolute;left:0;text-align:left;margin-left:290.05pt;margin-top:356.25pt;width:151.4pt;height:44.2pt;z-index:251678720;mso-width-relative:margin;mso-height-relative:margin">
            <v:textbox>
              <w:txbxContent>
                <w:p w:rsidR="003734E7" w:rsidRDefault="003734E7" w:rsidP="003734E7">
                  <w:proofErr w:type="gramStart"/>
                  <w:r>
                    <w:t>Would be nice if we could filter or sort this list.</w:t>
                  </w:r>
                  <w:proofErr w:type="gramEnd"/>
                  <w:r>
                    <w:t xml:space="preserve"> </w:t>
                  </w:r>
                </w:p>
              </w:txbxContent>
            </v:textbox>
          </v:shape>
        </w:pict>
      </w:r>
      <w:r w:rsidR="00264955">
        <w:rPr>
          <w:noProof/>
        </w:rPr>
        <w:pict>
          <v:shape id="_x0000_s1040" type="#_x0000_t47" style="position:absolute;left:0;text-align:left;margin-left:335.35pt;margin-top:152.25pt;width:194.4pt;height:53.45pt;z-index:251667456" adj="-6039,-11436,-667,3637">
            <v:textbox style="mso-next-textbox:#_x0000_s1040">
              <w:txbxContent>
                <w:p w:rsidR="00264955" w:rsidRDefault="00264955">
                  <w:r>
                    <w:t xml:space="preserve">These fields </w:t>
                  </w:r>
                  <w:proofErr w:type="gramStart"/>
                  <w:r>
                    <w:t>can be listed</w:t>
                  </w:r>
                  <w:proofErr w:type="gramEnd"/>
                  <w:r>
                    <w:t xml:space="preserve"> as the same shown in </w:t>
                  </w:r>
                  <w:proofErr w:type="spellStart"/>
                  <w:r>
                    <w:t>Sharepoint</w:t>
                  </w:r>
                  <w:proofErr w:type="spellEnd"/>
                  <w:r>
                    <w:t>/Knowledge Base. (See below)</w:t>
                  </w:r>
                </w:p>
              </w:txbxContent>
            </v:textbox>
          </v:shape>
        </w:pict>
      </w:r>
      <w:r w:rsidR="00C34ABE">
        <w:rPr>
          <w:noProof/>
          <w:lang w:eastAsia="zh-TW"/>
        </w:rPr>
        <w:pict>
          <v:shape id="_x0000_s1042" type="#_x0000_t202" style="position:absolute;left:0;text-align:left;margin-left:247.3pt;margin-top:321.95pt;width:231.6pt;height:23.2pt;z-index:251669504;mso-width-relative:margin;mso-height-relative:margin">
            <v:textbox>
              <w:txbxContent>
                <w:p w:rsidR="00264955" w:rsidRDefault="00264955">
                  <w:r>
                    <w:t xml:space="preserve">Add link to each list item to open for details. </w:t>
                  </w:r>
                </w:p>
              </w:txbxContent>
            </v:textbox>
          </v:shape>
        </w:pict>
      </w:r>
      <w:r w:rsidR="00C34ABE">
        <w:rPr>
          <w:noProof/>
        </w:rPr>
        <w:pict>
          <v:shapetype id="_x0000_t32" coordsize="21600,21600" o:spt="32" o:oned="t" path="m,l21600,21600e" filled="f">
            <v:path arrowok="t" fillok="f" o:connecttype="none"/>
            <o:lock v:ext="edit" shapetype="t"/>
          </v:shapetype>
          <v:shape id="_x0000_s1043" type="#_x0000_t32" style="position:absolute;left:0;text-align:left;margin-left:18.5pt;margin-top:218.05pt;width:228.8pt;height:110.05pt;flip:x y;z-index:251670528" o:connectortype="straight">
            <v:stroke endarrow="block"/>
          </v:shape>
        </w:pict>
      </w:r>
      <w:r w:rsidR="00C34ABE">
        <w:rPr>
          <w:noProof/>
        </w:rPr>
        <w:pict>
          <v:rect id="_x0000_s1039" style="position:absolute;left:0;text-align:left;margin-left:-33.95pt;margin-top:92.55pt;width:541.05pt;height:30.9pt;z-index:251666432" strokecolor="yellow" strokeweight="3pt">
            <v:fill opacity="0"/>
          </v:rect>
        </w:pict>
      </w:r>
      <w:r w:rsidR="00C34ABE">
        <w:rPr>
          <w:noProof/>
        </w:rPr>
        <w:drawing>
          <wp:inline distT="0" distB="0" distL="0" distR="0">
            <wp:extent cx="7165521" cy="454389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5625" t="14063" r="56250" b="2812"/>
                    <a:stretch>
                      <a:fillRect/>
                    </a:stretch>
                  </pic:blipFill>
                  <pic:spPr bwMode="auto">
                    <a:xfrm>
                      <a:off x="0" y="0"/>
                      <a:ext cx="7165521" cy="4543892"/>
                    </a:xfrm>
                    <a:prstGeom prst="rect">
                      <a:avLst/>
                    </a:prstGeom>
                    <a:noFill/>
                    <a:ln w="9525">
                      <a:noFill/>
                      <a:miter lim="800000"/>
                      <a:headEnd/>
                      <a:tailEnd/>
                    </a:ln>
                  </pic:spPr>
                </pic:pic>
              </a:graphicData>
            </a:graphic>
          </wp:inline>
        </w:drawing>
      </w:r>
    </w:p>
    <w:p w:rsidR="00264955" w:rsidRDefault="0078045B" w:rsidP="0024463C">
      <w:pPr>
        <w:ind w:left="-990"/>
      </w:pPr>
      <w:r>
        <w:rPr>
          <w:noProof/>
          <w:lang w:eastAsia="zh-TW"/>
        </w:rPr>
        <w:lastRenderedPageBreak/>
        <w:pict>
          <v:shape id="_x0000_s1049" type="#_x0000_t202" style="position:absolute;left:0;text-align:left;margin-left:-27.4pt;margin-top:429.95pt;width:300.45pt;height:39.6pt;z-index:251675648;mso-width-relative:margin;mso-height-relative:margin">
            <v:textbox>
              <w:txbxContent>
                <w:p w:rsidR="0078045B" w:rsidRDefault="0078045B">
                  <w:r>
                    <w:t>List should return most recent with a limit on how many returned.   Ability to search archived items is necessary.</w:t>
                  </w:r>
                </w:p>
              </w:txbxContent>
            </v:textbox>
          </v:shape>
        </w:pict>
      </w:r>
      <w:r w:rsidR="009101A3">
        <w:rPr>
          <w:noProof/>
          <w:lang w:eastAsia="zh-TW"/>
        </w:rPr>
        <w:pict>
          <v:shape id="_x0000_s1046" type="#_x0000_t202" style="position:absolute;left:0;text-align:left;margin-left:323.4pt;margin-top:296.25pt;width:186.35pt;height:48.85pt;z-index:251672576;mso-width-percent:400;mso-height-percent:200;mso-width-percent:400;mso-height-percent:200;mso-width-relative:margin;mso-height-relative:margin">
            <v:textbox style="mso-fit-shape-to-text:t">
              <w:txbxContent>
                <w:p w:rsidR="00264955" w:rsidRPr="00264955" w:rsidRDefault="00264955" w:rsidP="00264955">
                  <w:r>
                    <w:t>List from page 1 should contain “quick view” fields as shown here.</w:t>
                  </w:r>
                </w:p>
              </w:txbxContent>
            </v:textbox>
          </v:shape>
        </w:pict>
      </w:r>
      <w:r w:rsidR="009101A3">
        <w:rPr>
          <w:noProof/>
        </w:rPr>
        <w:pict>
          <v:shape id="_x0000_s1047" type="#_x0000_t32" style="position:absolute;left:0;text-align:left;margin-left:250.95pt;margin-top:242.75pt;width:72.45pt;height:75.35pt;flip:x y;z-index:251673600" o:connectortype="straight">
            <v:stroke endarrow="block"/>
          </v:shape>
        </w:pict>
      </w:r>
      <w:r w:rsidR="00264955">
        <w:rPr>
          <w:noProof/>
        </w:rPr>
        <w:drawing>
          <wp:inline distT="0" distB="0" distL="0" distR="0">
            <wp:extent cx="7335338" cy="58512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4875" t="13125" r="50625" b="18750"/>
                    <a:stretch>
                      <a:fillRect/>
                    </a:stretch>
                  </pic:blipFill>
                  <pic:spPr bwMode="auto">
                    <a:xfrm>
                      <a:off x="0" y="0"/>
                      <a:ext cx="7336455" cy="5852160"/>
                    </a:xfrm>
                    <a:prstGeom prst="rect">
                      <a:avLst/>
                    </a:prstGeom>
                    <a:noFill/>
                    <a:ln w="9525">
                      <a:noFill/>
                      <a:miter lim="800000"/>
                      <a:headEnd/>
                      <a:tailEnd/>
                    </a:ln>
                  </pic:spPr>
                </pic:pic>
              </a:graphicData>
            </a:graphic>
          </wp:inline>
        </w:drawing>
      </w:r>
    </w:p>
    <w:p w:rsidR="00264955" w:rsidRDefault="00997762" w:rsidP="0024463C">
      <w:pPr>
        <w:ind w:left="-990"/>
      </w:pPr>
      <w:r>
        <w:rPr>
          <w:noProof/>
          <w:lang w:eastAsia="zh-TW"/>
        </w:rPr>
        <w:pict>
          <v:shape id="_x0000_s1050" type="#_x0000_t202" style="position:absolute;left:0;text-align:left;margin-left:-27pt;margin-top:22pt;width:300.05pt;height:64.3pt;z-index:251677696;mso-height-percent:200;mso-height-percent:200;mso-width-relative:margin;mso-height-relative:margin">
            <v:textbox style="mso-fit-shape-to-text:t">
              <w:txbxContent>
                <w:p w:rsidR="00997762" w:rsidRPr="00997762" w:rsidRDefault="00997762" w:rsidP="00997762">
                  <w:r>
                    <w:t xml:space="preserve">See sample of entry form </w:t>
                  </w:r>
                  <w:proofErr w:type="gramStart"/>
                  <w:r>
                    <w:t>on  SharePoint</w:t>
                  </w:r>
                  <w:proofErr w:type="gramEnd"/>
                  <w:r>
                    <w:t xml:space="preserve"> KB.  Only a handful of analysts/supervisors </w:t>
                  </w:r>
                  <w:proofErr w:type="gramStart"/>
                  <w:r>
                    <w:t>will be authorized</w:t>
                  </w:r>
                  <w:proofErr w:type="gramEnd"/>
                  <w:r>
                    <w:t xml:space="preserve"> to add/approve/delete content, but all users must be able to complete entry form.</w:t>
                  </w:r>
                </w:p>
              </w:txbxContent>
            </v:textbox>
          </v:shape>
        </w:pict>
      </w:r>
    </w:p>
    <w:sectPr w:rsidR="00264955" w:rsidSect="00264955">
      <w:pgSz w:w="12240" w:h="15840"/>
      <w:pgMar w:top="72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characterSpacingControl w:val="doNotCompress"/>
  <w:compat/>
  <w:rsids>
    <w:rsidRoot w:val="0024463C"/>
    <w:rsid w:val="00072CEE"/>
    <w:rsid w:val="00082764"/>
    <w:rsid w:val="00092723"/>
    <w:rsid w:val="000B30A2"/>
    <w:rsid w:val="0024463C"/>
    <w:rsid w:val="00264955"/>
    <w:rsid w:val="003734E7"/>
    <w:rsid w:val="00451359"/>
    <w:rsid w:val="00520647"/>
    <w:rsid w:val="00640E2B"/>
    <w:rsid w:val="006E4A91"/>
    <w:rsid w:val="0078045B"/>
    <w:rsid w:val="009101A3"/>
    <w:rsid w:val="00994FD9"/>
    <w:rsid w:val="00997762"/>
    <w:rsid w:val="00C34ABE"/>
    <w:rsid w:val="00C96B1F"/>
    <w:rsid w:val="00DA1A24"/>
    <w:rsid w:val="00E34FDC"/>
    <w:rsid w:val="00F50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2" type="callout" idref="#_x0000_s1028"/>
        <o:r id="V:Rule4" type="callout" idref="#_x0000_s1030"/>
        <o:r id="V:Rule6" type="callout" idref="#_x0000_s1031"/>
        <o:r id="V:Rule8" type="callout" idref="#_x0000_s1032"/>
        <o:r id="V:Rule10" type="callout" idref="#_x0000_s1034"/>
        <o:r id="V:Rule12" type="callout" idref="#_x0000_s1040"/>
        <o:r id="V:Rule14" type="connector" idref="#_x0000_s1043"/>
        <o:r id="V:Rule1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First American Corporation</Company>
  <LinksUpToDate>false</LinksUpToDate>
  <CharactersWithSpaces>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smflores</dc:creator>
  <cp:keywords/>
  <dc:description/>
  <cp:lastModifiedBy>smflores</cp:lastModifiedBy>
  <cp:revision>9</cp:revision>
  <dcterms:created xsi:type="dcterms:W3CDTF">2010-11-15T19:30:00Z</dcterms:created>
  <dcterms:modified xsi:type="dcterms:W3CDTF">2010-11-15T20:27:00Z</dcterms:modified>
</cp:coreProperties>
</file>