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846"/>
        <w:gridCol w:w="5164"/>
        <w:gridCol w:w="3006"/>
      </w:tblGrid>
      <w:tr w:rsidR="0036487F" w:rsidRPr="00B22AFA" w14:paraId="37D828F4" w14:textId="77777777" w:rsidTr="00986077">
        <w:tc>
          <w:tcPr>
            <w:tcW w:w="846" w:type="dxa"/>
          </w:tcPr>
          <w:p w14:paraId="34AC7AE9" w14:textId="77777777" w:rsidR="0036487F" w:rsidRPr="00C03366" w:rsidRDefault="0036487F" w:rsidP="00B22AFA">
            <w:pPr>
              <w:jc w:val="both"/>
              <w:rPr>
                <w:rFonts w:ascii="Times New Roman" w:hAnsi="Times New Roman" w:cs="Times New Roman"/>
                <w:b/>
                <w:bCs/>
                <w:sz w:val="24"/>
                <w:szCs w:val="24"/>
              </w:rPr>
            </w:pPr>
            <w:r w:rsidRPr="00C03366">
              <w:rPr>
                <w:rFonts w:ascii="Times New Roman" w:hAnsi="Times New Roman" w:cs="Times New Roman"/>
                <w:b/>
                <w:bCs/>
                <w:sz w:val="24"/>
                <w:szCs w:val="24"/>
              </w:rPr>
              <w:t>Sl.No.</w:t>
            </w:r>
          </w:p>
        </w:tc>
        <w:tc>
          <w:tcPr>
            <w:tcW w:w="5164" w:type="dxa"/>
          </w:tcPr>
          <w:p w14:paraId="57F418BB" w14:textId="77777777" w:rsidR="0036487F" w:rsidRPr="00C03366" w:rsidRDefault="00986077" w:rsidP="00B22AFA">
            <w:pPr>
              <w:jc w:val="both"/>
              <w:rPr>
                <w:rFonts w:ascii="Times New Roman" w:hAnsi="Times New Roman" w:cs="Times New Roman"/>
                <w:b/>
                <w:bCs/>
                <w:sz w:val="24"/>
                <w:szCs w:val="24"/>
              </w:rPr>
            </w:pPr>
            <w:r w:rsidRPr="00C03366">
              <w:rPr>
                <w:rFonts w:ascii="Times New Roman" w:hAnsi="Times New Roman" w:cs="Times New Roman"/>
                <w:b/>
                <w:bCs/>
                <w:sz w:val="24"/>
                <w:szCs w:val="24"/>
              </w:rPr>
              <w:t>Editorial member comments</w:t>
            </w:r>
          </w:p>
        </w:tc>
        <w:tc>
          <w:tcPr>
            <w:tcW w:w="3006" w:type="dxa"/>
          </w:tcPr>
          <w:p w14:paraId="4A65A0D7" w14:textId="77777777" w:rsidR="0036487F" w:rsidRPr="00C03366" w:rsidRDefault="00986077" w:rsidP="00B22AFA">
            <w:pPr>
              <w:jc w:val="both"/>
              <w:rPr>
                <w:rFonts w:ascii="Times New Roman" w:hAnsi="Times New Roman" w:cs="Times New Roman"/>
                <w:b/>
                <w:bCs/>
                <w:sz w:val="24"/>
                <w:szCs w:val="24"/>
              </w:rPr>
            </w:pPr>
            <w:r w:rsidRPr="00C03366">
              <w:rPr>
                <w:rFonts w:ascii="Times New Roman" w:hAnsi="Times New Roman" w:cs="Times New Roman"/>
                <w:b/>
                <w:bCs/>
                <w:sz w:val="24"/>
                <w:szCs w:val="24"/>
              </w:rPr>
              <w:t>Author’s Response</w:t>
            </w:r>
          </w:p>
        </w:tc>
      </w:tr>
      <w:tr w:rsidR="0036487F" w:rsidRPr="00B22AFA" w14:paraId="7FCB5EDB" w14:textId="77777777" w:rsidTr="00986077">
        <w:trPr>
          <w:trHeight w:val="1695"/>
        </w:trPr>
        <w:tc>
          <w:tcPr>
            <w:tcW w:w="846" w:type="dxa"/>
          </w:tcPr>
          <w:p w14:paraId="7AA7F21A" w14:textId="77777777" w:rsidR="0036487F" w:rsidRPr="00B22AFA" w:rsidRDefault="00986077" w:rsidP="00B22AFA">
            <w:pPr>
              <w:jc w:val="both"/>
              <w:rPr>
                <w:rFonts w:ascii="Times New Roman" w:hAnsi="Times New Roman" w:cs="Times New Roman"/>
                <w:sz w:val="24"/>
                <w:szCs w:val="24"/>
              </w:rPr>
            </w:pPr>
            <w:r w:rsidRPr="00B22AFA">
              <w:rPr>
                <w:rFonts w:ascii="Times New Roman" w:hAnsi="Times New Roman" w:cs="Times New Roman"/>
                <w:sz w:val="24"/>
                <w:szCs w:val="24"/>
              </w:rPr>
              <w:t>1.</w:t>
            </w:r>
          </w:p>
        </w:tc>
        <w:tc>
          <w:tcPr>
            <w:tcW w:w="5164" w:type="dxa"/>
          </w:tcPr>
          <w:p w14:paraId="17FFCB01" w14:textId="7D983C94" w:rsidR="0036487F" w:rsidRPr="00B22AFA" w:rsidRDefault="00B22AFA" w:rsidP="00B22AFA">
            <w:pPr>
              <w:shd w:val="clear" w:color="auto" w:fill="FFFFFF"/>
              <w:spacing w:before="100" w:beforeAutospacing="1" w:after="100" w:afterAutospacing="1"/>
              <w:jc w:val="both"/>
              <w:rPr>
                <w:rFonts w:ascii="Times New Roman" w:hAnsi="Times New Roman" w:cs="Times New Roman"/>
                <w:sz w:val="24"/>
                <w:szCs w:val="24"/>
              </w:rPr>
            </w:pPr>
            <w:r w:rsidRPr="00B22AFA">
              <w:rPr>
                <w:rFonts w:ascii="Times New Roman" w:hAnsi="Times New Roman" w:cs="Times New Roman"/>
                <w:sz w:val="24"/>
                <w:szCs w:val="24"/>
              </w:rPr>
              <w:t>The article clearly articulates its overall aim to conduct a bibliometric investigation of machine learning applications in smart supply chain demand forecasting between 1997 and 2025. Despite presenting research questions, bibliometric studies often specify expected patterns (e.g., increasing interdisciplinarity, dominance of certain regions). The absence of such expectations limits interpretive depth and reduces the study to descriptive analytics rather than explanatory science.</w:t>
            </w:r>
          </w:p>
        </w:tc>
        <w:tc>
          <w:tcPr>
            <w:tcW w:w="3006" w:type="dxa"/>
          </w:tcPr>
          <w:p w14:paraId="4B1BAD12" w14:textId="2D40F746" w:rsidR="0036487F" w:rsidRPr="00B22AFA" w:rsidRDefault="00B22AFA" w:rsidP="00B22AFA">
            <w:pPr>
              <w:jc w:val="both"/>
              <w:rPr>
                <w:rFonts w:ascii="Times New Roman" w:hAnsi="Times New Roman" w:cs="Times New Roman"/>
                <w:sz w:val="24"/>
                <w:szCs w:val="24"/>
              </w:rPr>
            </w:pPr>
            <w:r w:rsidRPr="00B22AFA">
              <w:rPr>
                <w:rFonts w:ascii="Times New Roman" w:hAnsi="Times New Roman" w:cs="Times New Roman"/>
                <w:sz w:val="24"/>
                <w:szCs w:val="24"/>
              </w:rPr>
              <w:t xml:space="preserve">Added increasing interdisciplinary, dominance of certain regions as the expected patterns in section 4.1.2 </w:t>
            </w:r>
          </w:p>
        </w:tc>
      </w:tr>
      <w:tr w:rsidR="0036487F" w:rsidRPr="00B22AFA" w14:paraId="6D6952AD" w14:textId="77777777" w:rsidTr="00986077">
        <w:tc>
          <w:tcPr>
            <w:tcW w:w="846" w:type="dxa"/>
          </w:tcPr>
          <w:p w14:paraId="3802F72A" w14:textId="77777777" w:rsidR="0036487F" w:rsidRPr="00B22AFA" w:rsidRDefault="00986077" w:rsidP="00B22AFA">
            <w:pPr>
              <w:jc w:val="both"/>
              <w:rPr>
                <w:rFonts w:ascii="Times New Roman" w:hAnsi="Times New Roman" w:cs="Times New Roman"/>
                <w:sz w:val="24"/>
                <w:szCs w:val="24"/>
              </w:rPr>
            </w:pPr>
            <w:r w:rsidRPr="00B22AFA">
              <w:rPr>
                <w:rFonts w:ascii="Times New Roman" w:hAnsi="Times New Roman" w:cs="Times New Roman"/>
                <w:sz w:val="24"/>
                <w:szCs w:val="24"/>
              </w:rPr>
              <w:t>2.</w:t>
            </w:r>
          </w:p>
        </w:tc>
        <w:tc>
          <w:tcPr>
            <w:tcW w:w="5164" w:type="dxa"/>
          </w:tcPr>
          <w:p w14:paraId="64D0C69F" w14:textId="4679F29C" w:rsidR="0036487F" w:rsidRPr="00B22AFA" w:rsidRDefault="00B22AFA" w:rsidP="00B22AFA">
            <w:pPr>
              <w:jc w:val="both"/>
              <w:rPr>
                <w:rFonts w:ascii="Times New Roman" w:hAnsi="Times New Roman" w:cs="Times New Roman"/>
                <w:sz w:val="24"/>
                <w:szCs w:val="24"/>
              </w:rPr>
            </w:pPr>
            <w:r w:rsidRPr="00B22AFA">
              <w:rPr>
                <w:rFonts w:ascii="Times New Roman" w:hAnsi="Times New Roman" w:cs="Times New Roman"/>
                <w:sz w:val="24"/>
                <w:szCs w:val="24"/>
              </w:rPr>
              <w:t>This level of transparency is generally consistent with PRISMA-style bibliometric research and enhances reproducibility. However, several aspects limit full replication.</w:t>
            </w:r>
            <w:r w:rsidRPr="00B22AFA">
              <w:rPr>
                <w:rFonts w:ascii="Times New Roman" w:hAnsi="Times New Roman" w:cs="Times New Roman"/>
                <w:sz w:val="24"/>
                <w:szCs w:val="24"/>
              </w:rPr>
              <w:br/>
              <w:t>The search query is not fully reported. The article states Boolean operators were used but does not reproduce the exact search string, which is essential for bibliometric reproducibility.</w:t>
            </w:r>
            <w:r w:rsidRPr="00B22AFA">
              <w:rPr>
                <w:rFonts w:ascii="Times New Roman" w:hAnsi="Times New Roman" w:cs="Times New Roman"/>
                <w:sz w:val="24"/>
                <w:szCs w:val="24"/>
              </w:rPr>
              <w:br/>
              <w:t>There is inconsistency in inclusion criteria.</w:t>
            </w:r>
          </w:p>
        </w:tc>
        <w:tc>
          <w:tcPr>
            <w:tcW w:w="3006" w:type="dxa"/>
          </w:tcPr>
          <w:p w14:paraId="38609CBA" w14:textId="55F4F050" w:rsidR="0036487F" w:rsidRPr="00B22AFA" w:rsidRDefault="00B22AFA" w:rsidP="00B22AFA">
            <w:pPr>
              <w:jc w:val="both"/>
              <w:rPr>
                <w:rFonts w:ascii="Times New Roman" w:hAnsi="Times New Roman" w:cs="Times New Roman"/>
                <w:sz w:val="24"/>
                <w:szCs w:val="24"/>
              </w:rPr>
            </w:pPr>
            <w:r>
              <w:rPr>
                <w:rFonts w:ascii="Times New Roman" w:hAnsi="Times New Roman" w:cs="Times New Roman"/>
                <w:sz w:val="24"/>
                <w:szCs w:val="24"/>
              </w:rPr>
              <w:t xml:space="preserve">Now the research query is fully reported included search string and inclusion criteria is consistent in section 3.5 and also in PRISMA diagram </w:t>
            </w:r>
          </w:p>
        </w:tc>
      </w:tr>
      <w:tr w:rsidR="0036487F" w:rsidRPr="00B22AFA" w14:paraId="2A18E917" w14:textId="77777777" w:rsidTr="00986077">
        <w:tc>
          <w:tcPr>
            <w:tcW w:w="846" w:type="dxa"/>
          </w:tcPr>
          <w:p w14:paraId="7C959F25" w14:textId="77777777" w:rsidR="0036487F" w:rsidRPr="00B22AFA" w:rsidRDefault="00986077" w:rsidP="00B22AFA">
            <w:pPr>
              <w:jc w:val="both"/>
              <w:rPr>
                <w:rFonts w:ascii="Times New Roman" w:hAnsi="Times New Roman" w:cs="Times New Roman"/>
                <w:sz w:val="24"/>
                <w:szCs w:val="24"/>
              </w:rPr>
            </w:pPr>
            <w:r w:rsidRPr="00B22AFA">
              <w:rPr>
                <w:rFonts w:ascii="Times New Roman" w:hAnsi="Times New Roman" w:cs="Times New Roman"/>
                <w:sz w:val="24"/>
                <w:szCs w:val="24"/>
              </w:rPr>
              <w:t>3.</w:t>
            </w:r>
          </w:p>
        </w:tc>
        <w:tc>
          <w:tcPr>
            <w:tcW w:w="5164" w:type="dxa"/>
          </w:tcPr>
          <w:p w14:paraId="130748A7" w14:textId="319B1795" w:rsidR="00986077" w:rsidRPr="00B22AFA" w:rsidRDefault="00B22AFA" w:rsidP="00B22AFA">
            <w:pPr>
              <w:shd w:val="clear" w:color="auto" w:fill="FFFFFF"/>
              <w:spacing w:before="100" w:beforeAutospacing="1" w:after="100" w:afterAutospacing="1"/>
              <w:jc w:val="both"/>
              <w:rPr>
                <w:rFonts w:ascii="Times New Roman" w:eastAsia="Times New Roman" w:hAnsi="Times New Roman" w:cs="Times New Roman"/>
                <w:color w:val="222222"/>
                <w:sz w:val="24"/>
                <w:szCs w:val="24"/>
                <w:lang w:eastAsia="en-IN"/>
              </w:rPr>
            </w:pPr>
            <w:r w:rsidRPr="00B22AFA">
              <w:rPr>
                <w:rFonts w:ascii="Times New Roman" w:eastAsia="Times New Roman" w:hAnsi="Times New Roman" w:cs="Times New Roman"/>
                <w:color w:val="222222"/>
                <w:sz w:val="24"/>
                <w:szCs w:val="24"/>
                <w:lang w:eastAsia="en-IN"/>
              </w:rPr>
              <w:t>The manuscript states that "only book chapters were considered… peculiar articles, and peer-reviewed journal articles were............." This sentence is internally inconsistent and suggests editing errors, leaving uncertainty about what document types were included.</w:t>
            </w:r>
          </w:p>
          <w:p w14:paraId="197AEC09" w14:textId="77777777" w:rsidR="0036487F" w:rsidRPr="00B22AFA" w:rsidRDefault="0036487F" w:rsidP="00B22AFA">
            <w:pPr>
              <w:jc w:val="both"/>
              <w:rPr>
                <w:rFonts w:ascii="Times New Roman" w:hAnsi="Times New Roman" w:cs="Times New Roman"/>
                <w:sz w:val="24"/>
                <w:szCs w:val="24"/>
              </w:rPr>
            </w:pPr>
          </w:p>
        </w:tc>
        <w:tc>
          <w:tcPr>
            <w:tcW w:w="3006" w:type="dxa"/>
          </w:tcPr>
          <w:p w14:paraId="5F2F067E" w14:textId="34390AF6" w:rsidR="0036487F" w:rsidRPr="00B22AFA" w:rsidRDefault="00B22AFA" w:rsidP="00B22AFA">
            <w:pPr>
              <w:shd w:val="clear" w:color="auto" w:fill="FFFFFF"/>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The authors corrected the sentence;consistent document types were included in section 3.5 and PRISMA diagram </w:t>
            </w:r>
          </w:p>
        </w:tc>
      </w:tr>
      <w:tr w:rsidR="00986077" w:rsidRPr="00B22AFA" w14:paraId="23112780" w14:textId="77777777" w:rsidTr="00986077">
        <w:tc>
          <w:tcPr>
            <w:tcW w:w="846" w:type="dxa"/>
          </w:tcPr>
          <w:p w14:paraId="18B2DE9D" w14:textId="77777777" w:rsidR="00986077" w:rsidRPr="00B22AFA" w:rsidRDefault="00986077" w:rsidP="00B22AFA">
            <w:pPr>
              <w:jc w:val="both"/>
              <w:rPr>
                <w:rFonts w:ascii="Times New Roman" w:hAnsi="Times New Roman" w:cs="Times New Roman"/>
                <w:sz w:val="24"/>
                <w:szCs w:val="24"/>
              </w:rPr>
            </w:pPr>
            <w:r w:rsidRPr="00B22AFA">
              <w:rPr>
                <w:rFonts w:ascii="Times New Roman" w:hAnsi="Times New Roman" w:cs="Times New Roman"/>
                <w:sz w:val="24"/>
                <w:szCs w:val="24"/>
              </w:rPr>
              <w:t>4.</w:t>
            </w:r>
          </w:p>
        </w:tc>
        <w:tc>
          <w:tcPr>
            <w:tcW w:w="5164" w:type="dxa"/>
          </w:tcPr>
          <w:p w14:paraId="707D423F" w14:textId="1A2B5B4E" w:rsidR="00986077" w:rsidRPr="00B22AFA" w:rsidRDefault="00B22AFA" w:rsidP="00B22AFA">
            <w:pPr>
              <w:shd w:val="clear" w:color="auto" w:fill="FFFFFF"/>
              <w:spacing w:before="100" w:beforeAutospacing="1" w:after="100" w:afterAutospacing="1"/>
              <w:jc w:val="both"/>
              <w:rPr>
                <w:rFonts w:ascii="Times New Roman" w:eastAsia="Times New Roman" w:hAnsi="Times New Roman" w:cs="Times New Roman"/>
                <w:color w:val="222222"/>
                <w:sz w:val="24"/>
                <w:szCs w:val="24"/>
                <w:lang w:eastAsia="en-IN"/>
              </w:rPr>
            </w:pPr>
            <w:r w:rsidRPr="00B22AFA">
              <w:rPr>
                <w:rFonts w:ascii="Times New Roman" w:eastAsia="Times New Roman" w:hAnsi="Times New Roman" w:cs="Times New Roman"/>
                <w:color w:val="222222"/>
                <w:sz w:val="24"/>
                <w:szCs w:val="24"/>
                <w:lang w:eastAsia="en-IN"/>
              </w:rPr>
              <w:t>There is ambiguity in dataset size. The study refers to 1,000 publications, 53,042 references, 258 sources, but does not explain whether conference proceedings were excluded, which is critical in AI/ML research fields.</w:t>
            </w:r>
          </w:p>
        </w:tc>
        <w:tc>
          <w:tcPr>
            <w:tcW w:w="3006" w:type="dxa"/>
          </w:tcPr>
          <w:p w14:paraId="10634F4B" w14:textId="628A45EE" w:rsidR="00986077" w:rsidRPr="00B22AFA" w:rsidRDefault="00B22AFA" w:rsidP="00B22AFA">
            <w:pPr>
              <w:shd w:val="clear" w:color="auto" w:fill="FFFFFF"/>
              <w:spacing w:before="100" w:beforeAutospacing="1" w:after="100" w:afterAutospacing="1"/>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The ambiguity in the data size was corrected in section 3.5 and PRISMA diagram</w:t>
            </w:r>
          </w:p>
          <w:p w14:paraId="4CE5B302" w14:textId="77777777" w:rsidR="00986077" w:rsidRPr="00B22AFA" w:rsidRDefault="00986077" w:rsidP="00B22AFA">
            <w:pPr>
              <w:shd w:val="clear" w:color="auto" w:fill="FFFFFF"/>
              <w:spacing w:before="100" w:beforeAutospacing="1" w:after="100" w:afterAutospacing="1"/>
              <w:jc w:val="both"/>
              <w:rPr>
                <w:rFonts w:ascii="Times New Roman" w:eastAsia="Times New Roman" w:hAnsi="Times New Roman" w:cs="Times New Roman"/>
                <w:color w:val="222222"/>
                <w:sz w:val="24"/>
                <w:szCs w:val="24"/>
                <w:lang w:eastAsia="en-IN"/>
              </w:rPr>
            </w:pPr>
          </w:p>
        </w:tc>
      </w:tr>
      <w:tr w:rsidR="00A969EB" w:rsidRPr="00B22AFA" w14:paraId="52EF54B1" w14:textId="77777777" w:rsidTr="00986077">
        <w:tc>
          <w:tcPr>
            <w:tcW w:w="846" w:type="dxa"/>
          </w:tcPr>
          <w:p w14:paraId="64250FD2" w14:textId="77777777" w:rsidR="00A969EB" w:rsidRPr="00B22AFA" w:rsidRDefault="00A969EB" w:rsidP="00B22AFA">
            <w:pPr>
              <w:jc w:val="both"/>
              <w:rPr>
                <w:rFonts w:ascii="Times New Roman" w:hAnsi="Times New Roman" w:cs="Times New Roman"/>
                <w:sz w:val="24"/>
                <w:szCs w:val="24"/>
              </w:rPr>
            </w:pPr>
            <w:r w:rsidRPr="00B22AFA">
              <w:rPr>
                <w:rFonts w:ascii="Times New Roman" w:hAnsi="Times New Roman" w:cs="Times New Roman"/>
                <w:sz w:val="24"/>
                <w:szCs w:val="24"/>
              </w:rPr>
              <w:t>5.</w:t>
            </w:r>
          </w:p>
        </w:tc>
        <w:tc>
          <w:tcPr>
            <w:tcW w:w="5164" w:type="dxa"/>
          </w:tcPr>
          <w:p w14:paraId="407A0702" w14:textId="6DA99EAA" w:rsidR="00A969EB" w:rsidRPr="00B22AFA" w:rsidRDefault="00B22AFA" w:rsidP="00B22AFA">
            <w:pPr>
              <w:shd w:val="clear" w:color="auto" w:fill="FFFFFF"/>
              <w:spacing w:before="100" w:beforeAutospacing="1" w:after="100" w:afterAutospacing="1"/>
              <w:jc w:val="both"/>
              <w:rPr>
                <w:rFonts w:ascii="Times New Roman" w:eastAsia="Times New Roman" w:hAnsi="Times New Roman" w:cs="Times New Roman"/>
                <w:color w:val="222222"/>
                <w:sz w:val="24"/>
                <w:szCs w:val="24"/>
                <w:lang w:eastAsia="en-IN"/>
              </w:rPr>
            </w:pPr>
            <w:r w:rsidRPr="00B22AFA">
              <w:rPr>
                <w:rFonts w:ascii="Times New Roman" w:eastAsia="Times New Roman" w:hAnsi="Times New Roman" w:cs="Times New Roman"/>
                <w:color w:val="222222"/>
                <w:sz w:val="24"/>
                <w:szCs w:val="24"/>
                <w:lang w:eastAsia="en-IN"/>
              </w:rPr>
              <w:t>The paper claims a "default parameter settings were used in both tools" and this is methodologically weak because parameter choices (e.g., clustering resolution, minimum occurrence thresholds) strongly influence bibliometric maps. Using defaults without justification reduces methodological rigor and replicability.</w:t>
            </w:r>
          </w:p>
        </w:tc>
        <w:tc>
          <w:tcPr>
            <w:tcW w:w="3006" w:type="dxa"/>
          </w:tcPr>
          <w:p w14:paraId="246BB444" w14:textId="7202912B" w:rsidR="00A969EB" w:rsidRPr="00B22AFA" w:rsidRDefault="00B22AFA" w:rsidP="00B22AFA">
            <w:pPr>
              <w:shd w:val="clear" w:color="auto" w:fill="FFFFFF"/>
              <w:spacing w:before="100" w:beforeAutospacing="1" w:after="100" w:afterAutospacing="1"/>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Default parameter settings </w:t>
            </w:r>
            <w:r w:rsidR="00C03366">
              <w:rPr>
                <w:rFonts w:ascii="Times New Roman" w:eastAsia="Times New Roman" w:hAnsi="Times New Roman" w:cs="Times New Roman"/>
                <w:color w:val="222222"/>
                <w:sz w:val="24"/>
                <w:szCs w:val="24"/>
                <w:lang w:eastAsia="en-IN"/>
              </w:rPr>
              <w:t>have</w:t>
            </w:r>
            <w:r>
              <w:rPr>
                <w:rFonts w:ascii="Times New Roman" w:eastAsia="Times New Roman" w:hAnsi="Times New Roman" w:cs="Times New Roman"/>
                <w:color w:val="222222"/>
                <w:sz w:val="24"/>
                <w:szCs w:val="24"/>
                <w:lang w:eastAsia="en-IN"/>
              </w:rPr>
              <w:t xml:space="preserve"> removed modifications has been carried </w:t>
            </w:r>
            <w:r w:rsidR="00C03366">
              <w:rPr>
                <w:rFonts w:ascii="Times New Roman" w:eastAsia="Times New Roman" w:hAnsi="Times New Roman" w:cs="Times New Roman"/>
                <w:color w:val="222222"/>
                <w:sz w:val="24"/>
                <w:szCs w:val="24"/>
                <w:lang w:eastAsia="en-IN"/>
              </w:rPr>
              <w:t>out,</w:t>
            </w:r>
            <w:r>
              <w:rPr>
                <w:rFonts w:ascii="Times New Roman" w:eastAsia="Times New Roman" w:hAnsi="Times New Roman" w:cs="Times New Roman"/>
                <w:color w:val="222222"/>
                <w:sz w:val="24"/>
                <w:szCs w:val="24"/>
                <w:lang w:eastAsia="en-IN"/>
              </w:rPr>
              <w:t xml:space="preserve"> cluster resolutions, minimum occurrence threshold in Table 6 </w:t>
            </w:r>
          </w:p>
        </w:tc>
      </w:tr>
      <w:tr w:rsidR="00B22AFA" w:rsidRPr="00B22AFA" w14:paraId="465773C8" w14:textId="77777777" w:rsidTr="00986077">
        <w:tc>
          <w:tcPr>
            <w:tcW w:w="846" w:type="dxa"/>
          </w:tcPr>
          <w:p w14:paraId="29CC89BD" w14:textId="6B61FAB4" w:rsidR="00B22AFA" w:rsidRPr="00B22AFA" w:rsidRDefault="00B22AFA" w:rsidP="00B22AFA">
            <w:pPr>
              <w:jc w:val="both"/>
              <w:rPr>
                <w:rFonts w:ascii="Times New Roman" w:hAnsi="Times New Roman" w:cs="Times New Roman"/>
                <w:sz w:val="24"/>
                <w:szCs w:val="24"/>
              </w:rPr>
            </w:pPr>
            <w:r>
              <w:rPr>
                <w:rFonts w:ascii="Times New Roman" w:hAnsi="Times New Roman" w:cs="Times New Roman"/>
                <w:sz w:val="24"/>
                <w:szCs w:val="24"/>
              </w:rPr>
              <w:t>6.</w:t>
            </w:r>
          </w:p>
        </w:tc>
        <w:tc>
          <w:tcPr>
            <w:tcW w:w="5164" w:type="dxa"/>
          </w:tcPr>
          <w:p w14:paraId="26CCD3C1" w14:textId="01006663" w:rsidR="00B22AFA" w:rsidRPr="00B22AFA" w:rsidRDefault="00C03366" w:rsidP="00B22AFA">
            <w:pPr>
              <w:shd w:val="clear" w:color="auto" w:fill="FFFFFF"/>
              <w:spacing w:before="100" w:beforeAutospacing="1" w:after="100" w:afterAutospacing="1"/>
              <w:jc w:val="both"/>
              <w:rPr>
                <w:rFonts w:ascii="Times New Roman" w:eastAsia="Times New Roman" w:hAnsi="Times New Roman" w:cs="Times New Roman"/>
                <w:color w:val="222222"/>
                <w:sz w:val="24"/>
                <w:szCs w:val="24"/>
                <w:lang w:eastAsia="en-IN"/>
              </w:rPr>
            </w:pPr>
            <w:r w:rsidRPr="00C03366">
              <w:rPr>
                <w:rFonts w:ascii="Times New Roman" w:eastAsia="Times New Roman" w:hAnsi="Times New Roman" w:cs="Times New Roman"/>
                <w:color w:val="222222"/>
                <w:sz w:val="24"/>
                <w:szCs w:val="24"/>
                <w:lang w:eastAsia="en-IN"/>
              </w:rPr>
              <w:t>Thematic map clustering is shown, but the criteria used to classify themes as motor, niche, emerging, or declining are not explained. Network diagrams are visually dense and lack node size and edge weight legends, which makes interpretation difficult and reduces analytical clarity.</w:t>
            </w:r>
          </w:p>
        </w:tc>
        <w:tc>
          <w:tcPr>
            <w:tcW w:w="3006" w:type="dxa"/>
          </w:tcPr>
          <w:p w14:paraId="1AE46084" w14:textId="2EABE8CF" w:rsidR="00B22AFA" w:rsidRPr="00B22AFA" w:rsidRDefault="00C03366" w:rsidP="00B22AFA">
            <w:pPr>
              <w:shd w:val="clear" w:color="auto" w:fill="FFFFFF"/>
              <w:spacing w:before="100" w:beforeAutospacing="1" w:after="100" w:afterAutospacing="1"/>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C</w:t>
            </w:r>
            <w:r w:rsidRPr="00C03366">
              <w:rPr>
                <w:rFonts w:ascii="Times New Roman" w:eastAsia="Times New Roman" w:hAnsi="Times New Roman" w:cs="Times New Roman"/>
                <w:color w:val="222222"/>
                <w:sz w:val="24"/>
                <w:szCs w:val="24"/>
                <w:lang w:eastAsia="en-IN"/>
              </w:rPr>
              <w:t xml:space="preserve">riteria used to classify themes as motor, niche, emerging, or declining </w:t>
            </w:r>
            <w:r>
              <w:rPr>
                <w:rFonts w:ascii="Times New Roman" w:eastAsia="Times New Roman" w:hAnsi="Times New Roman" w:cs="Times New Roman"/>
                <w:color w:val="222222"/>
                <w:sz w:val="24"/>
                <w:szCs w:val="24"/>
                <w:lang w:eastAsia="en-IN"/>
              </w:rPr>
              <w:t xml:space="preserve">were </w:t>
            </w:r>
            <w:r w:rsidRPr="00C03366">
              <w:rPr>
                <w:rFonts w:ascii="Times New Roman" w:eastAsia="Times New Roman" w:hAnsi="Times New Roman" w:cs="Times New Roman"/>
                <w:color w:val="222222"/>
                <w:sz w:val="24"/>
                <w:szCs w:val="24"/>
                <w:lang w:eastAsia="en-IN"/>
              </w:rPr>
              <w:t>explained</w:t>
            </w:r>
            <w:r>
              <w:rPr>
                <w:rFonts w:ascii="Times New Roman" w:eastAsia="Times New Roman" w:hAnsi="Times New Roman" w:cs="Times New Roman"/>
                <w:color w:val="222222"/>
                <w:sz w:val="24"/>
                <w:szCs w:val="24"/>
                <w:lang w:eastAsia="en-IN"/>
              </w:rPr>
              <w:t xml:space="preserve"> clearly in section 4.2.5.Network diagrams are not visually dense and enough node size and edge weight legends were corrected in Fig.10 and section 4.2.3</w:t>
            </w:r>
          </w:p>
        </w:tc>
      </w:tr>
      <w:tr w:rsidR="00B22AFA" w:rsidRPr="00B22AFA" w14:paraId="31BA22CE" w14:textId="77777777" w:rsidTr="00986077">
        <w:tc>
          <w:tcPr>
            <w:tcW w:w="846" w:type="dxa"/>
          </w:tcPr>
          <w:p w14:paraId="5C68B213" w14:textId="47027D49" w:rsidR="00B22AFA" w:rsidRDefault="00B22AFA" w:rsidP="00B22AFA">
            <w:pPr>
              <w:jc w:val="both"/>
              <w:rPr>
                <w:rFonts w:ascii="Times New Roman" w:hAnsi="Times New Roman" w:cs="Times New Roman"/>
                <w:sz w:val="24"/>
                <w:szCs w:val="24"/>
              </w:rPr>
            </w:pPr>
            <w:r>
              <w:rPr>
                <w:rFonts w:ascii="Times New Roman" w:hAnsi="Times New Roman" w:cs="Times New Roman"/>
                <w:sz w:val="24"/>
                <w:szCs w:val="24"/>
              </w:rPr>
              <w:lastRenderedPageBreak/>
              <w:t>7.</w:t>
            </w:r>
          </w:p>
        </w:tc>
        <w:tc>
          <w:tcPr>
            <w:tcW w:w="5164" w:type="dxa"/>
          </w:tcPr>
          <w:p w14:paraId="378477A4" w14:textId="558FCC2E" w:rsidR="00B22AFA" w:rsidRPr="00B22AFA" w:rsidRDefault="00C03366" w:rsidP="00B22AFA">
            <w:pPr>
              <w:shd w:val="clear" w:color="auto" w:fill="FFFFFF"/>
              <w:spacing w:before="100" w:beforeAutospacing="1" w:after="100" w:afterAutospacing="1"/>
              <w:jc w:val="both"/>
              <w:rPr>
                <w:rFonts w:ascii="Times New Roman" w:eastAsia="Times New Roman" w:hAnsi="Times New Roman" w:cs="Times New Roman"/>
                <w:color w:val="222222"/>
                <w:sz w:val="24"/>
                <w:szCs w:val="24"/>
                <w:lang w:eastAsia="en-IN"/>
              </w:rPr>
            </w:pPr>
            <w:r w:rsidRPr="00C03366">
              <w:rPr>
                <w:rFonts w:ascii="Times New Roman" w:eastAsia="Times New Roman" w:hAnsi="Times New Roman" w:cs="Times New Roman"/>
                <w:color w:val="222222"/>
                <w:sz w:val="24"/>
                <w:szCs w:val="24"/>
                <w:lang w:eastAsia="en-IN"/>
              </w:rPr>
              <w:t>The analysis tends toward descriptive enumeration rather than analytical synthesis. For example, the study lists prolific authors and institutions but does not explore why certain regions dominate and whether collaboration networks influence citation impact.</w:t>
            </w:r>
          </w:p>
        </w:tc>
        <w:tc>
          <w:tcPr>
            <w:tcW w:w="3006" w:type="dxa"/>
          </w:tcPr>
          <w:p w14:paraId="6FEEA844" w14:textId="28057A21" w:rsidR="00B22AFA" w:rsidRPr="00B22AFA" w:rsidRDefault="00C03366" w:rsidP="00B22AFA">
            <w:pPr>
              <w:shd w:val="clear" w:color="auto" w:fill="FFFFFF"/>
              <w:spacing w:before="100" w:beforeAutospacing="1" w:after="100" w:afterAutospacing="1"/>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 xml:space="preserve">Now the analysis tends toward </w:t>
            </w:r>
            <w:r w:rsidRPr="00C03366">
              <w:rPr>
                <w:rFonts w:ascii="Times New Roman" w:eastAsia="Times New Roman" w:hAnsi="Times New Roman" w:cs="Times New Roman"/>
                <w:color w:val="222222"/>
                <w:sz w:val="24"/>
                <w:szCs w:val="24"/>
                <w:lang w:eastAsia="en-IN"/>
              </w:rPr>
              <w:t>descriptive enumeration rather than analytical synthesis</w:t>
            </w:r>
            <w:r>
              <w:rPr>
                <w:rFonts w:ascii="Times New Roman" w:eastAsia="Times New Roman" w:hAnsi="Times New Roman" w:cs="Times New Roman"/>
                <w:color w:val="222222"/>
                <w:sz w:val="24"/>
                <w:szCs w:val="24"/>
                <w:lang w:eastAsia="en-IN"/>
              </w:rPr>
              <w:t xml:space="preserve">. In the revised article it was explored why </w:t>
            </w:r>
            <w:r w:rsidRPr="00C03366">
              <w:rPr>
                <w:rFonts w:ascii="Times New Roman" w:eastAsia="Times New Roman" w:hAnsi="Times New Roman" w:cs="Times New Roman"/>
                <w:color w:val="222222"/>
                <w:sz w:val="24"/>
                <w:szCs w:val="24"/>
                <w:lang w:eastAsia="en-IN"/>
              </w:rPr>
              <w:t>certain regions dominate and whether collaboration networks influence citation impact</w:t>
            </w:r>
            <w:r>
              <w:rPr>
                <w:rFonts w:ascii="Times New Roman" w:eastAsia="Times New Roman" w:hAnsi="Times New Roman" w:cs="Times New Roman"/>
                <w:color w:val="222222"/>
                <w:sz w:val="24"/>
                <w:szCs w:val="24"/>
                <w:lang w:eastAsia="en-IN"/>
              </w:rPr>
              <w:t xml:space="preserve"> or not in section  4.1.2</w:t>
            </w:r>
          </w:p>
        </w:tc>
      </w:tr>
      <w:tr w:rsidR="00B22AFA" w:rsidRPr="00B22AFA" w14:paraId="7D881D95" w14:textId="77777777" w:rsidTr="00986077">
        <w:tc>
          <w:tcPr>
            <w:tcW w:w="846" w:type="dxa"/>
          </w:tcPr>
          <w:p w14:paraId="70DDA956" w14:textId="62CC18F0" w:rsidR="00B22AFA" w:rsidRDefault="00B22AFA" w:rsidP="00B22AFA">
            <w:pPr>
              <w:jc w:val="both"/>
              <w:rPr>
                <w:rFonts w:ascii="Times New Roman" w:hAnsi="Times New Roman" w:cs="Times New Roman"/>
                <w:sz w:val="24"/>
                <w:szCs w:val="24"/>
              </w:rPr>
            </w:pPr>
            <w:r>
              <w:rPr>
                <w:rFonts w:ascii="Times New Roman" w:hAnsi="Times New Roman" w:cs="Times New Roman"/>
                <w:sz w:val="24"/>
                <w:szCs w:val="24"/>
              </w:rPr>
              <w:t>8.</w:t>
            </w:r>
          </w:p>
        </w:tc>
        <w:tc>
          <w:tcPr>
            <w:tcW w:w="5164" w:type="dxa"/>
          </w:tcPr>
          <w:p w14:paraId="02B62C20" w14:textId="1FE6DC75" w:rsidR="00B22AFA" w:rsidRPr="00B22AFA" w:rsidRDefault="00C03366" w:rsidP="00B22AFA">
            <w:pPr>
              <w:shd w:val="clear" w:color="auto" w:fill="FFFFFF"/>
              <w:spacing w:before="100" w:beforeAutospacing="1" w:after="100" w:afterAutospacing="1"/>
              <w:jc w:val="both"/>
              <w:rPr>
                <w:rFonts w:ascii="Times New Roman" w:eastAsia="Times New Roman" w:hAnsi="Times New Roman" w:cs="Times New Roman"/>
                <w:color w:val="222222"/>
                <w:sz w:val="24"/>
                <w:szCs w:val="24"/>
                <w:lang w:eastAsia="en-IN"/>
              </w:rPr>
            </w:pPr>
            <w:r w:rsidRPr="00C03366">
              <w:rPr>
                <w:rFonts w:ascii="Times New Roman" w:eastAsia="Times New Roman" w:hAnsi="Times New Roman" w:cs="Times New Roman"/>
                <w:color w:val="222222"/>
                <w:sz w:val="24"/>
                <w:szCs w:val="24"/>
                <w:lang w:eastAsia="en-IN"/>
              </w:rPr>
              <w:t>The study contributes by providing strategic insights for policymakers and practitioners. This claim is not fully supported, as bibliometric studies identify trends but do not evaluate model performance or operational feasibility. The link between bibliometric mapping and managerial decision-making is asserted rather than demonstrated.</w:t>
            </w:r>
          </w:p>
        </w:tc>
        <w:tc>
          <w:tcPr>
            <w:tcW w:w="3006" w:type="dxa"/>
          </w:tcPr>
          <w:p w14:paraId="21C7800C" w14:textId="11FA844A" w:rsidR="00B22AFA" w:rsidRPr="00B22AFA" w:rsidRDefault="00C03366" w:rsidP="00B22AFA">
            <w:pPr>
              <w:shd w:val="clear" w:color="auto" w:fill="FFFFFF"/>
              <w:spacing w:before="100" w:beforeAutospacing="1" w:after="100" w:afterAutospacing="1"/>
              <w:jc w:val="both"/>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The claim is fully supported</w:t>
            </w:r>
            <w:r w:rsidRPr="00C03366">
              <w:rPr>
                <w:rFonts w:ascii="Times New Roman" w:eastAsia="Times New Roman" w:hAnsi="Times New Roman" w:cs="Times New Roman"/>
                <w:color w:val="222222"/>
                <w:sz w:val="24"/>
                <w:szCs w:val="24"/>
                <w:lang w:eastAsia="en-IN"/>
              </w:rPr>
              <w:t xml:space="preserve"> as bibliometric studies identif</w:t>
            </w:r>
            <w:r>
              <w:rPr>
                <w:rFonts w:ascii="Times New Roman" w:eastAsia="Times New Roman" w:hAnsi="Times New Roman" w:cs="Times New Roman"/>
                <w:color w:val="222222"/>
                <w:sz w:val="24"/>
                <w:szCs w:val="24"/>
                <w:lang w:eastAsia="en-IN"/>
              </w:rPr>
              <w:t>ied</w:t>
            </w:r>
            <w:r w:rsidRPr="00C03366">
              <w:rPr>
                <w:rFonts w:ascii="Times New Roman" w:eastAsia="Times New Roman" w:hAnsi="Times New Roman" w:cs="Times New Roman"/>
                <w:color w:val="222222"/>
                <w:sz w:val="24"/>
                <w:szCs w:val="24"/>
                <w:lang w:eastAsia="en-IN"/>
              </w:rPr>
              <w:t xml:space="preserve"> t</w:t>
            </w:r>
            <w:r>
              <w:rPr>
                <w:rFonts w:ascii="Times New Roman" w:eastAsia="Times New Roman" w:hAnsi="Times New Roman" w:cs="Times New Roman"/>
                <w:color w:val="222222"/>
                <w:sz w:val="24"/>
                <w:szCs w:val="24"/>
                <w:lang w:eastAsia="en-IN"/>
              </w:rPr>
              <w:t>rends</w:t>
            </w:r>
            <w:r w:rsidRPr="00C03366">
              <w:rPr>
                <w:rFonts w:ascii="Times New Roman" w:eastAsia="Times New Roman" w:hAnsi="Times New Roman" w:cs="Times New Roman"/>
                <w:color w:val="222222"/>
                <w:sz w:val="24"/>
                <w:szCs w:val="24"/>
                <w:lang w:eastAsia="en-IN"/>
              </w:rPr>
              <w:t xml:space="preserve">. The link between bibliometric mapping and managerial decision-making is asserted </w:t>
            </w:r>
            <w:r>
              <w:rPr>
                <w:rFonts w:ascii="Times New Roman" w:eastAsia="Times New Roman" w:hAnsi="Times New Roman" w:cs="Times New Roman"/>
                <w:color w:val="222222"/>
                <w:sz w:val="24"/>
                <w:szCs w:val="24"/>
                <w:lang w:eastAsia="en-IN"/>
              </w:rPr>
              <w:t>in section 7</w:t>
            </w:r>
          </w:p>
        </w:tc>
      </w:tr>
    </w:tbl>
    <w:p w14:paraId="4290E8C9" w14:textId="77777777" w:rsidR="00921F92" w:rsidRPr="00B22AFA" w:rsidRDefault="00921F92" w:rsidP="00B22AFA">
      <w:pPr>
        <w:jc w:val="both"/>
        <w:rPr>
          <w:rFonts w:ascii="Times New Roman" w:hAnsi="Times New Roman" w:cs="Times New Roman"/>
          <w:sz w:val="24"/>
          <w:szCs w:val="24"/>
        </w:rPr>
      </w:pPr>
    </w:p>
    <w:sectPr w:rsidR="00921F92" w:rsidRPr="00B22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877DA"/>
    <w:multiLevelType w:val="multilevel"/>
    <w:tmpl w:val="7796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65EDC"/>
    <w:multiLevelType w:val="multilevel"/>
    <w:tmpl w:val="B96A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B3234D"/>
    <w:multiLevelType w:val="multilevel"/>
    <w:tmpl w:val="124A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6374D"/>
    <w:multiLevelType w:val="multilevel"/>
    <w:tmpl w:val="873A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1E01AF"/>
    <w:multiLevelType w:val="multilevel"/>
    <w:tmpl w:val="93F8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D80A87"/>
    <w:multiLevelType w:val="multilevel"/>
    <w:tmpl w:val="0AC6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429367">
    <w:abstractNumId w:val="0"/>
  </w:num>
  <w:num w:numId="2" w16cid:durableId="538904264">
    <w:abstractNumId w:val="2"/>
  </w:num>
  <w:num w:numId="3" w16cid:durableId="2008289966">
    <w:abstractNumId w:val="5"/>
  </w:num>
  <w:num w:numId="4" w16cid:durableId="102849935">
    <w:abstractNumId w:val="1"/>
  </w:num>
  <w:num w:numId="5" w16cid:durableId="295181035">
    <w:abstractNumId w:val="4"/>
  </w:num>
  <w:num w:numId="6" w16cid:durableId="743144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7DB"/>
    <w:rsid w:val="002464B2"/>
    <w:rsid w:val="0036487F"/>
    <w:rsid w:val="0053222D"/>
    <w:rsid w:val="006407DB"/>
    <w:rsid w:val="00921F92"/>
    <w:rsid w:val="00986077"/>
    <w:rsid w:val="00A969EB"/>
    <w:rsid w:val="00B22AFA"/>
    <w:rsid w:val="00C03366"/>
    <w:rsid w:val="00E93724"/>
    <w:rsid w:val="00EA6C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D34F7"/>
  <w15:chartTrackingRefBased/>
  <w15:docId w15:val="{08AB26DC-6198-4157-9DDA-1BC04003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69470">
      <w:bodyDiv w:val="1"/>
      <w:marLeft w:val="0"/>
      <w:marRight w:val="0"/>
      <w:marTop w:val="0"/>
      <w:marBottom w:val="0"/>
      <w:divBdr>
        <w:top w:val="none" w:sz="0" w:space="0" w:color="auto"/>
        <w:left w:val="none" w:sz="0" w:space="0" w:color="auto"/>
        <w:bottom w:val="none" w:sz="0" w:space="0" w:color="auto"/>
        <w:right w:val="none" w:sz="0" w:space="0" w:color="auto"/>
      </w:divBdr>
    </w:div>
    <w:div w:id="156697612">
      <w:bodyDiv w:val="1"/>
      <w:marLeft w:val="0"/>
      <w:marRight w:val="0"/>
      <w:marTop w:val="0"/>
      <w:marBottom w:val="0"/>
      <w:divBdr>
        <w:top w:val="none" w:sz="0" w:space="0" w:color="auto"/>
        <w:left w:val="none" w:sz="0" w:space="0" w:color="auto"/>
        <w:bottom w:val="none" w:sz="0" w:space="0" w:color="auto"/>
        <w:right w:val="none" w:sz="0" w:space="0" w:color="auto"/>
      </w:divBdr>
    </w:div>
    <w:div w:id="182939432">
      <w:bodyDiv w:val="1"/>
      <w:marLeft w:val="0"/>
      <w:marRight w:val="0"/>
      <w:marTop w:val="0"/>
      <w:marBottom w:val="0"/>
      <w:divBdr>
        <w:top w:val="none" w:sz="0" w:space="0" w:color="auto"/>
        <w:left w:val="none" w:sz="0" w:space="0" w:color="auto"/>
        <w:bottom w:val="none" w:sz="0" w:space="0" w:color="auto"/>
        <w:right w:val="none" w:sz="0" w:space="0" w:color="auto"/>
      </w:divBdr>
    </w:div>
    <w:div w:id="291181210">
      <w:bodyDiv w:val="1"/>
      <w:marLeft w:val="0"/>
      <w:marRight w:val="0"/>
      <w:marTop w:val="0"/>
      <w:marBottom w:val="0"/>
      <w:divBdr>
        <w:top w:val="none" w:sz="0" w:space="0" w:color="auto"/>
        <w:left w:val="none" w:sz="0" w:space="0" w:color="auto"/>
        <w:bottom w:val="none" w:sz="0" w:space="0" w:color="auto"/>
        <w:right w:val="none" w:sz="0" w:space="0" w:color="auto"/>
      </w:divBdr>
    </w:div>
    <w:div w:id="1338582861">
      <w:bodyDiv w:val="1"/>
      <w:marLeft w:val="0"/>
      <w:marRight w:val="0"/>
      <w:marTop w:val="0"/>
      <w:marBottom w:val="0"/>
      <w:divBdr>
        <w:top w:val="none" w:sz="0" w:space="0" w:color="auto"/>
        <w:left w:val="none" w:sz="0" w:space="0" w:color="auto"/>
        <w:bottom w:val="none" w:sz="0" w:space="0" w:color="auto"/>
        <w:right w:val="none" w:sz="0" w:space="0" w:color="auto"/>
      </w:divBdr>
    </w:div>
    <w:div w:id="161004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580</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chandana irugu</cp:lastModifiedBy>
  <cp:revision>5</cp:revision>
  <dcterms:created xsi:type="dcterms:W3CDTF">2026-03-12T16:34:00Z</dcterms:created>
  <dcterms:modified xsi:type="dcterms:W3CDTF">2026-04-06T05:05:00Z</dcterms:modified>
</cp:coreProperties>
</file>