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77218B" w:rsidRDefault="0077218B">
      <w:pPr>
        <w:jc w:val="right"/>
        <w:rPr>
          <w:b/>
          <w:i/>
          <w:iCs/>
          <w:color w:val="000000"/>
          <w:sz w:val="24"/>
        </w:rPr>
      </w:pPr>
    </w:p>
    <w:p w:rsidR="0077218B" w:rsidRDefault="0077218B">
      <w:pPr>
        <w:jc w:val="right"/>
        <w:rPr>
          <w:b/>
          <w:i/>
          <w:iCs/>
          <w:color w:val="000000"/>
          <w:sz w:val="24"/>
        </w:rPr>
      </w:pPr>
    </w:p>
    <w:p w:rsidR="00EB2A23" w:rsidRDefault="0012349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E564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D21A1" w:rsidRDefault="00BC18CE" w:rsidP="00FD21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D21A1">
        <w:rPr>
          <w:b/>
          <w:i/>
          <w:iCs/>
          <w:color w:val="000000"/>
          <w:sz w:val="24"/>
        </w:rPr>
        <w:t xml:space="preserve"> </w:t>
      </w:r>
      <w:r w:rsidR="00123499" w:rsidRPr="00FD21A1">
        <w:rPr>
          <w:b/>
          <w:i/>
          <w:iCs/>
          <w:color w:val="000000"/>
          <w:sz w:val="24"/>
        </w:rPr>
        <w:t>MAMMOGRAPHIE</w:t>
      </w:r>
      <w:r w:rsidR="00FD21A1" w:rsidRPr="00FD21A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D21A1" w:rsidRDefault="00EB2A23">
      <w:pPr>
        <w:rPr>
          <w:b/>
          <w:color w:val="000000"/>
          <w:sz w:val="24"/>
          <w:szCs w:val="24"/>
        </w:rPr>
      </w:pPr>
      <w:r w:rsidRPr="00FD21A1">
        <w:rPr>
          <w:b/>
          <w:iCs/>
          <w:color w:val="000000"/>
          <w:sz w:val="24"/>
          <w:szCs w:val="24"/>
          <w:u w:val="single"/>
        </w:rPr>
        <w:t>RESULTATS</w:t>
      </w:r>
      <w:r w:rsidRPr="00FD21A1">
        <w:rPr>
          <w:b/>
          <w:i/>
          <w:color w:val="000000"/>
          <w:sz w:val="24"/>
          <w:szCs w:val="24"/>
        </w:rPr>
        <w:t>:</w:t>
      </w:r>
      <w:r w:rsidRPr="00FD21A1">
        <w:rPr>
          <w:b/>
          <w:color w:val="000000"/>
          <w:sz w:val="24"/>
          <w:szCs w:val="24"/>
        </w:rPr>
        <w:t xml:space="preserve"> </w:t>
      </w:r>
    </w:p>
    <w:p w:rsidR="00EE4ACF" w:rsidRPr="00FD21A1" w:rsidRDefault="00EE4ACF">
      <w:pPr>
        <w:rPr>
          <w:b/>
          <w:color w:val="000000"/>
          <w:sz w:val="24"/>
          <w:szCs w:val="24"/>
        </w:rPr>
      </w:pPr>
    </w:p>
    <w:p w:rsidR="00A90B0A" w:rsidRPr="00FD21A1" w:rsidRDefault="00B00E2E" w:rsidP="00FD21A1">
      <w:pPr>
        <w:ind w:firstLine="708"/>
        <w:rPr>
          <w:b/>
          <w:color w:val="000000"/>
          <w:sz w:val="24"/>
          <w:szCs w:val="24"/>
          <w:u w:val="single"/>
        </w:rPr>
      </w:pPr>
      <w:r w:rsidRPr="00FD21A1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FD21A1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FD21A1" w:rsidRPr="00FD21A1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FD21A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D21A1" w:rsidRDefault="00A90B0A" w:rsidP="00FD21A1">
      <w:pPr>
        <w:rPr>
          <w:bCs/>
          <w:color w:val="000000"/>
          <w:sz w:val="24"/>
          <w:szCs w:val="24"/>
        </w:rPr>
      </w:pPr>
      <w:r w:rsidRPr="00FD21A1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FD21A1" w:rsidRDefault="002E4262" w:rsidP="00963E3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sus-aréolaire droite de forme ovalaire, aux contours circonscrits par endroits, masqués en d’autres endroits, homogène, sans micro-calcifications</w:t>
      </w:r>
      <w:r w:rsidR="00963E3C">
        <w:rPr>
          <w:bCs/>
          <w:color w:val="000000"/>
          <w:sz w:val="24"/>
          <w:szCs w:val="24"/>
        </w:rPr>
        <w:t xml:space="preserve"> en son sein</w:t>
      </w:r>
      <w:r>
        <w:rPr>
          <w:bCs/>
          <w:color w:val="000000"/>
          <w:sz w:val="24"/>
          <w:szCs w:val="24"/>
        </w:rPr>
        <w:t>.</w:t>
      </w:r>
    </w:p>
    <w:p w:rsidR="00A90B0A" w:rsidRPr="00FD21A1" w:rsidRDefault="00A90B0A" w:rsidP="00A90B0A">
      <w:pPr>
        <w:rPr>
          <w:bCs/>
          <w:color w:val="000000"/>
          <w:sz w:val="24"/>
          <w:szCs w:val="24"/>
        </w:rPr>
      </w:pPr>
      <w:r w:rsidRPr="00FD21A1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FD21A1" w:rsidRDefault="00A90B0A" w:rsidP="00A90B0A">
      <w:pPr>
        <w:rPr>
          <w:bCs/>
          <w:color w:val="000000"/>
          <w:sz w:val="24"/>
          <w:szCs w:val="24"/>
        </w:rPr>
      </w:pPr>
      <w:r w:rsidRPr="00FD21A1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D21A1" w:rsidRDefault="00A90B0A" w:rsidP="00A90B0A">
      <w:pPr>
        <w:rPr>
          <w:bCs/>
          <w:color w:val="000000"/>
          <w:sz w:val="24"/>
          <w:szCs w:val="24"/>
        </w:rPr>
      </w:pPr>
    </w:p>
    <w:p w:rsidR="00A90B0A" w:rsidRPr="00FD21A1" w:rsidRDefault="00A90B0A" w:rsidP="00FD21A1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FD21A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D21A1" w:rsidRPr="00FD21A1">
        <w:rPr>
          <w:b/>
          <w:bCs/>
          <w:i/>
          <w:color w:val="000000"/>
          <w:sz w:val="24"/>
          <w:szCs w:val="24"/>
          <w:u w:val="single"/>
        </w:rPr>
        <w:t> :</w:t>
      </w:r>
      <w:r w:rsidRPr="00FD21A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D21A1" w:rsidRDefault="002E4262" w:rsidP="00963E3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correspond à une formation hypoéchogène homogène, sus-aréolaire gauche, mesurant </w:t>
      </w:r>
      <w:r w:rsidR="00963E3C">
        <w:rPr>
          <w:bCs/>
          <w:color w:val="000000"/>
          <w:sz w:val="24"/>
          <w:szCs w:val="24"/>
        </w:rPr>
        <w:t>25,8 mm.</w:t>
      </w:r>
    </w:p>
    <w:p w:rsidR="00A90B0A" w:rsidRPr="00FD21A1" w:rsidRDefault="00A90B0A" w:rsidP="002E4262">
      <w:pPr>
        <w:rPr>
          <w:bCs/>
          <w:color w:val="000000"/>
          <w:sz w:val="24"/>
          <w:szCs w:val="24"/>
        </w:rPr>
      </w:pPr>
      <w:r w:rsidRPr="00FD21A1">
        <w:rPr>
          <w:bCs/>
          <w:color w:val="000000"/>
          <w:sz w:val="24"/>
          <w:szCs w:val="24"/>
        </w:rPr>
        <w:t>Absence d’ombre acoustique pathologique.</w:t>
      </w:r>
    </w:p>
    <w:p w:rsidR="00A90B0A" w:rsidRPr="00FD21A1" w:rsidRDefault="00A90B0A" w:rsidP="002E4262">
      <w:pPr>
        <w:rPr>
          <w:bCs/>
          <w:color w:val="000000"/>
          <w:sz w:val="24"/>
          <w:szCs w:val="24"/>
        </w:rPr>
      </w:pPr>
      <w:r w:rsidRPr="00FD21A1">
        <w:rPr>
          <w:bCs/>
          <w:color w:val="000000"/>
          <w:sz w:val="24"/>
          <w:szCs w:val="24"/>
        </w:rPr>
        <w:t>Système canalaire non dilaté.</w:t>
      </w:r>
    </w:p>
    <w:p w:rsidR="00A90B0A" w:rsidRPr="00FD21A1" w:rsidRDefault="00A90B0A" w:rsidP="00A90B0A">
      <w:pPr>
        <w:rPr>
          <w:bCs/>
          <w:color w:val="000000"/>
          <w:sz w:val="24"/>
          <w:szCs w:val="24"/>
        </w:rPr>
      </w:pPr>
      <w:r w:rsidRPr="00FD21A1">
        <w:rPr>
          <w:bCs/>
          <w:color w:val="000000"/>
          <w:sz w:val="24"/>
          <w:szCs w:val="24"/>
        </w:rPr>
        <w:t>Absence d’adénopathies axillaires.</w:t>
      </w:r>
    </w:p>
    <w:p w:rsidR="00A90B0A" w:rsidRPr="00FD21A1" w:rsidRDefault="00A90B0A" w:rsidP="00A90B0A">
      <w:pPr>
        <w:rPr>
          <w:bCs/>
          <w:color w:val="000000"/>
          <w:sz w:val="24"/>
          <w:szCs w:val="24"/>
        </w:rPr>
      </w:pPr>
    </w:p>
    <w:p w:rsidR="00A90B0A" w:rsidRPr="00FD21A1" w:rsidRDefault="00FD21A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D21A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D21A1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FD21A1" w:rsidRDefault="0077218B" w:rsidP="002E4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D21A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2E4262">
        <w:rPr>
          <w:b/>
          <w:bCs/>
          <w:i/>
          <w:color w:val="000000"/>
          <w:sz w:val="24"/>
          <w:szCs w:val="24"/>
        </w:rPr>
        <w:t>en faveur d’une masse mammaire gauche de sémiologie bénigne.</w:t>
      </w:r>
    </w:p>
    <w:p w:rsidR="00A90B0A" w:rsidRPr="00FD21A1" w:rsidRDefault="0077218B" w:rsidP="002E4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D21A1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2E4262">
        <w:rPr>
          <w:b/>
          <w:bCs/>
          <w:i/>
          <w:color w:val="000000"/>
          <w:sz w:val="24"/>
          <w:szCs w:val="24"/>
        </w:rPr>
        <w:t>3</w:t>
      </w:r>
      <w:r w:rsidR="00A90B0A" w:rsidRPr="00FD21A1">
        <w:rPr>
          <w:b/>
          <w:bCs/>
          <w:i/>
          <w:color w:val="000000"/>
          <w:sz w:val="24"/>
          <w:szCs w:val="24"/>
        </w:rPr>
        <w:t xml:space="preserve"> de l’ACR</w:t>
      </w:r>
      <w:r w:rsidR="002E4262">
        <w:rPr>
          <w:b/>
          <w:bCs/>
          <w:i/>
          <w:color w:val="000000"/>
          <w:sz w:val="24"/>
          <w:szCs w:val="24"/>
        </w:rPr>
        <w:t xml:space="preserve"> à gauche et BI-RADS 1 de l'ACR à droite</w:t>
      </w:r>
      <w:r w:rsidR="00A90B0A" w:rsidRPr="00FD21A1">
        <w:rPr>
          <w:b/>
          <w:bCs/>
          <w:i/>
          <w:color w:val="000000"/>
          <w:sz w:val="24"/>
          <w:szCs w:val="24"/>
        </w:rPr>
        <w:t>.</w:t>
      </w:r>
    </w:p>
    <w:p w:rsidR="00EE4ACF" w:rsidRPr="00FD21A1" w:rsidRDefault="0077218B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E4262">
        <w:rPr>
          <w:b/>
          <w:bCs/>
          <w:i/>
          <w:color w:val="000000"/>
          <w:sz w:val="24"/>
          <w:szCs w:val="24"/>
        </w:rPr>
        <w:t>A compléter par cytoponction.</w:t>
      </w:r>
    </w:p>
    <w:p w:rsidR="00EB2A23" w:rsidRPr="00FD21A1" w:rsidRDefault="00BC18CE">
      <w:pPr>
        <w:tabs>
          <w:tab w:val="left" w:pos="3686"/>
        </w:tabs>
        <w:rPr>
          <w:sz w:val="24"/>
          <w:szCs w:val="24"/>
        </w:rPr>
      </w:pPr>
      <w:r w:rsidRPr="00FD21A1">
        <w:rPr>
          <w:b/>
          <w:i/>
          <w:color w:val="000000"/>
          <w:sz w:val="24"/>
          <w:szCs w:val="24"/>
        </w:rPr>
        <w:t xml:space="preserve"> </w:t>
      </w:r>
    </w:p>
    <w:p w:rsidR="00EB2A23" w:rsidRPr="00FD21A1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D21A1" w:rsidRDefault="00FD21A1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D21A1" w:rsidRPr="00FD21A1" w:rsidRDefault="00FD21A1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D21A1" w:rsidRDefault="00EB2A23">
      <w:pPr>
        <w:rPr>
          <w:b/>
          <w:color w:val="000000"/>
          <w:sz w:val="24"/>
          <w:szCs w:val="24"/>
        </w:rPr>
      </w:pPr>
    </w:p>
    <w:p w:rsidR="00EB2A23" w:rsidRPr="00FD21A1" w:rsidRDefault="00EB2A23">
      <w:pPr>
        <w:rPr>
          <w:sz w:val="24"/>
          <w:szCs w:val="24"/>
        </w:rPr>
      </w:pPr>
    </w:p>
    <w:p w:rsidR="00EB2A23" w:rsidRPr="00FD21A1" w:rsidRDefault="00EB2A23">
      <w:pPr>
        <w:rPr>
          <w:sz w:val="24"/>
          <w:szCs w:val="24"/>
        </w:rPr>
      </w:pPr>
    </w:p>
    <w:p w:rsidR="00320AF6" w:rsidRPr="00FD21A1" w:rsidRDefault="00320AF6">
      <w:pPr>
        <w:rPr>
          <w:sz w:val="24"/>
          <w:szCs w:val="24"/>
        </w:rPr>
      </w:pPr>
    </w:p>
    <w:sectPr w:rsidR="00320AF6" w:rsidRPr="00FD21A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B56" w:rsidRDefault="00D34B56" w:rsidP="00FF41A6">
      <w:r>
        <w:separator/>
      </w:r>
    </w:p>
  </w:endnote>
  <w:endnote w:type="continuationSeparator" w:id="0">
    <w:p w:rsidR="00D34B56" w:rsidRDefault="00D34B5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B56" w:rsidRDefault="00D34B56" w:rsidP="00FF41A6">
      <w:r>
        <w:separator/>
      </w:r>
    </w:p>
  </w:footnote>
  <w:footnote w:type="continuationSeparator" w:id="0">
    <w:p w:rsidR="00D34B56" w:rsidRDefault="00D34B5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23499"/>
    <w:rsid w:val="00136EEF"/>
    <w:rsid w:val="00266C96"/>
    <w:rsid w:val="00291FF6"/>
    <w:rsid w:val="002B58CC"/>
    <w:rsid w:val="002E4262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5ABF"/>
    <w:rsid w:val="0055089C"/>
    <w:rsid w:val="005E5643"/>
    <w:rsid w:val="006925A3"/>
    <w:rsid w:val="006A5983"/>
    <w:rsid w:val="006E396B"/>
    <w:rsid w:val="007571A5"/>
    <w:rsid w:val="0077218B"/>
    <w:rsid w:val="007F2AFE"/>
    <w:rsid w:val="008B1520"/>
    <w:rsid w:val="00915587"/>
    <w:rsid w:val="00963E3C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34B56"/>
    <w:rsid w:val="00D77CF5"/>
    <w:rsid w:val="00DC7E65"/>
    <w:rsid w:val="00DE3E17"/>
    <w:rsid w:val="00E25639"/>
    <w:rsid w:val="00E31EF8"/>
    <w:rsid w:val="00EB2A23"/>
    <w:rsid w:val="00ED0385"/>
    <w:rsid w:val="00EE4ACF"/>
    <w:rsid w:val="00F45755"/>
    <w:rsid w:val="00F515B5"/>
    <w:rsid w:val="00F7627E"/>
    <w:rsid w:val="00FB18E1"/>
    <w:rsid w:val="00FD21A1"/>
    <w:rsid w:val="00FE0D5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08701F-3AFE-4D52-A258-6855CBD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