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Care Transition Efficiency &amp; Placement Outcome Analytics</w:t>
      </w:r>
    </w:p>
    <w:p>
      <w:r>
        <w:t>Executive Summary</w:t>
      </w:r>
    </w:p>
    <w:p>
      <w:pPr>
        <w:pStyle w:val="Heading1"/>
      </w:pPr>
      <w:r>
        <w:t>Purpose</w:t>
      </w:r>
    </w:p>
    <w:p>
      <w:r>
        <w:t>The Care Transition Efficiency &amp; Placement Outcome Analytics project reframes aggregate UAC operational reporting around movement through the care pipeline.</w:t>
      </w:r>
    </w:p>
    <w:p>
      <w:pPr>
        <w:pStyle w:val="Heading1"/>
      </w:pPr>
      <w:r>
        <w:t>Dataset</w:t>
      </w:r>
    </w:p>
    <w:p>
      <w:r>
        <w:t>The supplied CSV contains 1,170 source rows. 450 rows lacked valid dates and were excluded, leaving 720 valid dated observations covering 2023-01-12 to 2025-12-21.</w:t>
      </w:r>
    </w:p>
    <w:p>
      <w:pPr>
        <w:pStyle w:val="Heading1"/>
      </w:pPr>
      <w:r>
        <w:t>Headline indicators</w:t>
      </w:r>
    </w:p>
    <w:p>
      <w:r>
        <w:t>- Reported intake: 67,337</w:t>
        <w:br/>
        <w:t>- Reported transfers: 92,641</w:t>
        <w:br/>
        <w:t>- Reported discharges: 124,853</w:t>
        <w:br/>
        <w:t>- Weighted transfer efficiency: 75.03%</w:t>
        <w:br/>
        <w:t>- Weighted discharge effectiveness: 2.86%</w:t>
        <w:br/>
        <w:t>- Aggregate throughput: 185.42%</w:t>
        <w:br/>
        <w:t>- Maximum combined active load: 11,762</w:t>
      </w:r>
    </w:p>
    <w:p>
      <w:pPr>
        <w:pStyle w:val="Heading1"/>
      </w:pPr>
      <w:r>
        <w:t>Operational signals</w:t>
      </w:r>
    </w:p>
    <w:p>
      <w:r>
        <w:t>The largest report-to-report increase in combined active load was 730, while the largest decrease was -922. The project-defined bottleneck framework classified 180 observations as High or Critical, including 72 Critical observations.</w:t>
      </w:r>
    </w:p>
    <w:p>
      <w:pPr>
        <w:pStyle w:val="Heading1"/>
      </w:pPr>
      <w:r>
        <w:t>Interpretation</w:t>
      </w:r>
    </w:p>
    <w:p>
      <w:r>
        <w:t>These signals identify periods for review. They do not establish why a period occurred or imply that every stage represents the same unique children. Aggregate throughput can exceed 100% because entries and exits may represent different cohorts and periods.</w:t>
      </w:r>
    </w:p>
    <w:p>
      <w:pPr>
        <w:pStyle w:val="Heading1"/>
      </w:pPr>
      <w:r>
        <w:t>Recommended use</w:t>
      </w:r>
    </w:p>
    <w:p>
      <w:r>
        <w:t>Use the dashboard as a monitoring and triage tool:</w:t>
        <w:br/>
        <w:t>- inspect sustained active-load growth;</w:t>
        <w:br/>
        <w:t>- compare transfers and discharges with inflow;</w:t>
        <w:br/>
        <w:t>- review low-efficiency periods;</w:t>
        <w:br/>
        <w:t>- use monthly and rolling trends to distinguish persistent from isolated pressure;</w:t>
        <w:br/>
        <w:t>- investigate flagged periods using operational context not present in the dataset.</w:t>
      </w:r>
    </w:p>
    <w:p>
      <w:pPr>
        <w:pStyle w:val="Heading1"/>
      </w:pPr>
      <w:r>
        <w:t>Future scope</w:t>
      </w:r>
    </w:p>
    <w:p>
      <w:r>
        <w:t>A case-level dataset could support actual stage duration, time-to-placement, geographic comparisons, case complexity, and more rigorous predictive or causal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