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Detailed Continuation Summary</w:t>
      </w:r>
    </w:p>
    <w:p>
      <w:pPr>
        <w:jc w:val="center"/>
      </w:pPr>
      <w:r>
        <w:rPr>
          <w:i/>
          <w:sz w:val="22"/>
        </w:rPr>
        <w:t>Major Revision of “From Crisis to New Routine: Lasting Shifts in Urban Shopping Mobility and Socioeconomic Inequality post-COVID-19”</w:t>
      </w:r>
    </w:p>
    <w:p>
      <w:pPr>
        <w:jc w:val="center"/>
      </w:pPr>
      <w:r>
        <w:rPr>
          <w:b/>
        </w:rPr>
        <w:t>Purpose: Paste this summary into a new project chat so the assistant can continue without losing details.</w:t>
      </w:r>
    </w:p>
    <w:p>
      <w:pPr>
        <w:pStyle w:val="Heading1"/>
      </w:pPr>
      <w:r>
        <w:t>1. Project Context and Main Objective</w:t>
      </w:r>
    </w:p>
    <w:p>
      <w:r>
        <w:t>The user, Mohsen Bahrami, submitted a manuscript titled “From Crisis to New Routine: Lasting Shifts in Urban Shopping Mobility and Socioeconomic Inequality post-COVID-19” to Frontiers in Big Data, special issue “Social Impacts through the lens of Human Mobility.” The goal of the current project/chat is to revise the manuscript after major-revision comments and prepare a point-by-point response to the editor and reviewers.</w:t>
      </w:r>
    </w:p>
    <w:p>
      <w:r>
        <w:t>Three key files were uploaded and reviewed: Manuscript_v1.PDF, SupMaterial_v1.PDF, and Reviewer_Comments.pdf. Reviewer 2 rejected the paper but is no longer part of the revision process; only the Editor, Reviewer 1, and Reviewer 3 comments are being addressed. The revision must use the paper’s existing tone, wording style, and paragraph structure as much as possible. Any new content should be factually supported by valid references or by new computations from the existing data/code.</w:t>
      </w:r>
    </w:p>
    <w:p>
      <w:pPr>
        <w:pStyle w:val="Heading1"/>
      </w:pPr>
      <w:r>
        <w:t>2. Manuscript Baseline: Data, Model, Claims, and Existing Results</w:t>
      </w:r>
    </w:p>
    <w:p>
      <w:r>
        <w:t>The original manuscript studies NYC department-store/general-merchandise shopping mobility from 2018 to 2021 using SafeGraph mobility and place data plus ACS census data. It uses a modified Huff/MCI gravity model with PSO calibration and simulated annealing for normalization/search-space tuning. The six calibrated parameters correspond to store area, chain loyalty, POI count, POI diversity, demographic similarity, and CBG-store distance.</w:t>
      </w:r>
    </w:p>
    <w:p>
      <w:pPr>
        <w:pStyle w:val="ListBullet"/>
      </w:pPr>
      <w:r>
        <w:t>Original analytical sample: 6,493 NYC CBGs in the geometry file; 5,781 CBGs had complete demographic information; final model analysis used 5,502 CBGs with visit records across all four years and after representativeness/outlier filtering.</w:t>
      </w:r>
    </w:p>
    <w:p>
      <w:pPr>
        <w:pStyle w:val="ListBullet"/>
      </w:pPr>
      <w:r>
        <w:t>Four yearly PSO parameter files exist: PSO_2018_6params_NYC_norm_28_PSO_15.csv, PSO_2019_6params_NYC_norm_28_PSO_15.csv, PSO_2020_6params_NYC_norm_28_PSO_15.csv, PSO_2021_6params_NYC_norm_28_PSO_15.csv.</w:t>
      </w:r>
    </w:p>
    <w:p>
      <w:pPr>
        <w:pStyle w:val="ListBullet"/>
      </w:pPr>
      <w:r>
        <w:t>Example PSO columns: cbg, cost, H_Area_of_store, R_Percentage_of_Visits_by_brand, J_POI_count_where_store_is, K_POI_diversity_where_store_is, L_Demographic_similarity, G_Distance_between_cbg_and_store.</w:t>
      </w:r>
    </w:p>
    <w:p>
      <w:pPr>
        <w:pStyle w:val="ListBullet"/>
      </w:pPr>
      <w:r>
        <w:t>Original model fit correlations at chain level: 2018 = 0.964, 2019 = 0.956, 2020 = 0.742, 2021 = 0.544. Reviewer 3 noted the post-2019 decline and suggested stability/perturbation checks.</w:t>
      </w:r>
    </w:p>
    <w:p>
      <w:pPr>
        <w:pStyle w:val="ListBullet"/>
      </w:pPr>
      <w:r>
        <w:t>Original manuscript interprets fitted parameters as “preferences.” This must be softened to “revealed shopping-location patterns,” “store-selection patterns,” or “mobility-based behavioral weights” under pandemic-era constraints.</w:t>
      </w:r>
    </w:p>
    <w:p>
      <w:pPr>
        <w:pStyle w:val="Heading1"/>
      </w:pPr>
      <w:r>
        <w:t>3. Reviewer/Editor Issues and Agreed Revision Strategy</w:t>
      </w:r>
    </w:p>
    <w:p>
      <w:r>
        <w:t>The editor summarized the main weaknesses as: conceptual overreach, methodological sprawl without enough justification/validation, and threats to inference from data representativeness, spatial dependence, and supply-side changes.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Issue</w:t>
            </w:r>
          </w:p>
        </w:tc>
        <w:tc>
          <w:tcPr>
            <w:tcW w:type="dxa" w:w="3360"/>
            <w:shd w:fill="D9EAF7"/>
          </w:tcPr>
          <w:p>
            <w:r/>
            <w:r>
              <w:rPr>
                <w:b/>
                <w:sz w:val="18"/>
              </w:rPr>
              <w:t>Reviewer/Editor Source</w:t>
            </w:r>
          </w:p>
        </w:tc>
        <w:tc>
          <w:tcPr>
            <w:tcW w:type="dxa" w:w="3360"/>
            <w:shd w:fill="D9EAF7"/>
          </w:tcPr>
          <w:p>
            <w:r/>
            <w:r>
              <w:rPr>
                <w:b/>
                <w:sz w:val="18"/>
              </w:rPr>
              <w:t>Revision Strategy</w:t>
            </w:r>
          </w:p>
        </w:tc>
      </w:tr>
      <w:tr>
        <w:tc>
          <w:tcPr>
            <w:tcW w:type="dxa" w:w="3360"/>
            <w:vAlign w:val="top"/>
          </w:tcPr>
          <w:p>
            <w:r/>
            <w:r>
              <w:rPr>
                <w:b w:val="0"/>
                <w:sz w:val="18"/>
              </w:rPr>
              <w:t>Conceptual overreach: fitted parameters are not pure preferences</w:t>
            </w:r>
          </w:p>
        </w:tc>
        <w:tc>
          <w:tcPr>
            <w:tcW w:type="dxa" w:w="3360"/>
            <w:vAlign w:val="top"/>
          </w:tcPr>
          <w:p>
            <w:r/>
            <w:r>
              <w:rPr>
                <w:b w:val="0"/>
                <w:sz w:val="18"/>
              </w:rPr>
              <w:t>Editor; Reviewer 1 comment 3</w:t>
            </w:r>
          </w:p>
        </w:tc>
        <w:tc>
          <w:tcPr>
            <w:tcW w:type="dxa" w:w="3360"/>
            <w:vAlign w:val="top"/>
          </w:tcPr>
          <w:p>
            <w:r/>
            <w:r>
              <w:rPr>
                <w:b w:val="0"/>
                <w:sz w:val="18"/>
              </w:rPr>
              <w:t>Reframe throughout as revealed shopping-location/store-selection patterns under constraints, not pure psychological preferences.</w:t>
            </w:r>
          </w:p>
        </w:tc>
      </w:tr>
      <w:tr>
        <w:tc>
          <w:tcPr>
            <w:tcW w:type="dxa" w:w="3360"/>
            <w:vAlign w:val="top"/>
          </w:tcPr>
          <w:p>
            <w:r/>
            <w:r>
              <w:rPr>
                <w:b w:val="0"/>
                <w:sz w:val="18"/>
              </w:rPr>
              <w:t>2021 treated as fully post-pandemic</w:t>
            </w:r>
          </w:p>
        </w:tc>
        <w:tc>
          <w:tcPr>
            <w:tcW w:type="dxa" w:w="3360"/>
            <w:vAlign w:val="top"/>
          </w:tcPr>
          <w:p>
            <w:r/>
            <w:r>
              <w:rPr>
                <w:b w:val="0"/>
                <w:sz w:val="18"/>
              </w:rPr>
              <w:t>Reviewer 1 comment 1</w:t>
            </w:r>
          </w:p>
        </w:tc>
        <w:tc>
          <w:tcPr>
            <w:tcW w:type="dxa" w:w="3360"/>
            <w:vAlign w:val="top"/>
          </w:tcPr>
          <w:p>
            <w:r/>
            <w:r>
              <w:rPr>
                <w:b w:val="0"/>
                <w:sz w:val="18"/>
              </w:rPr>
              <w:t>Reframe 2021 as “early recovery/reopening/transitional year”; persistence means non-reversion by 2021, not permanent post-pandemic equilibrium.</w:t>
            </w:r>
          </w:p>
        </w:tc>
      </w:tr>
      <w:tr>
        <w:tc>
          <w:tcPr>
            <w:tcW w:type="dxa" w:w="3360"/>
            <w:vAlign w:val="top"/>
          </w:tcPr>
          <w:p>
            <w:r/>
            <w:r>
              <w:rPr>
                <w:b w:val="0"/>
                <w:sz w:val="18"/>
              </w:rPr>
              <w:t>SafeGraph sampling bias and socioeconomic representativeness</w:t>
            </w:r>
          </w:p>
        </w:tc>
        <w:tc>
          <w:tcPr>
            <w:tcW w:type="dxa" w:w="3360"/>
            <w:vAlign w:val="top"/>
          </w:tcPr>
          <w:p>
            <w:r/>
            <w:r>
              <w:rPr>
                <w:b w:val="0"/>
                <w:sz w:val="18"/>
              </w:rPr>
              <w:t>Reviewer 1 comment 2</w:t>
            </w:r>
          </w:p>
        </w:tc>
        <w:tc>
          <w:tcPr>
            <w:tcW w:type="dxa" w:w="3360"/>
            <w:vAlign w:val="top"/>
          </w:tcPr>
          <w:p>
            <w:r/>
            <w:r>
              <w:rPr>
                <w:b w:val="0"/>
                <w:sz w:val="18"/>
              </w:rPr>
              <w:t>Use descriptive representativeness tables plus sampling-bias sensitivity of main parameter-change results.</w:t>
            </w:r>
          </w:p>
        </w:tc>
      </w:tr>
      <w:tr>
        <w:tc>
          <w:tcPr>
            <w:tcW w:type="dxa" w:w="3360"/>
            <w:vAlign w:val="top"/>
          </w:tcPr>
          <w:p>
            <w:r/>
            <w:r>
              <w:rPr>
                <w:b w:val="0"/>
                <w:sz w:val="18"/>
              </w:rPr>
              <w:t>Top 5% socioeconomic groups arbitrary</w:t>
            </w:r>
          </w:p>
        </w:tc>
        <w:tc>
          <w:tcPr>
            <w:tcW w:type="dxa" w:w="3360"/>
            <w:vAlign w:val="top"/>
          </w:tcPr>
          <w:p>
            <w:r/>
            <w:r>
              <w:rPr>
                <w:b w:val="0"/>
                <w:sz w:val="18"/>
              </w:rPr>
              <w:t>Reviewer 1 comment 4</w:t>
            </w:r>
          </w:p>
        </w:tc>
        <w:tc>
          <w:tcPr>
            <w:tcW w:type="dxa" w:w="3360"/>
            <w:vAlign w:val="top"/>
          </w:tcPr>
          <w:p>
            <w:r/>
            <w:r>
              <w:rPr>
                <w:b w:val="0"/>
                <w:sz w:val="18"/>
              </w:rPr>
              <w:t>Keep top 5% as interpretable high-concentration groups, add top 10%/decile and PCA/K-means support.</w:t>
            </w:r>
          </w:p>
        </w:tc>
      </w:tr>
      <w:tr>
        <w:tc>
          <w:tcPr>
            <w:tcW w:type="dxa" w:w="3360"/>
            <w:vAlign w:val="top"/>
          </w:tcPr>
          <w:p>
            <w:r/>
            <w:r>
              <w:rPr>
                <w:b w:val="0"/>
                <w:sz w:val="18"/>
              </w:rPr>
              <w:t>Spatial dependence</w:t>
            </w:r>
          </w:p>
        </w:tc>
        <w:tc>
          <w:tcPr>
            <w:tcW w:type="dxa" w:w="3360"/>
            <w:vAlign w:val="top"/>
          </w:tcPr>
          <w:p>
            <w:r/>
            <w:r>
              <w:rPr>
                <w:b w:val="0"/>
                <w:sz w:val="18"/>
              </w:rPr>
              <w:t>Reviewer 1 comment 5</w:t>
            </w:r>
          </w:p>
        </w:tc>
        <w:tc>
          <w:tcPr>
            <w:tcW w:type="dxa" w:w="3360"/>
            <w:vAlign w:val="top"/>
          </w:tcPr>
          <w:p>
            <w:r/>
            <w:r>
              <w:rPr>
                <w:b w:val="0"/>
                <w:sz w:val="18"/>
              </w:rPr>
              <w:t>Add Moran’s I/LISA diagnostics for CBG-level parameter changes; acknowledge modest spatial autocorrelation as limitation.</w:t>
            </w:r>
          </w:p>
        </w:tc>
      </w:tr>
      <w:tr>
        <w:tc>
          <w:tcPr>
            <w:tcW w:type="dxa" w:w="3360"/>
            <w:vAlign w:val="top"/>
          </w:tcPr>
          <w:p>
            <w:r/>
            <w:r>
              <w:rPr>
                <w:b w:val="0"/>
                <w:sz w:val="18"/>
              </w:rPr>
              <w:t>Supply-side closures</w:t>
            </w:r>
          </w:p>
        </w:tc>
        <w:tc>
          <w:tcPr>
            <w:tcW w:type="dxa" w:w="3360"/>
            <w:vAlign w:val="top"/>
          </w:tcPr>
          <w:p>
            <w:r/>
            <w:r>
              <w:rPr>
                <w:b w:val="0"/>
                <w:sz w:val="18"/>
              </w:rPr>
              <w:t>Reviewer 1 comment 6</w:t>
            </w:r>
          </w:p>
        </w:tc>
        <w:tc>
          <w:tcPr>
            <w:tcW w:type="dxa" w:w="3360"/>
            <w:vAlign w:val="top"/>
          </w:tcPr>
          <w:p>
            <w:r/>
            <w:r>
              <w:rPr>
                <w:b w:val="0"/>
                <w:sz w:val="18"/>
              </w:rPr>
              <w:t>Clarify all stores used were confirmed operating over the data period; too few closures for formal closure analysis; interpret revealed patterns under both demand and supply-side constraints.</w:t>
            </w:r>
          </w:p>
        </w:tc>
      </w:tr>
      <w:tr>
        <w:tc>
          <w:tcPr>
            <w:tcW w:type="dxa" w:w="3360"/>
            <w:vAlign w:val="top"/>
          </w:tcPr>
          <w:p>
            <w:r/>
            <w:r>
              <w:rPr>
                <w:b w:val="0"/>
                <w:sz w:val="18"/>
              </w:rPr>
              <w:t>Figures 2-7 readability</w:t>
            </w:r>
          </w:p>
        </w:tc>
        <w:tc>
          <w:tcPr>
            <w:tcW w:type="dxa" w:w="3360"/>
            <w:vAlign w:val="top"/>
          </w:tcPr>
          <w:p>
            <w:r/>
            <w:r>
              <w:rPr>
                <w:b w:val="0"/>
                <w:sz w:val="18"/>
              </w:rPr>
              <w:t>Reviewer 1 comment 7</w:t>
            </w:r>
          </w:p>
        </w:tc>
        <w:tc>
          <w:tcPr>
            <w:tcW w:type="dxa" w:w="3360"/>
            <w:vAlign w:val="top"/>
          </w:tcPr>
          <w:p>
            <w:r/>
            <w:r>
              <w:rPr>
                <w:b w:val="0"/>
                <w:sz w:val="18"/>
              </w:rPr>
              <w:t>Improve fonts, scales, legends, and possibly move dense panels to supplement.</w:t>
            </w:r>
          </w:p>
        </w:tc>
      </w:tr>
      <w:tr>
        <w:tc>
          <w:tcPr>
            <w:tcW w:type="dxa" w:w="3360"/>
            <w:vAlign w:val="top"/>
          </w:tcPr>
          <w:p>
            <w:r/>
            <w:r>
              <w:rPr>
                <w:b w:val="0"/>
                <w:sz w:val="18"/>
              </w:rPr>
              <w:t>K-means stability</w:t>
            </w:r>
          </w:p>
        </w:tc>
        <w:tc>
          <w:tcPr>
            <w:tcW w:type="dxa" w:w="3360"/>
            <w:vAlign w:val="top"/>
          </w:tcPr>
          <w:p>
            <w:r/>
            <w:r>
              <w:rPr>
                <w:b w:val="0"/>
                <w:sz w:val="18"/>
              </w:rPr>
              <w:t>Reviewer 3 comment 4</w:t>
            </w:r>
          </w:p>
        </w:tc>
        <w:tc>
          <w:tcPr>
            <w:tcW w:type="dxa" w:w="3360"/>
            <w:vAlign w:val="top"/>
          </w:tcPr>
          <w:p>
            <w:r/>
            <w:r>
              <w:rPr>
                <w:b w:val="0"/>
                <w:sz w:val="18"/>
              </w:rPr>
              <w:t>Add K-means stability check under multiple random seeds; report ARI range/mean.</w:t>
            </w:r>
          </w:p>
        </w:tc>
      </w:tr>
      <w:tr>
        <w:tc>
          <w:tcPr>
            <w:tcW w:type="dxa" w:w="3360"/>
            <w:vAlign w:val="top"/>
          </w:tcPr>
          <w:p>
            <w:r/>
            <w:r>
              <w:rPr>
                <w:b w:val="0"/>
                <w:sz w:val="18"/>
              </w:rPr>
              <w:t>Perturbation/corridor resilience</w:t>
            </w:r>
          </w:p>
        </w:tc>
        <w:tc>
          <w:tcPr>
            <w:tcW w:type="dxa" w:w="3360"/>
            <w:vAlign w:val="top"/>
          </w:tcPr>
          <w:p>
            <w:r/>
            <w:r>
              <w:rPr>
                <w:b w:val="0"/>
                <w:sz w:val="18"/>
              </w:rPr>
              <w:t>Reviewer 3 comments 1-2</w:t>
            </w:r>
          </w:p>
        </w:tc>
        <w:tc>
          <w:tcPr>
            <w:tcW w:type="dxa" w:w="3360"/>
            <w:vAlign w:val="top"/>
          </w:tcPr>
          <w:p>
            <w:r/>
            <w:r>
              <w:rPr>
                <w:b w:val="0"/>
                <w:sz w:val="18"/>
              </w:rPr>
              <w:t>Do not add full corridor network analysis due to methodological sprawl; mention as future work unless there is time for a small perturbation check.</w:t>
            </w:r>
          </w:p>
        </w:tc>
      </w:tr>
    </w:tbl>
    <w:p>
      <w:pPr>
        <w:pStyle w:val="Heading1"/>
      </w:pPr>
      <w:r>
        <w:t>4. User Clarifications That Must Guide the Revision</w:t>
      </w:r>
    </w:p>
    <w:p>
      <w:pPr>
        <w:pStyle w:val="ListBullet"/>
      </w:pPr>
      <w:r>
        <w:t>Code and preprocessed data are available at the OSF repository: https://osf.io/phbqz/overview?view_only=0ec27466b42b4d398e959b5d5dec4a71. It is anonymous because the journal may use double-blind review.</w:t>
      </w:r>
    </w:p>
    <w:p>
      <w:pPr>
        <w:pStyle w:val="ListBullet"/>
      </w:pPr>
      <w:r>
        <w:t>Only 2018-2021 SafeGraph COVID research data are available. SafeGraph stopped sharing the COVID research panel at the end of 2021 because they considered the COVID-specific period ended. Therefore, the revision cannot add 2022+ analyses.</w:t>
      </w:r>
    </w:p>
    <w:p>
      <w:pPr>
        <w:pStyle w:val="ListBullet"/>
      </w:pPr>
      <w:r>
        <w:t>All stores included in the analysis were confirmed to be operating across the available data period. There were not enough store-closure cases to support a formal closure analysis. This must be explicitly stated in the revision.</w:t>
      </w:r>
    </w:p>
    <w:p>
      <w:pPr>
        <w:pStyle w:val="ListBullet"/>
      </w:pPr>
      <w:r>
        <w:t>The user is willing to add robustness checks and supplementary analyses.</w:t>
      </w:r>
    </w:p>
    <w:p>
      <w:pPr>
        <w:pStyle w:val="ListBullet"/>
      </w:pPr>
      <w:r>
        <w:t>The title may be changed. Safer title options discussed include “From Crisis to Early Recovery: Shifts in Urban Shopping Mobility and Socioeconomic Inequality During and After the COVID-19 Shock” or “From Crisis to New Routine: Shifts in Urban Shopping Mobility and Socioeconomic Inequality Through the COVID-19 Recovery Period.”</w:t>
      </w:r>
    </w:p>
    <w:p>
      <w:pPr>
        <w:pStyle w:val="Heading1"/>
      </w:pPr>
      <w:r>
        <w:t>5. Completed Computational Additions and Results</w:t>
      </w:r>
    </w:p>
    <w:p>
      <w:pPr>
        <w:pStyle w:val="Heading2"/>
      </w:pPr>
      <w:r>
        <w:t>5.1 Top 10% / Decile Socioeconomic Robustness</w:t>
      </w:r>
    </w:p>
    <w:p>
      <w:r>
        <w:t>Purpose: address Reviewer 1’s concern that the top 5% threshold for socioeconomic groups is arbitrary. User provided comparison tables/figures for top 10% versus top 5%.</w:t>
      </w:r>
    </w:p>
    <w:p>
      <w:pPr>
        <w:pStyle w:val="ListBullet"/>
      </w:pPr>
      <w:r>
        <w:t>Top 10% groups are broader and less extreme than top 5%, as expected. Thresholds changed as follows: education 0.67 to 0.57; median age 52.88 to 48.86; income $144,069.2 to $115,443.4; White 0.92 to 0.87; Black 0.89 to 0.78; Asian 0.55 to 0.41; Hispanic/Latino 0.78 to 0.68.</w:t>
      </w:r>
    </w:p>
    <w:p>
      <w:pPr>
        <w:pStyle w:val="ListBullet"/>
      </w:pPr>
      <w:r>
        <w:t>2019-2020 shock pattern is robust: distance decreases for all seven top-decile groups; store area increases for all seven; chain loyalty increases for all seven; POI count generally increases; POI diversity and demographic similarity are weaker/more mixed.</w:t>
      </w:r>
    </w:p>
    <w:p>
      <w:pPr>
        <w:pStyle w:val="ListBullet"/>
      </w:pPr>
      <w:r>
        <w:t>2020-2021 pattern remains broadly consistent: 2021 shows partial adjustment rather than full reversion to 2019. Distance continues to decline for most groups; store area remains positive for most but declines for Black and Hispanic/Latino high-concentration groups; chain loyalty is more mixed.</w:t>
      </w:r>
    </w:p>
    <w:p>
      <w:pPr>
        <w:pStyle w:val="ListBullet"/>
      </w:pPr>
      <w:r>
        <w:t>Conclusion: include top 10% robustness in Supplementary Material; keep top 5% in main text for interpretability. Mention briefly in main text that results are not driven by the top 5% threshold.</w:t>
      </w:r>
    </w:p>
    <w:p>
      <w:pPr>
        <w:pStyle w:val="ListBullet"/>
      </w:pPr>
      <w:r>
        <w:t>Note: ensure figure/table titles are corrected if they still say “top 5%” when they show top 10%.</w:t>
      </w:r>
    </w:p>
    <w:p>
      <w:pPr>
        <w:pStyle w:val="Heading2"/>
      </w:pPr>
      <w:r>
        <w:t>5.2 PCA-Based Socioeconomic Structure Check</w:t>
      </w:r>
    </w:p>
    <w:p>
      <w:r>
        <w:t>Purpose: provide additional support that socioeconomic heterogeneity is not only based on arbitrary threshold groups. PCA should be included as supplementary support, not a replacement for top 5% or K-means because PCA is less intuitive for readers.</w:t>
      </w:r>
    </w:p>
    <w:tbl>
      <w:tblPr>
        <w:tblStyle w:val="TableGrid"/>
        <w:tblW w:type="auto" w:w="0"/>
        <w:tblLook w:firstColumn="1" w:firstRow="1" w:lastColumn="0" w:lastRow="0" w:noHBand="0" w:noVBand="1" w:val="04A0"/>
      </w:tblPr>
      <w:tblGrid>
        <w:gridCol w:w="3360"/>
        <w:gridCol w:w="3360"/>
        <w:gridCol w:w="3360"/>
      </w:tblGrid>
      <w:tr>
        <w:tc>
          <w:tcPr>
            <w:tcW w:type="dxa" w:w="3360"/>
            <w:shd w:fill="E2F0D9"/>
          </w:tcPr>
          <w:p>
            <w:r/>
            <w:r>
              <w:rPr>
                <w:b/>
                <w:sz w:val="18"/>
              </w:rPr>
              <w:t>Component</w:t>
            </w:r>
          </w:p>
        </w:tc>
        <w:tc>
          <w:tcPr>
            <w:tcW w:type="dxa" w:w="3360"/>
            <w:shd w:fill="E2F0D9"/>
          </w:tcPr>
          <w:p>
            <w:r/>
            <w:r>
              <w:rPr>
                <w:b/>
                <w:sz w:val="18"/>
              </w:rPr>
              <w:t>Explained variance</w:t>
            </w:r>
          </w:p>
        </w:tc>
        <w:tc>
          <w:tcPr>
            <w:tcW w:type="dxa" w:w="3360"/>
            <w:shd w:fill="E2F0D9"/>
          </w:tcPr>
          <w:p>
            <w:r/>
            <w:r>
              <w:rPr>
                <w:b/>
                <w:sz w:val="18"/>
              </w:rPr>
              <w:t>Cumulative variance</w:t>
            </w:r>
          </w:p>
        </w:tc>
      </w:tr>
      <w:tr>
        <w:tc>
          <w:tcPr>
            <w:tcW w:type="dxa" w:w="3360"/>
          </w:tcPr>
          <w:p>
            <w:r/>
            <w:r>
              <w:rPr>
                <w:b w:val="0"/>
                <w:sz w:val="18"/>
              </w:rPr>
              <w:t>PC1</w:t>
            </w:r>
          </w:p>
        </w:tc>
        <w:tc>
          <w:tcPr>
            <w:tcW w:type="dxa" w:w="3360"/>
          </w:tcPr>
          <w:p>
            <w:r/>
            <w:r>
              <w:rPr>
                <w:b w:val="0"/>
                <w:sz w:val="18"/>
              </w:rPr>
              <w:t>42.10%</w:t>
            </w:r>
          </w:p>
        </w:tc>
        <w:tc>
          <w:tcPr>
            <w:tcW w:type="dxa" w:w="3360"/>
          </w:tcPr>
          <w:p>
            <w:r/>
            <w:r>
              <w:rPr>
                <w:b w:val="0"/>
                <w:sz w:val="18"/>
              </w:rPr>
              <w:t>42.10%</w:t>
            </w:r>
          </w:p>
        </w:tc>
      </w:tr>
      <w:tr>
        <w:tc>
          <w:tcPr>
            <w:tcW w:type="dxa" w:w="3360"/>
          </w:tcPr>
          <w:p>
            <w:r/>
            <w:r>
              <w:rPr>
                <w:b w:val="0"/>
                <w:sz w:val="18"/>
              </w:rPr>
              <w:t>PC2</w:t>
            </w:r>
          </w:p>
        </w:tc>
        <w:tc>
          <w:tcPr>
            <w:tcW w:type="dxa" w:w="3360"/>
          </w:tcPr>
          <w:p>
            <w:r/>
            <w:r>
              <w:rPr>
                <w:b w:val="0"/>
                <w:sz w:val="18"/>
              </w:rPr>
              <w:t>18.37%</w:t>
            </w:r>
          </w:p>
        </w:tc>
        <w:tc>
          <w:tcPr>
            <w:tcW w:type="dxa" w:w="3360"/>
          </w:tcPr>
          <w:p>
            <w:r/>
            <w:r>
              <w:rPr>
                <w:b w:val="0"/>
                <w:sz w:val="18"/>
              </w:rPr>
              <w:t>60.47%</w:t>
            </w:r>
          </w:p>
        </w:tc>
      </w:tr>
      <w:tr>
        <w:tc>
          <w:tcPr>
            <w:tcW w:type="dxa" w:w="3360"/>
          </w:tcPr>
          <w:p>
            <w:r/>
            <w:r>
              <w:rPr>
                <w:b w:val="0"/>
                <w:sz w:val="18"/>
              </w:rPr>
              <w:t>PC3</w:t>
            </w:r>
          </w:p>
        </w:tc>
        <w:tc>
          <w:tcPr>
            <w:tcW w:type="dxa" w:w="3360"/>
          </w:tcPr>
          <w:p>
            <w:r/>
            <w:r>
              <w:rPr>
                <w:b w:val="0"/>
                <w:sz w:val="18"/>
              </w:rPr>
              <w:t>16.93%</w:t>
            </w:r>
          </w:p>
        </w:tc>
        <w:tc>
          <w:tcPr>
            <w:tcW w:type="dxa" w:w="3360"/>
          </w:tcPr>
          <w:p>
            <w:r/>
            <w:r>
              <w:rPr>
                <w:b w:val="0"/>
                <w:sz w:val="18"/>
              </w:rPr>
              <w:t>77.40%</w:t>
            </w:r>
          </w:p>
        </w:tc>
      </w:tr>
      <w:tr>
        <w:tc>
          <w:tcPr>
            <w:tcW w:type="dxa" w:w="3360"/>
          </w:tcPr>
          <w:p>
            <w:r/>
            <w:r>
              <w:rPr>
                <w:b w:val="0"/>
                <w:sz w:val="18"/>
              </w:rPr>
              <w:t>PC4</w:t>
            </w:r>
          </w:p>
        </w:tc>
        <w:tc>
          <w:tcPr>
            <w:tcW w:type="dxa" w:w="3360"/>
          </w:tcPr>
          <w:p>
            <w:r/>
            <w:r>
              <w:rPr>
                <w:b w:val="0"/>
                <w:sz w:val="18"/>
              </w:rPr>
              <w:t>11.14%</w:t>
            </w:r>
          </w:p>
        </w:tc>
        <w:tc>
          <w:tcPr>
            <w:tcW w:type="dxa" w:w="3360"/>
          </w:tcPr>
          <w:p>
            <w:r/>
            <w:r>
              <w:rPr>
                <w:b w:val="0"/>
                <w:sz w:val="18"/>
              </w:rPr>
              <w:t>88.55%</w:t>
            </w:r>
          </w:p>
        </w:tc>
      </w:tr>
      <w:tr>
        <w:tc>
          <w:tcPr>
            <w:tcW w:type="dxa" w:w="3360"/>
          </w:tcPr>
          <w:p>
            <w:r/>
            <w:r>
              <w:rPr>
                <w:b w:val="0"/>
                <w:sz w:val="18"/>
              </w:rPr>
              <w:t>PC5</w:t>
            </w:r>
          </w:p>
        </w:tc>
        <w:tc>
          <w:tcPr>
            <w:tcW w:type="dxa" w:w="3360"/>
          </w:tcPr>
          <w:p>
            <w:r/>
            <w:r>
              <w:rPr>
                <w:b w:val="0"/>
                <w:sz w:val="18"/>
              </w:rPr>
              <w:t>7.06%</w:t>
            </w:r>
          </w:p>
        </w:tc>
        <w:tc>
          <w:tcPr>
            <w:tcW w:type="dxa" w:w="3360"/>
          </w:tcPr>
          <w:p>
            <w:r/>
            <w:r>
              <w:rPr>
                <w:b w:val="0"/>
                <w:sz w:val="18"/>
              </w:rPr>
              <w:t>95.61%</w:t>
            </w:r>
          </w:p>
        </w:tc>
      </w:tr>
    </w:tbl>
    <w:p>
      <w:pPr>
        <w:pStyle w:val="ListBullet"/>
      </w:pPr>
      <w:r>
        <w:t>Interpretation: first three PCs explain 77.4% of variation; first four explain 88.5%; first five explain 95.6%.</w:t>
      </w:r>
    </w:p>
    <w:p>
      <w:pPr>
        <w:pStyle w:val="ListBullet"/>
      </w:pPr>
      <w:r>
        <w:t>PC1 is broadly an advantage/affluence dimension: positive on education, income, White share; negative on Black and Hispanic shares.</w:t>
      </w:r>
    </w:p>
    <w:p>
      <w:pPr>
        <w:pStyle w:val="ListBullet"/>
      </w:pPr>
      <w:r>
        <w:t>PC2 is strongly positive on Black share and also income/age to a lesser degree.</w:t>
      </w:r>
    </w:p>
    <w:p>
      <w:pPr>
        <w:pStyle w:val="ListBullet"/>
      </w:pPr>
      <w:r>
        <w:t>PC3 is strongly negative on Hispanic share and related to age.</w:t>
      </w:r>
    </w:p>
    <w:p>
      <w:pPr>
        <w:pStyle w:val="ListBullet"/>
      </w:pPr>
      <w:r>
        <w:t>PC4 is strongly positive on Asian share.</w:t>
      </w:r>
    </w:p>
    <w:p>
      <w:pPr>
        <w:pStyle w:val="ListBullet"/>
      </w:pPr>
      <w:r>
        <w:t>PCA output files were generated: pca_explained_variance.csv, pca_loadings.csv, pca_scores.csv.</w:t>
      </w:r>
    </w:p>
    <w:p>
      <w:pPr>
        <w:pStyle w:val="Heading2"/>
      </w:pPr>
      <w:r>
        <w:t>5.3 K-means Stability Check</w:t>
      </w:r>
    </w:p>
    <w:p>
      <w:r>
        <w:t>Purpose: directly address Reviewer 3’s request for a K-means stability check. The final correct run used NYC CBGs filtered from nyc_cbgs.json using GEOID/GEOID10 and standardized socioeconomic variables. Education and race/ethnicity count variables were converted to population shares before standardization. The run used 10 random seeds and k=5.</w:t>
      </w:r>
    </w:p>
    <w:p>
      <w:pPr>
        <w:pStyle w:val="ListBullet"/>
      </w:pPr>
      <w:r>
        <w:t>Correct final sample for K-means stability: 5,821 NYC CBGs with demographic information. This is close to the manuscript’s demographic sample and before final model filtering to 5,502 CBGs.</w:t>
      </w:r>
    </w:p>
    <w:p>
      <w:pPr>
        <w:pStyle w:val="ListBullet"/>
      </w:pPr>
      <w:r>
        <w:t>The previous erroneous run used 14,510 CBGs because NY_cbg_census.csv was not filtered to NYC; that run should not be used.</w:t>
      </w:r>
    </w:p>
    <w:p>
      <w:pPr>
        <w:pStyle w:val="ListBullet"/>
      </w:pPr>
      <w:r>
        <w:t>Final K-means ARI range: 0.995308 to 1.000000.</w:t>
      </w:r>
    </w:p>
    <w:p>
      <w:pPr>
        <w:pStyle w:val="ListBullet"/>
      </w:pPr>
      <w:r>
        <w:t>Final K-means ARI mean: 0.998759; median: 1.000000.</w:t>
      </w:r>
    </w:p>
    <w:p>
      <w:pPr>
        <w:pStyle w:val="ListBullet"/>
      </w:pPr>
      <w:r>
        <w:t>Inertia mean: 15175.504; inertia standard deviation: 0.00745.</w:t>
      </w:r>
    </w:p>
    <w:p>
      <w:pPr>
        <w:pStyle w:val="ListBullet"/>
      </w:pPr>
      <w:r>
        <w:t>Best seed by lowest inertia: 12424.</w:t>
      </w:r>
    </w:p>
    <w:p>
      <w:pPr>
        <w:pStyle w:val="ListBullet"/>
      </w:pPr>
      <w:r>
        <w:t>Cluster sizes: Cluster 1 = 1,585; Cluster 2 = 1,387; Cluster 3 = 811; Cluster 4 = 1,198; Cluster 5 = 840.</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8"/>
              </w:rPr>
              <w:t>Cluster</w:t>
            </w:r>
          </w:p>
        </w:tc>
        <w:tc>
          <w:tcPr>
            <w:tcW w:type="dxa" w:w="3360"/>
            <w:shd w:fill="FCE4D6"/>
          </w:tcPr>
          <w:p>
            <w:r/>
            <w:r>
              <w:rPr>
                <w:b/>
                <w:sz w:val="18"/>
              </w:rPr>
              <w:t>Size</w:t>
            </w:r>
          </w:p>
        </w:tc>
        <w:tc>
          <w:tcPr>
            <w:tcW w:type="dxa" w:w="3360"/>
            <w:shd w:fill="FCE4D6"/>
          </w:tcPr>
          <w:p>
            <w:r/>
            <w:r>
              <w:rPr>
                <w:b/>
                <w:sz w:val="18"/>
              </w:rPr>
              <w:t>Interpretation from centers</w:t>
            </w:r>
          </w:p>
        </w:tc>
      </w:tr>
      <w:tr>
        <w:tc>
          <w:tcPr>
            <w:tcW w:type="dxa" w:w="3360"/>
          </w:tcPr>
          <w:p>
            <w:r/>
            <w:r>
              <w:rPr>
                <w:b w:val="0"/>
                <w:sz w:val="18"/>
              </w:rPr>
              <w:t>1</w:t>
            </w:r>
          </w:p>
        </w:tc>
        <w:tc>
          <w:tcPr>
            <w:tcW w:type="dxa" w:w="3360"/>
          </w:tcPr>
          <w:p>
            <w:r/>
            <w:r>
              <w:rPr>
                <w:b w:val="0"/>
                <w:sz w:val="18"/>
              </w:rPr>
              <w:t>1,585</w:t>
            </w:r>
          </w:p>
        </w:tc>
        <w:tc>
          <w:tcPr>
            <w:tcW w:type="dxa" w:w="3360"/>
          </w:tcPr>
          <w:p>
            <w:r/>
            <w:r>
              <w:rPr>
                <w:b w:val="0"/>
                <w:sz w:val="18"/>
              </w:rPr>
              <w:t>Predominantly White, moderate-income, moderate education</w:t>
            </w:r>
          </w:p>
        </w:tc>
      </w:tr>
      <w:tr>
        <w:tc>
          <w:tcPr>
            <w:tcW w:type="dxa" w:w="3360"/>
          </w:tcPr>
          <w:p>
            <w:r/>
            <w:r>
              <w:rPr>
                <w:b w:val="0"/>
                <w:sz w:val="18"/>
              </w:rPr>
              <w:t>2</w:t>
            </w:r>
          </w:p>
        </w:tc>
        <w:tc>
          <w:tcPr>
            <w:tcW w:type="dxa" w:w="3360"/>
          </w:tcPr>
          <w:p>
            <w:r/>
            <w:r>
              <w:rPr>
                <w:b w:val="0"/>
                <w:sz w:val="18"/>
              </w:rPr>
              <w:t>1,387</w:t>
            </w:r>
          </w:p>
        </w:tc>
        <w:tc>
          <w:tcPr>
            <w:tcW w:type="dxa" w:w="3360"/>
          </w:tcPr>
          <w:p>
            <w:r/>
            <w:r>
              <w:rPr>
                <w:b w:val="0"/>
                <w:sz w:val="18"/>
              </w:rPr>
              <w:t>Lower-income, younger, majority Hispanic/Latino</w:t>
            </w:r>
          </w:p>
        </w:tc>
      </w:tr>
      <w:tr>
        <w:tc>
          <w:tcPr>
            <w:tcW w:type="dxa" w:w="3360"/>
          </w:tcPr>
          <w:p>
            <w:r/>
            <w:r>
              <w:rPr>
                <w:b w:val="0"/>
                <w:sz w:val="18"/>
              </w:rPr>
              <w:t>3</w:t>
            </w:r>
          </w:p>
        </w:tc>
        <w:tc>
          <w:tcPr>
            <w:tcW w:type="dxa" w:w="3360"/>
          </w:tcPr>
          <w:p>
            <w:r/>
            <w:r>
              <w:rPr>
                <w:b w:val="0"/>
                <w:sz w:val="18"/>
              </w:rPr>
              <w:t>811</w:t>
            </w:r>
          </w:p>
        </w:tc>
        <w:tc>
          <w:tcPr>
            <w:tcW w:type="dxa" w:w="3360"/>
          </w:tcPr>
          <w:p>
            <w:r/>
            <w:r>
              <w:rPr>
                <w:b w:val="0"/>
                <w:sz w:val="18"/>
              </w:rPr>
              <w:t>Higher Asian share, moderate income, older</w:t>
            </w:r>
          </w:p>
        </w:tc>
      </w:tr>
      <w:tr>
        <w:tc>
          <w:tcPr>
            <w:tcW w:type="dxa" w:w="3360"/>
          </w:tcPr>
          <w:p>
            <w:r/>
            <w:r>
              <w:rPr>
                <w:b w:val="0"/>
                <w:sz w:val="18"/>
              </w:rPr>
              <w:t>4</w:t>
            </w:r>
          </w:p>
        </w:tc>
        <w:tc>
          <w:tcPr>
            <w:tcW w:type="dxa" w:w="3360"/>
          </w:tcPr>
          <w:p>
            <w:r/>
            <w:r>
              <w:rPr>
                <w:b w:val="0"/>
                <w:sz w:val="18"/>
              </w:rPr>
              <w:t>1,198</w:t>
            </w:r>
          </w:p>
        </w:tc>
        <w:tc>
          <w:tcPr>
            <w:tcW w:type="dxa" w:w="3360"/>
          </w:tcPr>
          <w:p>
            <w:r/>
            <w:r>
              <w:rPr>
                <w:b w:val="0"/>
                <w:sz w:val="18"/>
              </w:rPr>
              <w:t>Majority African-American, moderate/lower income</w:t>
            </w:r>
          </w:p>
        </w:tc>
      </w:tr>
      <w:tr>
        <w:tc>
          <w:tcPr>
            <w:tcW w:type="dxa" w:w="3360"/>
          </w:tcPr>
          <w:p>
            <w:r/>
            <w:r>
              <w:rPr>
                <w:b w:val="0"/>
                <w:sz w:val="18"/>
              </w:rPr>
              <w:t>5</w:t>
            </w:r>
          </w:p>
        </w:tc>
        <w:tc>
          <w:tcPr>
            <w:tcW w:type="dxa" w:w="3360"/>
          </w:tcPr>
          <w:p>
            <w:r/>
            <w:r>
              <w:rPr>
                <w:b w:val="0"/>
                <w:sz w:val="18"/>
              </w:rPr>
              <w:t>840</w:t>
            </w:r>
          </w:p>
        </w:tc>
        <w:tc>
          <w:tcPr>
            <w:tcW w:type="dxa" w:w="3360"/>
          </w:tcPr>
          <w:p>
            <w:r/>
            <w:r>
              <w:rPr>
                <w:b w:val="0"/>
                <w:sz w:val="18"/>
              </w:rPr>
              <w:t>Highest income, highest education, predominantly White</w:t>
            </w:r>
          </w:p>
        </w:tc>
      </w:tr>
    </w:tbl>
    <w:p>
      <w:pPr>
        <w:pStyle w:val="ListBullet"/>
      </w:pPr>
      <w:r>
        <w:t>Manuscript language later: “We reran the K-means procedure using standardized socioeconomic and demographic variables under 10 random seeds. Pairwise Adjusted Rand Index values ranged from 0.995 to 1.000, with a mean of 0.999, indicating that the five-cluster solution is not sensitive to random initialization.”</w:t>
      </w:r>
    </w:p>
    <w:p>
      <w:pPr>
        <w:pStyle w:val="Heading2"/>
      </w:pPr>
      <w:r>
        <w:t>5.4 Moran’s I / LISA Spatial Autocorrelation Diagnostics</w:t>
      </w:r>
    </w:p>
    <w:p>
      <w:r>
        <w:t>Purpose: address Reviewer 1’s request to test for spatial autocorrelation in parameter changes or residuals. We computed global Moran’s I for CBG-level parameter changes across 2018-2019, 2019-2020, and 2020-2021. The four PSO files were read, concatenated, pivoted wide by CBG/year, and year-to-year changes were computed. Results were merged with nyc_cbgs.json geometry. Queen contiguity produced five islands, so KNN weights with k=5 were used.</w:t>
      </w:r>
    </w:p>
    <w:p>
      <w:pPr>
        <w:pStyle w:val="ListBullet"/>
      </w:pPr>
      <w:r>
        <w:t>Rows after merging geometries and parameter changes: 5,502 CBGs. No missing change values after merge.</w:t>
      </w:r>
    </w:p>
    <w:p>
      <w:pPr>
        <w:pStyle w:val="ListBullet"/>
      </w:pPr>
      <w:r>
        <w:t>Interpretation: pre-pandemic 2018-2019 changes show almost no spatial autocorrelation. 2019-2020 and 2020-2021 changes show statistically significant but modest spatial autocorrelation for several key parameters. This should be presented as diagnostics plus limitation, not as reason to build a full spatial econometric model.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D3"/>
          </w:tcPr>
          <w:p>
            <w:r/>
            <w:r>
              <w:rPr>
                <w:b/>
                <w:sz w:val="18"/>
              </w:rPr>
              <w:t>Parameter</w:t>
            </w:r>
          </w:p>
        </w:tc>
        <w:tc>
          <w:tcPr>
            <w:tcW w:type="dxa" w:w="2520"/>
            <w:shd w:fill="D9EAD3"/>
          </w:tcPr>
          <w:p>
            <w:r/>
            <w:r>
              <w:rPr>
                <w:b/>
                <w:sz w:val="18"/>
              </w:rPr>
              <w:t>2018-2019 Moran I</w:t>
            </w:r>
          </w:p>
        </w:tc>
        <w:tc>
          <w:tcPr>
            <w:tcW w:type="dxa" w:w="2520"/>
            <w:shd w:fill="D9EAD3"/>
          </w:tcPr>
          <w:p>
            <w:r/>
            <w:r>
              <w:rPr>
                <w:b/>
                <w:sz w:val="18"/>
              </w:rPr>
              <w:t>2019-2020 Moran I</w:t>
            </w:r>
          </w:p>
        </w:tc>
        <w:tc>
          <w:tcPr>
            <w:tcW w:type="dxa" w:w="2520"/>
            <w:shd w:fill="D9EAD3"/>
          </w:tcPr>
          <w:p>
            <w:r/>
            <w:r>
              <w:rPr>
                <w:b/>
                <w:sz w:val="18"/>
              </w:rPr>
              <w:t>2020-2021 Moran I</w:t>
            </w:r>
          </w:p>
        </w:tc>
      </w:tr>
      <w:tr>
        <w:tc>
          <w:tcPr>
            <w:tcW w:type="dxa" w:w="2520"/>
          </w:tcPr>
          <w:p>
            <w:r/>
            <w:r>
              <w:rPr>
                <w:b w:val="0"/>
                <w:sz w:val="18"/>
              </w:rPr>
              <w:t>Store area</w:t>
            </w:r>
          </w:p>
        </w:tc>
        <w:tc>
          <w:tcPr>
            <w:tcW w:type="dxa" w:w="2520"/>
          </w:tcPr>
          <w:p>
            <w:r/>
            <w:r>
              <w:rPr>
                <w:b w:val="0"/>
                <w:sz w:val="18"/>
              </w:rPr>
              <w:t>0.009 (p=0.125)</w:t>
            </w:r>
          </w:p>
        </w:tc>
        <w:tc>
          <w:tcPr>
            <w:tcW w:type="dxa" w:w="2520"/>
          </w:tcPr>
          <w:p>
            <w:r/>
            <w:r>
              <w:rPr>
                <w:b w:val="0"/>
                <w:sz w:val="18"/>
              </w:rPr>
              <w:t>0.157 (p=0.001)</w:t>
            </w:r>
          </w:p>
        </w:tc>
        <w:tc>
          <w:tcPr>
            <w:tcW w:type="dxa" w:w="2520"/>
          </w:tcPr>
          <w:p>
            <w:r/>
            <w:r>
              <w:rPr>
                <w:b w:val="0"/>
                <w:sz w:val="18"/>
              </w:rPr>
              <w:t>0.104 (p=0.001)</w:t>
            </w:r>
          </w:p>
        </w:tc>
      </w:tr>
      <w:tr>
        <w:tc>
          <w:tcPr>
            <w:tcW w:type="dxa" w:w="2520"/>
          </w:tcPr>
          <w:p>
            <w:r/>
            <w:r>
              <w:rPr>
                <w:b w:val="0"/>
                <w:sz w:val="18"/>
              </w:rPr>
              <w:t>Chain loyalty</w:t>
            </w:r>
          </w:p>
        </w:tc>
        <w:tc>
          <w:tcPr>
            <w:tcW w:type="dxa" w:w="2520"/>
          </w:tcPr>
          <w:p>
            <w:r/>
            <w:r>
              <w:rPr>
                <w:b w:val="0"/>
                <w:sz w:val="18"/>
              </w:rPr>
              <w:t>-0.011 (p=0.090)</w:t>
            </w:r>
          </w:p>
        </w:tc>
        <w:tc>
          <w:tcPr>
            <w:tcW w:type="dxa" w:w="2520"/>
          </w:tcPr>
          <w:p>
            <w:r/>
            <w:r>
              <w:rPr>
                <w:b w:val="0"/>
                <w:sz w:val="18"/>
              </w:rPr>
              <w:t>0.136 (p=0.001)</w:t>
            </w:r>
          </w:p>
        </w:tc>
        <w:tc>
          <w:tcPr>
            <w:tcW w:type="dxa" w:w="2520"/>
          </w:tcPr>
          <w:p>
            <w:r/>
            <w:r>
              <w:rPr>
                <w:b w:val="0"/>
                <w:sz w:val="18"/>
              </w:rPr>
              <w:t>0.063 (p=0.001)</w:t>
            </w:r>
          </w:p>
        </w:tc>
      </w:tr>
      <w:tr>
        <w:tc>
          <w:tcPr>
            <w:tcW w:type="dxa" w:w="2520"/>
          </w:tcPr>
          <w:p>
            <w:r/>
            <w:r>
              <w:rPr>
                <w:b w:val="0"/>
                <w:sz w:val="18"/>
              </w:rPr>
              <w:t>POI count</w:t>
            </w:r>
          </w:p>
        </w:tc>
        <w:tc>
          <w:tcPr>
            <w:tcW w:type="dxa" w:w="2520"/>
          </w:tcPr>
          <w:p>
            <w:r/>
            <w:r>
              <w:rPr>
                <w:b w:val="0"/>
                <w:sz w:val="18"/>
              </w:rPr>
              <w:t>0.018 (p=0.014)</w:t>
            </w:r>
          </w:p>
        </w:tc>
        <w:tc>
          <w:tcPr>
            <w:tcW w:type="dxa" w:w="2520"/>
          </w:tcPr>
          <w:p>
            <w:r/>
            <w:r>
              <w:rPr>
                <w:b w:val="0"/>
                <w:sz w:val="18"/>
              </w:rPr>
              <w:t>0.101 (p=0.001)</w:t>
            </w:r>
          </w:p>
        </w:tc>
        <w:tc>
          <w:tcPr>
            <w:tcW w:type="dxa" w:w="2520"/>
          </w:tcPr>
          <w:p>
            <w:r/>
            <w:r>
              <w:rPr>
                <w:b w:val="0"/>
                <w:sz w:val="18"/>
              </w:rPr>
              <w:t>0.046 (p=0.001)</w:t>
            </w:r>
          </w:p>
        </w:tc>
      </w:tr>
      <w:tr>
        <w:tc>
          <w:tcPr>
            <w:tcW w:type="dxa" w:w="2520"/>
          </w:tcPr>
          <w:p>
            <w:r/>
            <w:r>
              <w:rPr>
                <w:b w:val="0"/>
                <w:sz w:val="18"/>
              </w:rPr>
              <w:t>POI diversity</w:t>
            </w:r>
          </w:p>
        </w:tc>
        <w:tc>
          <w:tcPr>
            <w:tcW w:type="dxa" w:w="2520"/>
          </w:tcPr>
          <w:p>
            <w:r/>
            <w:r>
              <w:rPr>
                <w:b w:val="0"/>
                <w:sz w:val="18"/>
              </w:rPr>
              <w:t>0.000 (p=0.493)</w:t>
            </w:r>
          </w:p>
        </w:tc>
        <w:tc>
          <w:tcPr>
            <w:tcW w:type="dxa" w:w="2520"/>
          </w:tcPr>
          <w:p>
            <w:r/>
            <w:r>
              <w:rPr>
                <w:b w:val="0"/>
                <w:sz w:val="18"/>
              </w:rPr>
              <w:t>0.073 (p=0.001)</w:t>
            </w:r>
          </w:p>
        </w:tc>
        <w:tc>
          <w:tcPr>
            <w:tcW w:type="dxa" w:w="2520"/>
          </w:tcPr>
          <w:p>
            <w:r/>
            <w:r>
              <w:rPr>
                <w:b w:val="0"/>
                <w:sz w:val="18"/>
              </w:rPr>
              <w:t>0.037 (p=0.001)</w:t>
            </w:r>
          </w:p>
        </w:tc>
      </w:tr>
      <w:tr>
        <w:tc>
          <w:tcPr>
            <w:tcW w:type="dxa" w:w="2520"/>
          </w:tcPr>
          <w:p>
            <w:r/>
            <w:r>
              <w:rPr>
                <w:b w:val="0"/>
                <w:sz w:val="18"/>
              </w:rPr>
              <w:t>Demographic similarity</w:t>
            </w:r>
          </w:p>
        </w:tc>
        <w:tc>
          <w:tcPr>
            <w:tcW w:type="dxa" w:w="2520"/>
          </w:tcPr>
          <w:p>
            <w:r/>
            <w:r>
              <w:rPr>
                <w:b w:val="0"/>
                <w:sz w:val="18"/>
              </w:rPr>
              <w:t>-0.003 (p=0.368)</w:t>
            </w:r>
          </w:p>
        </w:tc>
        <w:tc>
          <w:tcPr>
            <w:tcW w:type="dxa" w:w="2520"/>
          </w:tcPr>
          <w:p>
            <w:r/>
            <w:r>
              <w:rPr>
                <w:b w:val="0"/>
                <w:sz w:val="18"/>
              </w:rPr>
              <w:t>0.006 (p=0.205)</w:t>
            </w:r>
          </w:p>
        </w:tc>
        <w:tc>
          <w:tcPr>
            <w:tcW w:type="dxa" w:w="2520"/>
          </w:tcPr>
          <w:p>
            <w:r/>
            <w:r>
              <w:rPr>
                <w:b w:val="0"/>
                <w:sz w:val="18"/>
              </w:rPr>
              <w:t>0.002 (p=0.382)</w:t>
            </w:r>
          </w:p>
        </w:tc>
      </w:tr>
      <w:tr>
        <w:tc>
          <w:tcPr>
            <w:tcW w:type="dxa" w:w="2520"/>
          </w:tcPr>
          <w:p>
            <w:r/>
            <w:r>
              <w:rPr>
                <w:b w:val="0"/>
                <w:sz w:val="18"/>
              </w:rPr>
              <w:t>Distance</w:t>
            </w:r>
          </w:p>
        </w:tc>
        <w:tc>
          <w:tcPr>
            <w:tcW w:type="dxa" w:w="2520"/>
          </w:tcPr>
          <w:p>
            <w:r/>
            <w:r>
              <w:rPr>
                <w:b w:val="0"/>
                <w:sz w:val="18"/>
              </w:rPr>
              <w:t>0.006 (p=0.226)</w:t>
            </w:r>
          </w:p>
        </w:tc>
        <w:tc>
          <w:tcPr>
            <w:tcW w:type="dxa" w:w="2520"/>
          </w:tcPr>
          <w:p>
            <w:r/>
            <w:r>
              <w:rPr>
                <w:b w:val="0"/>
                <w:sz w:val="18"/>
              </w:rPr>
              <w:t>0.105 (p=0.001)</w:t>
            </w:r>
          </w:p>
        </w:tc>
        <w:tc>
          <w:tcPr>
            <w:tcW w:type="dxa" w:w="2520"/>
          </w:tcPr>
          <w:p>
            <w:r/>
            <w:r>
              <w:rPr>
                <w:b w:val="0"/>
                <w:sz w:val="18"/>
              </w:rPr>
              <w:t>0.093 (p=0.001)</w:t>
            </w:r>
          </w:p>
        </w:tc>
      </w:tr>
    </w:tbl>
    <w:p>
      <w:pPr>
        <w:pStyle w:val="ListBullet"/>
      </w:pPr>
      <w:r>
        <w:t>Use in manuscript: “These diagnostics suggest pandemic-era shifts in revealed shopping-location patterns had a spatial component, but the magnitudes of global Moran’s I values indicate that the main findings are not solely driven by strong spatial clustering.”</w:t>
      </w:r>
    </w:p>
    <w:p>
      <w:pPr>
        <w:pStyle w:val="ListBullet"/>
      </w:pPr>
      <w:r>
        <w:t>Generated files: cbg_parameter_changes_for_moran.csv, moran_global_parameter_changes.csv, lisa_local_parameter_changes.csv.</w:t>
      </w:r>
    </w:p>
    <w:p>
      <w:pPr>
        <w:pStyle w:val="Heading2"/>
      </w:pPr>
      <w:r>
        <w:t>5.5 SafeGraph Representativeness Descriptive Results</w:t>
      </w:r>
    </w:p>
    <w:p>
      <w:r>
        <w:t>Purpose: address Reviewer 1’s concern about SafeGraph sampling bias and socioeconomic representativeness. These descriptive results are useful but should not overclaim full representativeness. They should be used with careful wording and paired with the model-result sampling-bias sensitivity check.</w:t>
      </w:r>
    </w:p>
    <w:p>
      <w:pPr>
        <w:pStyle w:val="ListBullet"/>
      </w:pPr>
      <w:r>
        <w:t>Filtering step: all NYC CBGs = 6,493; filtered residential CBGs = 6,186; CBGs removed = 307.</w:t>
      </w:r>
    </w:p>
    <w:p>
      <w:pPr>
        <w:pStyle w:val="ListBullet"/>
      </w:pPr>
      <w:r>
        <w:t>Population retained = 8,448,699; population removed = 13,262; share of population retained = 99.84%.</w:t>
      </w:r>
    </w:p>
    <w:p>
      <w:pPr>
        <w:pStyle w:val="ListBullet"/>
      </w:pPr>
      <w:r>
        <w:t>SafeGraph devices retained = 531,204; devices removed = 14,959; share of SafeGraph devices retained = 97.26%.</w:t>
      </w:r>
    </w:p>
    <w:p>
      <w:pPr>
        <w:pStyle w:val="ListBullet"/>
      </w:pPr>
      <w:r>
        <w:t>Filter thresholds: minimum CBG population = 100; minimum SafeGraph device count = 5.</w:t>
      </w:r>
    </w:p>
    <w:p>
      <w:pPr>
        <w:pStyle w:val="ListBullet"/>
      </w:pPr>
      <w:r>
        <w:t>Borough-level representativeness is strong: census population and SafeGraph devices correlation before filtering = 0.998; after filtering = 0.994.</w:t>
      </w:r>
    </w:p>
    <w:p>
      <w:pPr>
        <w:pStyle w:val="ListBullet"/>
      </w:pPr>
      <w:r>
        <w:t>CBG-level representativeness remains weak/uneven: correlation before filtering = 0.167; after filtering = 0.173. This must be acknowledged transparently.</w:t>
      </w:r>
    </w:p>
    <w:p>
      <w:pPr>
        <w:pStyle w:val="ListBullet"/>
      </w:pPr>
      <w:r>
        <w:t>Education representation ratios after filtering range about 0.900 to 1.062, median about 0.983.</w:t>
      </w:r>
    </w:p>
    <w:p>
      <w:pPr>
        <w:pStyle w:val="ListBullet"/>
      </w:pPr>
      <w:r>
        <w:t>Income representation ratios after filtering range about 0.888 to 1.055, median about 1.006; highest-income group ($200,000+) is somewhat underrepresented, ratio about 0.888.</w:t>
      </w:r>
    </w:p>
    <w:p>
      <w:pPr>
        <w:pStyle w:val="ListBullet"/>
      </w:pPr>
      <w:r>
        <w:t>Race representation ratios after filtering range about 0.943 to 1.167, median about 0.972; Asian alone underrepresented about 0.943, Black/African-American alone overrepresented about 1.069, White alone close to 0.991.</w:t>
      </w:r>
    </w:p>
    <w:p>
      <w:pPr>
        <w:pStyle w:val="ListBullet"/>
      </w:pPr>
      <w:r>
        <w:t>Generated representativeness files include nyc_borough_representativeness_metrics.csv / filtered, nyc_cbg_representativeness_metrics.csv / filtered, nyc_education_representativeness_metrics.csv / filtered, nyc_income_representativeness_metrics.csv / filtered, nyc_race_representativeness_metrics.csv / filtered, and nyc_sensitivity_filter_summary.csv.</w:t>
      </w:r>
    </w:p>
    <w:p>
      <w:pPr>
        <w:pStyle w:val="Heading2"/>
      </w:pPr>
      <w:r>
        <w:t>5.6 Sampling-Bias Sensitivity of Main Model Results</w:t>
      </w:r>
    </w:p>
    <w:p>
      <w:r>
        <w:t>Purpose: directly test whether the main parameter-change results are driven by the most over- or under-represented CBGs in the SafeGraph panel. This should be a separate independent notebook named 04_model_sensitivity_sampling_bias.ipynb, not part of the descriptive SafeGraph representativeness notebook. It reads the PSO files and representativeness metrics, ranks analytical CBGs by absolute sampling bias, and compares full sample versus excluding top 10% and top 20% absolute-bias CBGs.</w:t>
      </w:r>
    </w:p>
    <w:p>
      <w:pPr>
        <w:pStyle w:val="ListBullet"/>
      </w:pPr>
      <w:r>
        <w:t>Output directory used: /content/drive/MyDrive/frontiers-rev/outputs_sampling_bias_sensitivity.</w:t>
      </w:r>
    </w:p>
    <w:p>
      <w:pPr>
        <w:pStyle w:val="ListBullet"/>
      </w:pPr>
      <w:r>
        <w:t>Important output files: analytical_cbgs_sampling_bias_metrics.csv; sampling_bias_sensitivity_parameter_changes_long.csv; sampling_bias_sensitivity_pct_change_2019_2020.csv; sampling_bias_sensitivity_pct_change_2020_2021.csv; sampling_bias_sensitivity_pct_change_2019_2021.csv; sampling_bias_sensitivity_sign_stability.csv; sampling_bias_sensitivity_difference_from_full_sample.csv.</w:t>
      </w:r>
    </w:p>
    <w:p>
      <w:pPr>
        <w:pStyle w:val="ListBullet"/>
      </w:pPr>
      <w:r>
        <w:t>This analysis is complete and strongly supports robustness. The 2019-2020 pandemic-shock results are nearly unchanged after excluding the most sampling-biased CBGs.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FF2CC"/>
          </w:tcPr>
          <w:p>
            <w:r/>
            <w:r>
              <w:rPr>
                <w:b/>
                <w:sz w:val="18"/>
              </w:rPr>
              <w:t>Parameter</w:t>
            </w:r>
          </w:p>
        </w:tc>
        <w:tc>
          <w:tcPr>
            <w:tcW w:type="dxa" w:w="2520"/>
            <w:shd w:fill="FFF2CC"/>
          </w:tcPr>
          <w:p>
            <w:r/>
            <w:r>
              <w:rPr>
                <w:b/>
                <w:sz w:val="18"/>
              </w:rPr>
              <w:t>Full sample</w:t>
            </w:r>
          </w:p>
        </w:tc>
        <w:tc>
          <w:tcPr>
            <w:tcW w:type="dxa" w:w="2520"/>
            <w:shd w:fill="FFF2CC"/>
          </w:tcPr>
          <w:p>
            <w:r/>
            <w:r>
              <w:rPr>
                <w:b/>
                <w:sz w:val="18"/>
              </w:rPr>
              <w:t>Exclude top 10% abs-bias</w:t>
            </w:r>
          </w:p>
        </w:tc>
        <w:tc>
          <w:tcPr>
            <w:tcW w:type="dxa" w:w="2520"/>
            <w:shd w:fill="FFF2CC"/>
          </w:tcPr>
          <w:p>
            <w:r/>
            <w:r>
              <w:rPr>
                <w:b/>
                <w:sz w:val="18"/>
              </w:rPr>
              <w:t>Exclude top 20% abs-bias</w:t>
            </w:r>
          </w:p>
        </w:tc>
      </w:tr>
      <w:tr>
        <w:tc>
          <w:tcPr>
            <w:tcW w:type="dxa" w:w="2520"/>
          </w:tcPr>
          <w:p>
            <w:r/>
            <w:r>
              <w:rPr>
                <w:b w:val="0"/>
                <w:sz w:val="18"/>
              </w:rPr>
              <w:t>Chain loyalty 2019-2020</w:t>
            </w:r>
          </w:p>
        </w:tc>
        <w:tc>
          <w:tcPr>
            <w:tcW w:type="dxa" w:w="2520"/>
          </w:tcPr>
          <w:p>
            <w:r/>
            <w:r>
              <w:rPr>
                <w:b w:val="0"/>
                <w:sz w:val="18"/>
              </w:rPr>
              <w:t>+43.46%</w:t>
            </w:r>
          </w:p>
        </w:tc>
        <w:tc>
          <w:tcPr>
            <w:tcW w:type="dxa" w:w="2520"/>
          </w:tcPr>
          <w:p>
            <w:r/>
            <w:r>
              <w:rPr>
                <w:b w:val="0"/>
                <w:sz w:val="18"/>
              </w:rPr>
              <w:t>+44.19%</w:t>
            </w:r>
          </w:p>
        </w:tc>
        <w:tc>
          <w:tcPr>
            <w:tcW w:type="dxa" w:w="2520"/>
          </w:tcPr>
          <w:p>
            <w:r/>
            <w:r>
              <w:rPr>
                <w:b w:val="0"/>
                <w:sz w:val="18"/>
              </w:rPr>
              <w:t>+44.25%</w:t>
            </w:r>
          </w:p>
        </w:tc>
      </w:tr>
      <w:tr>
        <w:tc>
          <w:tcPr>
            <w:tcW w:type="dxa" w:w="2520"/>
          </w:tcPr>
          <w:p>
            <w:r/>
            <w:r>
              <w:rPr>
                <w:b w:val="0"/>
                <w:sz w:val="18"/>
              </w:rPr>
              <w:t>Demographic similarity 2019-2020</w:t>
            </w:r>
          </w:p>
        </w:tc>
        <w:tc>
          <w:tcPr>
            <w:tcW w:type="dxa" w:w="2520"/>
          </w:tcPr>
          <w:p>
            <w:r/>
            <w:r>
              <w:rPr>
                <w:b w:val="0"/>
                <w:sz w:val="18"/>
              </w:rPr>
              <w:t>+2.50%</w:t>
            </w:r>
          </w:p>
        </w:tc>
        <w:tc>
          <w:tcPr>
            <w:tcW w:type="dxa" w:w="2520"/>
          </w:tcPr>
          <w:p>
            <w:r/>
            <w:r>
              <w:rPr>
                <w:b w:val="0"/>
                <w:sz w:val="18"/>
              </w:rPr>
              <w:t>+2.68%</w:t>
            </w:r>
          </w:p>
        </w:tc>
        <w:tc>
          <w:tcPr>
            <w:tcW w:type="dxa" w:w="2520"/>
          </w:tcPr>
          <w:p>
            <w:r/>
            <w:r>
              <w:rPr>
                <w:b w:val="0"/>
                <w:sz w:val="18"/>
              </w:rPr>
              <w:t>+3.62%</w:t>
            </w:r>
          </w:p>
        </w:tc>
      </w:tr>
      <w:tr>
        <w:tc>
          <w:tcPr>
            <w:tcW w:type="dxa" w:w="2520"/>
          </w:tcPr>
          <w:p>
            <w:r/>
            <w:r>
              <w:rPr>
                <w:b w:val="0"/>
                <w:sz w:val="18"/>
              </w:rPr>
              <w:t>Distance 2019-2020</w:t>
            </w:r>
          </w:p>
        </w:tc>
        <w:tc>
          <w:tcPr>
            <w:tcW w:type="dxa" w:w="2520"/>
          </w:tcPr>
          <w:p>
            <w:r/>
            <w:r>
              <w:rPr>
                <w:b w:val="0"/>
                <w:sz w:val="18"/>
              </w:rPr>
              <w:t>-22.53%</w:t>
            </w:r>
          </w:p>
        </w:tc>
        <w:tc>
          <w:tcPr>
            <w:tcW w:type="dxa" w:w="2520"/>
          </w:tcPr>
          <w:p>
            <w:r/>
            <w:r>
              <w:rPr>
                <w:b w:val="0"/>
                <w:sz w:val="18"/>
              </w:rPr>
              <w:t>-22.26%</w:t>
            </w:r>
          </w:p>
        </w:tc>
        <w:tc>
          <w:tcPr>
            <w:tcW w:type="dxa" w:w="2520"/>
          </w:tcPr>
          <w:p>
            <w:r/>
            <w:r>
              <w:rPr>
                <w:b w:val="0"/>
                <w:sz w:val="18"/>
              </w:rPr>
              <w:t>-22.37%</w:t>
            </w:r>
          </w:p>
        </w:tc>
      </w:tr>
      <w:tr>
        <w:tc>
          <w:tcPr>
            <w:tcW w:type="dxa" w:w="2520"/>
          </w:tcPr>
          <w:p>
            <w:r/>
            <w:r>
              <w:rPr>
                <w:b w:val="0"/>
                <w:sz w:val="18"/>
              </w:rPr>
              <w:t>POI count 2019-2020</w:t>
            </w:r>
          </w:p>
        </w:tc>
        <w:tc>
          <w:tcPr>
            <w:tcW w:type="dxa" w:w="2520"/>
          </w:tcPr>
          <w:p>
            <w:r/>
            <w:r>
              <w:rPr>
                <w:b w:val="0"/>
                <w:sz w:val="18"/>
              </w:rPr>
              <w:t>+27.93%</w:t>
            </w:r>
          </w:p>
        </w:tc>
        <w:tc>
          <w:tcPr>
            <w:tcW w:type="dxa" w:w="2520"/>
          </w:tcPr>
          <w:p>
            <w:r/>
            <w:r>
              <w:rPr>
                <w:b w:val="0"/>
                <w:sz w:val="18"/>
              </w:rPr>
              <w:t>+28.12%</w:t>
            </w:r>
          </w:p>
        </w:tc>
        <w:tc>
          <w:tcPr>
            <w:tcW w:type="dxa" w:w="2520"/>
          </w:tcPr>
          <w:p>
            <w:r/>
            <w:r>
              <w:rPr>
                <w:b w:val="0"/>
                <w:sz w:val="18"/>
              </w:rPr>
              <w:t>+28.29%</w:t>
            </w:r>
          </w:p>
        </w:tc>
      </w:tr>
      <w:tr>
        <w:tc>
          <w:tcPr>
            <w:tcW w:type="dxa" w:w="2520"/>
          </w:tcPr>
          <w:p>
            <w:r/>
            <w:r>
              <w:rPr>
                <w:b w:val="0"/>
                <w:sz w:val="18"/>
              </w:rPr>
              <w:t>POI diversity 2019-2020</w:t>
            </w:r>
          </w:p>
        </w:tc>
        <w:tc>
          <w:tcPr>
            <w:tcW w:type="dxa" w:w="2520"/>
          </w:tcPr>
          <w:p>
            <w:r/>
            <w:r>
              <w:rPr>
                <w:b w:val="0"/>
                <w:sz w:val="18"/>
              </w:rPr>
              <w:t>+12.20%</w:t>
            </w:r>
          </w:p>
        </w:tc>
        <w:tc>
          <w:tcPr>
            <w:tcW w:type="dxa" w:w="2520"/>
          </w:tcPr>
          <w:p>
            <w:r/>
            <w:r>
              <w:rPr>
                <w:b w:val="0"/>
                <w:sz w:val="18"/>
              </w:rPr>
              <w:t>+11.93%</w:t>
            </w:r>
          </w:p>
        </w:tc>
        <w:tc>
          <w:tcPr>
            <w:tcW w:type="dxa" w:w="2520"/>
          </w:tcPr>
          <w:p>
            <w:r/>
            <w:r>
              <w:rPr>
                <w:b w:val="0"/>
                <w:sz w:val="18"/>
              </w:rPr>
              <w:t>+12.63%</w:t>
            </w:r>
          </w:p>
        </w:tc>
      </w:tr>
      <w:tr>
        <w:tc>
          <w:tcPr>
            <w:tcW w:type="dxa" w:w="2520"/>
          </w:tcPr>
          <w:p>
            <w:r/>
            <w:r>
              <w:rPr>
                <w:b w:val="0"/>
                <w:sz w:val="18"/>
              </w:rPr>
              <w:t>Store area 2019-2020</w:t>
            </w:r>
          </w:p>
        </w:tc>
        <w:tc>
          <w:tcPr>
            <w:tcW w:type="dxa" w:w="2520"/>
          </w:tcPr>
          <w:p>
            <w:r/>
            <w:r>
              <w:rPr>
                <w:b w:val="0"/>
                <w:sz w:val="18"/>
              </w:rPr>
              <w:t>+78.58%</w:t>
            </w:r>
          </w:p>
        </w:tc>
        <w:tc>
          <w:tcPr>
            <w:tcW w:type="dxa" w:w="2520"/>
          </w:tcPr>
          <w:p>
            <w:r/>
            <w:r>
              <w:rPr>
                <w:b w:val="0"/>
                <w:sz w:val="18"/>
              </w:rPr>
              <w:t>+77.71%</w:t>
            </w:r>
          </w:p>
        </w:tc>
        <w:tc>
          <w:tcPr>
            <w:tcW w:type="dxa" w:w="2520"/>
          </w:tcPr>
          <w:p>
            <w:r/>
            <w:r>
              <w:rPr>
                <w:b w:val="0"/>
                <w:sz w:val="18"/>
              </w:rPr>
              <w:t>+78.08%</w:t>
            </w:r>
          </w:p>
        </w:tc>
      </w:tr>
    </w:tbl>
    <w:p>
      <w:r>
        <w:t>2020-2021 sensitivity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FF2CC"/>
          </w:tcPr>
          <w:p>
            <w:r/>
            <w:r>
              <w:rPr>
                <w:b/>
                <w:sz w:val="18"/>
              </w:rPr>
              <w:t>Parameter</w:t>
            </w:r>
          </w:p>
        </w:tc>
        <w:tc>
          <w:tcPr>
            <w:tcW w:type="dxa" w:w="2520"/>
            <w:shd w:fill="FFF2CC"/>
          </w:tcPr>
          <w:p>
            <w:r/>
            <w:r>
              <w:rPr>
                <w:b/>
                <w:sz w:val="18"/>
              </w:rPr>
              <w:t>Full sample</w:t>
            </w:r>
          </w:p>
        </w:tc>
        <w:tc>
          <w:tcPr>
            <w:tcW w:type="dxa" w:w="2520"/>
            <w:shd w:fill="FFF2CC"/>
          </w:tcPr>
          <w:p>
            <w:r/>
            <w:r>
              <w:rPr>
                <w:b/>
                <w:sz w:val="18"/>
              </w:rPr>
              <w:t>Exclude top 10% abs-bias</w:t>
            </w:r>
          </w:p>
        </w:tc>
        <w:tc>
          <w:tcPr>
            <w:tcW w:type="dxa" w:w="2520"/>
            <w:shd w:fill="FFF2CC"/>
          </w:tcPr>
          <w:p>
            <w:r/>
            <w:r>
              <w:rPr>
                <w:b/>
                <w:sz w:val="18"/>
              </w:rPr>
              <w:t>Exclude top 20% abs-bias</w:t>
            </w:r>
          </w:p>
        </w:tc>
      </w:tr>
      <w:tr>
        <w:tc>
          <w:tcPr>
            <w:tcW w:type="dxa" w:w="2520"/>
          </w:tcPr>
          <w:p>
            <w:r/>
            <w:r>
              <w:rPr>
                <w:b w:val="0"/>
                <w:sz w:val="18"/>
              </w:rPr>
              <w:t>Chain loyalty 2020-2021</w:t>
            </w:r>
          </w:p>
        </w:tc>
        <w:tc>
          <w:tcPr>
            <w:tcW w:type="dxa" w:w="2520"/>
          </w:tcPr>
          <w:p>
            <w:r/>
            <w:r>
              <w:rPr>
                <w:b w:val="0"/>
                <w:sz w:val="18"/>
              </w:rPr>
              <w:t>+0.26%</w:t>
            </w:r>
          </w:p>
        </w:tc>
        <w:tc>
          <w:tcPr>
            <w:tcW w:type="dxa" w:w="2520"/>
          </w:tcPr>
          <w:p>
            <w:r/>
            <w:r>
              <w:rPr>
                <w:b w:val="0"/>
                <w:sz w:val="18"/>
              </w:rPr>
              <w:t>-0.10%</w:t>
            </w:r>
          </w:p>
        </w:tc>
        <w:tc>
          <w:tcPr>
            <w:tcW w:type="dxa" w:w="2520"/>
          </w:tcPr>
          <w:p>
            <w:r/>
            <w:r>
              <w:rPr>
                <w:b w:val="0"/>
                <w:sz w:val="18"/>
              </w:rPr>
              <w:t>-0.20%</w:t>
            </w:r>
          </w:p>
        </w:tc>
      </w:tr>
      <w:tr>
        <w:tc>
          <w:tcPr>
            <w:tcW w:type="dxa" w:w="2520"/>
          </w:tcPr>
          <w:p>
            <w:r/>
            <w:r>
              <w:rPr>
                <w:b w:val="0"/>
                <w:sz w:val="18"/>
              </w:rPr>
              <w:t>Demographic similarity 2020-2021</w:t>
            </w:r>
          </w:p>
        </w:tc>
        <w:tc>
          <w:tcPr>
            <w:tcW w:type="dxa" w:w="2520"/>
          </w:tcPr>
          <w:p>
            <w:r/>
            <w:r>
              <w:rPr>
                <w:b w:val="0"/>
                <w:sz w:val="18"/>
              </w:rPr>
              <w:t>-0.32%</w:t>
            </w:r>
          </w:p>
        </w:tc>
        <w:tc>
          <w:tcPr>
            <w:tcW w:type="dxa" w:w="2520"/>
          </w:tcPr>
          <w:p>
            <w:r/>
            <w:r>
              <w:rPr>
                <w:b w:val="0"/>
                <w:sz w:val="18"/>
              </w:rPr>
              <w:t>+0.19%</w:t>
            </w:r>
          </w:p>
        </w:tc>
        <w:tc>
          <w:tcPr>
            <w:tcW w:type="dxa" w:w="2520"/>
          </w:tcPr>
          <w:p>
            <w:r/>
            <w:r>
              <w:rPr>
                <w:b w:val="0"/>
                <w:sz w:val="18"/>
              </w:rPr>
              <w:t>+0.07%</w:t>
            </w:r>
          </w:p>
        </w:tc>
      </w:tr>
      <w:tr>
        <w:tc>
          <w:tcPr>
            <w:tcW w:type="dxa" w:w="2520"/>
          </w:tcPr>
          <w:p>
            <w:r/>
            <w:r>
              <w:rPr>
                <w:b w:val="0"/>
                <w:sz w:val="18"/>
              </w:rPr>
              <w:t>Distance 2020-2021</w:t>
            </w:r>
          </w:p>
        </w:tc>
        <w:tc>
          <w:tcPr>
            <w:tcW w:type="dxa" w:w="2520"/>
          </w:tcPr>
          <w:p>
            <w:r/>
            <w:r>
              <w:rPr>
                <w:b w:val="0"/>
                <w:sz w:val="18"/>
              </w:rPr>
              <w:t>-15.97%</w:t>
            </w:r>
          </w:p>
        </w:tc>
        <w:tc>
          <w:tcPr>
            <w:tcW w:type="dxa" w:w="2520"/>
          </w:tcPr>
          <w:p>
            <w:r/>
            <w:r>
              <w:rPr>
                <w:b w:val="0"/>
                <w:sz w:val="18"/>
              </w:rPr>
              <w:t>-15.80%</w:t>
            </w:r>
          </w:p>
        </w:tc>
        <w:tc>
          <w:tcPr>
            <w:tcW w:type="dxa" w:w="2520"/>
          </w:tcPr>
          <w:p>
            <w:r/>
            <w:r>
              <w:rPr>
                <w:b w:val="0"/>
                <w:sz w:val="18"/>
              </w:rPr>
              <w:t>-15.06%</w:t>
            </w:r>
          </w:p>
        </w:tc>
      </w:tr>
      <w:tr>
        <w:tc>
          <w:tcPr>
            <w:tcW w:type="dxa" w:w="2520"/>
          </w:tcPr>
          <w:p>
            <w:r/>
            <w:r>
              <w:rPr>
                <w:b w:val="0"/>
                <w:sz w:val="18"/>
              </w:rPr>
              <w:t>POI count 2020-2021</w:t>
            </w:r>
          </w:p>
        </w:tc>
        <w:tc>
          <w:tcPr>
            <w:tcW w:type="dxa" w:w="2520"/>
          </w:tcPr>
          <w:p>
            <w:r/>
            <w:r>
              <w:rPr>
                <w:b w:val="0"/>
                <w:sz w:val="18"/>
              </w:rPr>
              <w:t>+13.15%</w:t>
            </w:r>
          </w:p>
        </w:tc>
        <w:tc>
          <w:tcPr>
            <w:tcW w:type="dxa" w:w="2520"/>
          </w:tcPr>
          <w:p>
            <w:r/>
            <w:r>
              <w:rPr>
                <w:b w:val="0"/>
                <w:sz w:val="18"/>
              </w:rPr>
              <w:t>+13.08%</w:t>
            </w:r>
          </w:p>
        </w:tc>
        <w:tc>
          <w:tcPr>
            <w:tcW w:type="dxa" w:w="2520"/>
          </w:tcPr>
          <w:p>
            <w:r/>
            <w:r>
              <w:rPr>
                <w:b w:val="0"/>
                <w:sz w:val="18"/>
              </w:rPr>
              <w:t>+12.17%</w:t>
            </w:r>
          </w:p>
        </w:tc>
      </w:tr>
      <w:tr>
        <w:tc>
          <w:tcPr>
            <w:tcW w:type="dxa" w:w="2520"/>
          </w:tcPr>
          <w:p>
            <w:r/>
            <w:r>
              <w:rPr>
                <w:b w:val="0"/>
                <w:sz w:val="18"/>
              </w:rPr>
              <w:t>POI diversity 2020-2021</w:t>
            </w:r>
          </w:p>
        </w:tc>
        <w:tc>
          <w:tcPr>
            <w:tcW w:type="dxa" w:w="2520"/>
          </w:tcPr>
          <w:p>
            <w:r/>
            <w:r>
              <w:rPr>
                <w:b w:val="0"/>
                <w:sz w:val="18"/>
              </w:rPr>
              <w:t>+3.23%</w:t>
            </w:r>
          </w:p>
        </w:tc>
        <w:tc>
          <w:tcPr>
            <w:tcW w:type="dxa" w:w="2520"/>
          </w:tcPr>
          <w:p>
            <w:r/>
            <w:r>
              <w:rPr>
                <w:b w:val="0"/>
                <w:sz w:val="18"/>
              </w:rPr>
              <w:t>+3.11%</w:t>
            </w:r>
          </w:p>
        </w:tc>
        <w:tc>
          <w:tcPr>
            <w:tcW w:type="dxa" w:w="2520"/>
          </w:tcPr>
          <w:p>
            <w:r/>
            <w:r>
              <w:rPr>
                <w:b w:val="0"/>
                <w:sz w:val="18"/>
              </w:rPr>
              <w:t>+2.31%</w:t>
            </w:r>
          </w:p>
        </w:tc>
      </w:tr>
      <w:tr>
        <w:tc>
          <w:tcPr>
            <w:tcW w:type="dxa" w:w="2520"/>
          </w:tcPr>
          <w:p>
            <w:r/>
            <w:r>
              <w:rPr>
                <w:b w:val="0"/>
                <w:sz w:val="18"/>
              </w:rPr>
              <w:t>Store area 2020-2021</w:t>
            </w:r>
          </w:p>
        </w:tc>
        <w:tc>
          <w:tcPr>
            <w:tcW w:type="dxa" w:w="2520"/>
          </w:tcPr>
          <w:p>
            <w:r/>
            <w:r>
              <w:rPr>
                <w:b w:val="0"/>
                <w:sz w:val="18"/>
              </w:rPr>
              <w:t>+1.34%</w:t>
            </w:r>
          </w:p>
        </w:tc>
        <w:tc>
          <w:tcPr>
            <w:tcW w:type="dxa" w:w="2520"/>
          </w:tcPr>
          <w:p>
            <w:r/>
            <w:r>
              <w:rPr>
                <w:b w:val="0"/>
                <w:sz w:val="18"/>
              </w:rPr>
              <w:t>+1.48%</w:t>
            </w:r>
          </w:p>
        </w:tc>
        <w:tc>
          <w:tcPr>
            <w:tcW w:type="dxa" w:w="2520"/>
          </w:tcPr>
          <w:p>
            <w:r/>
            <w:r>
              <w:rPr>
                <w:b w:val="0"/>
                <w:sz w:val="18"/>
              </w:rPr>
              <w:t>+1.53%</w:t>
            </w:r>
          </w:p>
        </w:tc>
      </w:tr>
    </w:tbl>
    <w:p>
      <w:r>
        <w:t>2019-2021 non-reversion sensitivity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FF2CC"/>
          </w:tcPr>
          <w:p>
            <w:r/>
            <w:r>
              <w:rPr>
                <w:b/>
                <w:sz w:val="18"/>
              </w:rPr>
              <w:t>Parameter</w:t>
            </w:r>
          </w:p>
        </w:tc>
        <w:tc>
          <w:tcPr>
            <w:tcW w:type="dxa" w:w="2520"/>
            <w:shd w:fill="FFF2CC"/>
          </w:tcPr>
          <w:p>
            <w:r/>
            <w:r>
              <w:rPr>
                <w:b/>
                <w:sz w:val="18"/>
              </w:rPr>
              <w:t>Full sample</w:t>
            </w:r>
          </w:p>
        </w:tc>
        <w:tc>
          <w:tcPr>
            <w:tcW w:type="dxa" w:w="2520"/>
            <w:shd w:fill="FFF2CC"/>
          </w:tcPr>
          <w:p>
            <w:r/>
            <w:r>
              <w:rPr>
                <w:b/>
                <w:sz w:val="18"/>
              </w:rPr>
              <w:t>Exclude top 10% abs-bias</w:t>
            </w:r>
          </w:p>
        </w:tc>
        <w:tc>
          <w:tcPr>
            <w:tcW w:type="dxa" w:w="2520"/>
            <w:shd w:fill="FFF2CC"/>
          </w:tcPr>
          <w:p>
            <w:r/>
            <w:r>
              <w:rPr>
                <w:b/>
                <w:sz w:val="18"/>
              </w:rPr>
              <w:t>Exclude top 20% abs-bias</w:t>
            </w:r>
          </w:p>
        </w:tc>
      </w:tr>
      <w:tr>
        <w:tc>
          <w:tcPr>
            <w:tcW w:type="dxa" w:w="2520"/>
          </w:tcPr>
          <w:p>
            <w:r/>
            <w:r>
              <w:rPr>
                <w:b w:val="0"/>
                <w:sz w:val="18"/>
              </w:rPr>
              <w:t>Chain loyalty 2019-2021</w:t>
            </w:r>
          </w:p>
        </w:tc>
        <w:tc>
          <w:tcPr>
            <w:tcW w:type="dxa" w:w="2520"/>
          </w:tcPr>
          <w:p>
            <w:r/>
            <w:r>
              <w:rPr>
                <w:b w:val="0"/>
                <w:sz w:val="18"/>
              </w:rPr>
              <w:t>+43.84%</w:t>
            </w:r>
          </w:p>
        </w:tc>
        <w:tc>
          <w:tcPr>
            <w:tcW w:type="dxa" w:w="2520"/>
          </w:tcPr>
          <w:p>
            <w:r/>
            <w:r>
              <w:rPr>
                <w:b w:val="0"/>
                <w:sz w:val="18"/>
              </w:rPr>
              <w:t>+44.05%</w:t>
            </w:r>
          </w:p>
        </w:tc>
        <w:tc>
          <w:tcPr>
            <w:tcW w:type="dxa" w:w="2520"/>
          </w:tcPr>
          <w:p>
            <w:r/>
            <w:r>
              <w:rPr>
                <w:b w:val="0"/>
                <w:sz w:val="18"/>
              </w:rPr>
              <w:t>+43.96%</w:t>
            </w:r>
          </w:p>
        </w:tc>
      </w:tr>
      <w:tr>
        <w:tc>
          <w:tcPr>
            <w:tcW w:type="dxa" w:w="2520"/>
          </w:tcPr>
          <w:p>
            <w:r/>
            <w:r>
              <w:rPr>
                <w:b w:val="0"/>
                <w:sz w:val="18"/>
              </w:rPr>
              <w:t>Demographic similarity 2019-2021</w:t>
            </w:r>
          </w:p>
        </w:tc>
        <w:tc>
          <w:tcPr>
            <w:tcW w:type="dxa" w:w="2520"/>
          </w:tcPr>
          <w:p>
            <w:r/>
            <w:r>
              <w:rPr>
                <w:b w:val="0"/>
                <w:sz w:val="18"/>
              </w:rPr>
              <w:t>+2.18%</w:t>
            </w:r>
          </w:p>
        </w:tc>
        <w:tc>
          <w:tcPr>
            <w:tcW w:type="dxa" w:w="2520"/>
          </w:tcPr>
          <w:p>
            <w:r/>
            <w:r>
              <w:rPr>
                <w:b w:val="0"/>
                <w:sz w:val="18"/>
              </w:rPr>
              <w:t>+2.87%</w:t>
            </w:r>
          </w:p>
        </w:tc>
        <w:tc>
          <w:tcPr>
            <w:tcW w:type="dxa" w:w="2520"/>
          </w:tcPr>
          <w:p>
            <w:r/>
            <w:r>
              <w:rPr>
                <w:b w:val="0"/>
                <w:sz w:val="18"/>
              </w:rPr>
              <w:t>+3.69%</w:t>
            </w:r>
          </w:p>
        </w:tc>
      </w:tr>
      <w:tr>
        <w:tc>
          <w:tcPr>
            <w:tcW w:type="dxa" w:w="2520"/>
          </w:tcPr>
          <w:p>
            <w:r/>
            <w:r>
              <w:rPr>
                <w:b w:val="0"/>
                <w:sz w:val="18"/>
              </w:rPr>
              <w:t>Distance 2019-2021</w:t>
            </w:r>
          </w:p>
        </w:tc>
        <w:tc>
          <w:tcPr>
            <w:tcW w:type="dxa" w:w="2520"/>
          </w:tcPr>
          <w:p>
            <w:r/>
            <w:r>
              <w:rPr>
                <w:b w:val="0"/>
                <w:sz w:val="18"/>
              </w:rPr>
              <w:t>-34.90%</w:t>
            </w:r>
          </w:p>
        </w:tc>
        <w:tc>
          <w:tcPr>
            <w:tcW w:type="dxa" w:w="2520"/>
          </w:tcPr>
          <w:p>
            <w:r/>
            <w:r>
              <w:rPr>
                <w:b w:val="0"/>
                <w:sz w:val="18"/>
              </w:rPr>
              <w:t>-34.55%</w:t>
            </w:r>
          </w:p>
        </w:tc>
        <w:tc>
          <w:tcPr>
            <w:tcW w:type="dxa" w:w="2520"/>
          </w:tcPr>
          <w:p>
            <w:r/>
            <w:r>
              <w:rPr>
                <w:b w:val="0"/>
                <w:sz w:val="18"/>
              </w:rPr>
              <w:t>-34.07%</w:t>
            </w:r>
          </w:p>
        </w:tc>
      </w:tr>
      <w:tr>
        <w:tc>
          <w:tcPr>
            <w:tcW w:type="dxa" w:w="2520"/>
          </w:tcPr>
          <w:p>
            <w:r/>
            <w:r>
              <w:rPr>
                <w:b w:val="0"/>
                <w:sz w:val="18"/>
              </w:rPr>
              <w:t>POI count 2019-2021</w:t>
            </w:r>
          </w:p>
        </w:tc>
        <w:tc>
          <w:tcPr>
            <w:tcW w:type="dxa" w:w="2520"/>
          </w:tcPr>
          <w:p>
            <w:r/>
            <w:r>
              <w:rPr>
                <w:b w:val="0"/>
                <w:sz w:val="18"/>
              </w:rPr>
              <w:t>+44.75%</w:t>
            </w:r>
          </w:p>
        </w:tc>
        <w:tc>
          <w:tcPr>
            <w:tcW w:type="dxa" w:w="2520"/>
          </w:tcPr>
          <w:p>
            <w:r/>
            <w:r>
              <w:rPr>
                <w:b w:val="0"/>
                <w:sz w:val="18"/>
              </w:rPr>
              <w:t>+44.88%</w:t>
            </w:r>
          </w:p>
        </w:tc>
        <w:tc>
          <w:tcPr>
            <w:tcW w:type="dxa" w:w="2520"/>
          </w:tcPr>
          <w:p>
            <w:r/>
            <w:r>
              <w:rPr>
                <w:b w:val="0"/>
                <w:sz w:val="18"/>
              </w:rPr>
              <w:t>+43.90%</w:t>
            </w:r>
          </w:p>
        </w:tc>
      </w:tr>
      <w:tr>
        <w:tc>
          <w:tcPr>
            <w:tcW w:type="dxa" w:w="2520"/>
          </w:tcPr>
          <w:p>
            <w:r/>
            <w:r>
              <w:rPr>
                <w:b w:val="0"/>
                <w:sz w:val="18"/>
              </w:rPr>
              <w:t>POI diversity 2019-2021</w:t>
            </w:r>
          </w:p>
        </w:tc>
        <w:tc>
          <w:tcPr>
            <w:tcW w:type="dxa" w:w="2520"/>
          </w:tcPr>
          <w:p>
            <w:r/>
            <w:r>
              <w:rPr>
                <w:b w:val="0"/>
                <w:sz w:val="18"/>
              </w:rPr>
              <w:t>+15.82%</w:t>
            </w:r>
          </w:p>
        </w:tc>
        <w:tc>
          <w:tcPr>
            <w:tcW w:type="dxa" w:w="2520"/>
          </w:tcPr>
          <w:p>
            <w:r/>
            <w:r>
              <w:rPr>
                <w:b w:val="0"/>
                <w:sz w:val="18"/>
              </w:rPr>
              <w:t>+15.41%</w:t>
            </w:r>
          </w:p>
        </w:tc>
        <w:tc>
          <w:tcPr>
            <w:tcW w:type="dxa" w:w="2520"/>
          </w:tcPr>
          <w:p>
            <w:r/>
            <w:r>
              <w:rPr>
                <w:b w:val="0"/>
                <w:sz w:val="18"/>
              </w:rPr>
              <w:t>+15.23%</w:t>
            </w:r>
          </w:p>
        </w:tc>
      </w:tr>
      <w:tr>
        <w:tc>
          <w:tcPr>
            <w:tcW w:type="dxa" w:w="2520"/>
          </w:tcPr>
          <w:p>
            <w:r/>
            <w:r>
              <w:rPr>
                <w:b w:val="0"/>
                <w:sz w:val="18"/>
              </w:rPr>
              <w:t>Store area 2019-2021</w:t>
            </w:r>
          </w:p>
        </w:tc>
        <w:tc>
          <w:tcPr>
            <w:tcW w:type="dxa" w:w="2520"/>
          </w:tcPr>
          <w:p>
            <w:r/>
            <w:r>
              <w:rPr>
                <w:b w:val="0"/>
                <w:sz w:val="18"/>
              </w:rPr>
              <w:t>+80.97%</w:t>
            </w:r>
          </w:p>
        </w:tc>
        <w:tc>
          <w:tcPr>
            <w:tcW w:type="dxa" w:w="2520"/>
          </w:tcPr>
          <w:p>
            <w:r/>
            <w:r>
              <w:rPr>
                <w:b w:val="0"/>
                <w:sz w:val="18"/>
              </w:rPr>
              <w:t>+80.33%</w:t>
            </w:r>
          </w:p>
        </w:tc>
        <w:tc>
          <w:tcPr>
            <w:tcW w:type="dxa" w:w="2520"/>
          </w:tcPr>
          <w:p>
            <w:r/>
            <w:r>
              <w:rPr>
                <w:b w:val="0"/>
                <w:sz w:val="18"/>
              </w:rPr>
              <w:t>+80.81%</w:t>
            </w:r>
          </w:p>
        </w:tc>
      </w:tr>
    </w:tbl>
    <w:p>
      <w:pPr>
        <w:pStyle w:val="ListBullet"/>
      </w:pPr>
      <w:r>
        <w:t>Interpretation: central results are stable. Sign changes only occur in 2020-2021 for chain loyalty and demographic similarity, both tiny and near zero; this supports a nuanced statement that these stabilized by 2021 while other features remain directionally consistent.</w:t>
      </w:r>
    </w:p>
    <w:p>
      <w:pPr>
        <w:pStyle w:val="Heading1"/>
      </w:pPr>
      <w:r>
        <w:t>6. Notebook and Repository Organization Decisions</w:t>
      </w:r>
    </w:p>
    <w:p>
      <w:r>
        <w:t>The user wants a clean, general GitHub repository, not named after Frontiers/revision. Recommended repository name: urban-shopping-mobility-covid. Other acceptable alternatives: covid-retail-mobility-nyc or urban-retail-mobility-patterns.</w:t>
      </w:r>
    </w:p>
    <w:p>
      <w:pPr>
        <w:pStyle w:val="ListBullet"/>
      </w:pPr>
      <w:r>
        <w:t>Recommended notebook names: 01_data_representativeness.ipynb; 02_model_calibration.ipynb; 03_socioeconomic_spatial_diagnostics.ipynb; 04_model_sensitivity_sampling_bias.ipynb.</w:t>
      </w:r>
    </w:p>
    <w:p>
      <w:pPr>
        <w:pStyle w:val="ListBullet"/>
      </w:pPr>
      <w:r>
        <w:t>03_socioeconomic_spatial_diagnostics.ipynb should include PCA, K-means stability, Moran’s I, and LISA. It should not include SafeGraph sampling-bias sensitivity.</w:t>
      </w:r>
    </w:p>
    <w:p>
      <w:pPr>
        <w:pStyle w:val="ListBullet"/>
      </w:pPr>
      <w:r>
        <w:t>04_model_sensitivity_sampling_bias.ipynb should be independent. It should not assume variables from previous notebooks. It reads BASE_DIR = /content/drive/MyDrive/frontiers-rev/, four PSO files, and the representativeness metrics file, then outputs sensitivity tables.</w:t>
      </w:r>
    </w:p>
    <w:p>
      <w:pPr>
        <w:pStyle w:val="ListBullet"/>
      </w:pPr>
      <w:r>
        <w:t>01_data_representativeness.ipynb should contain descriptive SafeGraph panel representativeness and filtering, not the model-result sensitivity analysis.</w:t>
      </w:r>
    </w:p>
    <w:p>
      <w:pPr>
        <w:pStyle w:val="Heading1"/>
      </w:pPr>
      <w:r>
        <w:t>7. What Remains To Do Next</w:t>
      </w:r>
    </w:p>
    <w:p>
      <w:pPr>
        <w:pStyle w:val="ListNumber"/>
      </w:pPr>
      <w:r>
        <w:t>Start manuscript revision only now that the key computational results are complete. The first textual revision should be the title, abstract, and introduction framing.</w:t>
      </w:r>
    </w:p>
    <w:p>
      <w:pPr>
        <w:pStyle w:val="ListNumber"/>
      </w:pPr>
      <w:r>
        <w:t>Global conceptual reframing: replace “pure preferences” language with “revealed shopping-location patterns,” “store-selection patterns,” or “mobility-based behavioral weights under constraints.”</w:t>
      </w:r>
    </w:p>
    <w:p>
      <w:pPr>
        <w:pStyle w:val="ListNumber"/>
      </w:pPr>
      <w:r>
        <w:t>Reframe 2021 as “early recovery/reopening/transitional year,” not fully post-pandemic. Persistence means non-reversion to 2019 baseline by 2021, not permanent post-pandemic equilibrium.</w:t>
      </w:r>
    </w:p>
    <w:p>
      <w:pPr>
        <w:pStyle w:val="ListNumber"/>
      </w:pPr>
      <w:r>
        <w:t>Add a data limitation/supply-side paragraph stating that all included stores were confirmed operating across the study period, and that too few closures existed for a formal closure analysis. Still acknowledge reduced hours, restrictions, and supply-side conditions as constraints embedded in observed mobility patterns.</w:t>
      </w:r>
    </w:p>
    <w:p>
      <w:pPr>
        <w:pStyle w:val="ListNumber"/>
      </w:pPr>
      <w:r>
        <w:t>Add robustness subsections or supplementary sections for: top 10% threshold sensitivity; PCA socioeconomic structure; K-means stability; Moran’s I/LISA spatial diagnostics; SafeGraph representativeness; sampling-bias sensitivity of main model results.</w:t>
      </w:r>
    </w:p>
    <w:p>
      <w:pPr>
        <w:pStyle w:val="ListNumber"/>
      </w:pPr>
      <w:r>
        <w:t>Decide placement: most detailed tables go to Supplementary Material; main manuscript gets concise summaries. This avoids methodological sprawl, which the editor explicitly warned about.</w:t>
      </w:r>
    </w:p>
    <w:p>
      <w:pPr>
        <w:pStyle w:val="ListNumber"/>
      </w:pPr>
      <w:r>
        <w:t>Revise Discussion/Limitations to acknowledge: mobile-device panel bias, spatial dependence, lack of 2022+ data, 2021 only as early recovery, supply-side constraints, no formal closure analysis because included stores were operating and closure instances were insufficient.</w:t>
      </w:r>
    </w:p>
    <w:p>
      <w:pPr>
        <w:pStyle w:val="ListNumber"/>
      </w:pPr>
      <w:r>
        <w:t>Improve Figures 2-7: larger fonts, cleaner legends, consistent scales where appropriate, and move dense comparisons to Supplementary Material if needed.</w:t>
      </w:r>
    </w:p>
    <w:p>
      <w:pPr>
        <w:pStyle w:val="ListNumber"/>
      </w:pPr>
      <w:r>
        <w:t>After manuscript edits are drafted, prepare the point-by-point response letter. The response should group comments logically but still answer each reviewer item explicitly.</w:t>
      </w:r>
    </w:p>
    <w:p>
      <w:pPr>
        <w:pStyle w:val="Heading1"/>
      </w:pPr>
      <w:r>
        <w:t>8. Suggested Wording for Later Manuscript/Response</w:t>
      </w:r>
    </w:p>
    <w:p>
      <w:pPr>
        <w:pStyle w:val="Heading2"/>
      </w:pPr>
      <w:r>
        <w:t>8.1 Conceptual reframing</w:t>
      </w:r>
    </w:p>
    <w:p>
      <w:r>
        <w:t>Suggested wording: “Throughout the revised manuscript, we interpret the calibrated parameters as revealed shopping-location patterns inferred from observed CBG-to-store mobility flows, rather than as direct measures of pure consumer preferences. These patterns reflect store-selection behavior under changing pandemic-era constraints, including mobility restrictions, perceived health risk, operational conditions, and supply-side availability.”</w:t>
      </w:r>
    </w:p>
    <w:p>
      <w:pPr>
        <w:pStyle w:val="Heading2"/>
      </w:pPr>
      <w:r>
        <w:t>8.2 2021 reframing</w:t>
      </w:r>
    </w:p>
    <w:p>
      <w:r>
        <w:t>Suggested wording: “Because the available SafeGraph COVID-19 research panel ends in 2021, our analysis cannot determine whether these changes persisted into a later stabilized post-pandemic period. We therefore interpret 2021 as an early recovery/reopening year and define persistence as non-reversion to the 2019 baseline within the available observation window.”</w:t>
      </w:r>
    </w:p>
    <w:p>
      <w:pPr>
        <w:pStyle w:val="Heading2"/>
      </w:pPr>
      <w:r>
        <w:t>8.3 K-means stability</w:t>
      </w:r>
    </w:p>
    <w:p>
      <w:r>
        <w:t>Suggested wording: “To assess the stability of the five-cluster socioeconomic partition, we reran the K-means procedure using standardized socioeconomic and demographic variables under 10 random seeds. The resulting partitions were highly stable, with pairwise Adjusted Rand Index values ranging from 0.995 to 1.000 and a mean value of 0.999, indicating that the cluster-level heterogeneity results are not sensitive to random initialization.”</w:t>
      </w:r>
    </w:p>
    <w:p>
      <w:pPr>
        <w:pStyle w:val="Heading2"/>
      </w:pPr>
      <w:r>
        <w:t>8.4 Spatial autocorrelation</w:t>
      </w:r>
    </w:p>
    <w:p>
      <w:r>
        <w:t>Suggested wording: “We also assessed spatial autocorrelation in CBG-level parameter changes using global Moran’s I. Because Queen contiguity produced a small number of isolated CBGs, we used five-nearest-neighbor spatial weights. The pre-pandemic 2018-2019 parameter changes showed little evidence of spatial autocorrelation, while several 2019-2020 and 2020-2021 changes exhibited statistically significant but modest spatial autocorrelation. These diagnostics suggest that pandemic-era shifts had a spatial component, but the magnitudes of global Moran’s I indicate that the main findings are not solely driven by strong spatial clustering.”</w:t>
      </w:r>
    </w:p>
    <w:p>
      <w:pPr>
        <w:pStyle w:val="Heading2"/>
      </w:pPr>
      <w:r>
        <w:t>8.5 Sampling-bias sensitivity</w:t>
      </w:r>
    </w:p>
    <w:p>
      <w:r>
        <w:t>Suggested wording: “To assess whether the main results were sensitive to CBG-level sampling bias in the SafeGraph panel, we repeated the parameter-change analysis after excluding the CBGs with the highest absolute sampling bias. The main 2019-2020 shifts remained stable: store area increased by 78.6% in the full sample and by 77.7% and 78.1% in the two bias-filtered samples; chain loyalty increased by 43.5%, 44.2%, and 44.3%; POI count increased by 27.9%, 28.1%, and 28.3%; and CBG-store distance decreased by 22.5%, 22.3%, and 22.4%, respectively. The 2019-2021 comparison also remained stable, suggesting that the non-reversion of revealed shopping-location patterns by 2021 is not driven by the most sampling-biased CBGs.”</w:t>
      </w:r>
    </w:p>
    <w:p>
      <w:pPr>
        <w:pStyle w:val="Heading1"/>
      </w:pPr>
      <w:r>
        <w:t>9. Response Letter Strategy</w:t>
      </w:r>
    </w:p>
    <w:p>
      <w:pPr>
        <w:pStyle w:val="ListBullet"/>
      </w:pPr>
      <w:r>
        <w:t>Opening to editor: thank editor/reviewers, summarize major changes: narrowed conceptual framing, 2021 reframed as early recovery, added representativeness/sampling-bias robustness, added spatial diagnostics, added K-means stability, clarified supply-side availability, improved figures.</w:t>
      </w:r>
    </w:p>
    <w:p>
      <w:pPr>
        <w:pStyle w:val="ListBullet"/>
      </w:pPr>
      <w:r>
        <w:t>Reviewer 1 comment 1: say we no longer treat 2021 as fully post-pandemic; sensitivity/interpretation now treats 2021 separately as early recovery.</w:t>
      </w:r>
    </w:p>
    <w:p>
      <w:pPr>
        <w:pStyle w:val="ListBullet"/>
      </w:pPr>
      <w:r>
        <w:t>Reviewer 1 comment 2: cite expanded representativeness diagnostics and sampling-bias sensitivity of main results.</w:t>
      </w:r>
    </w:p>
    <w:p>
      <w:pPr>
        <w:pStyle w:val="ListBullet"/>
      </w:pPr>
      <w:r>
        <w:t>Reviewer 1 comment 3: say all “pure preference” language was revised to revealed store-selection patterns under constraints.</w:t>
      </w:r>
    </w:p>
    <w:p>
      <w:pPr>
        <w:pStyle w:val="ListBullet"/>
      </w:pPr>
      <w:r>
        <w:t>Reviewer 1 comment 4: cite top 10% robustness and PCA/K-means multivariate socioeconomic checks.</w:t>
      </w:r>
    </w:p>
    <w:p>
      <w:pPr>
        <w:pStyle w:val="ListBullet"/>
      </w:pPr>
      <w:r>
        <w:t>Reviewer 1 comment 5: cite Moran’s I/LISA; acknowledge modest spatial autocorrelation and limitation.</w:t>
      </w:r>
    </w:p>
    <w:p>
      <w:pPr>
        <w:pStyle w:val="ListBullet"/>
      </w:pPr>
      <w:r>
        <w:t>Reviewer 1 comment 6: clarify all stores were confirmed operating, too few closures for separate analysis, and observed patterns may reflect both demand- and supply-side constraints.</w:t>
      </w:r>
    </w:p>
    <w:p>
      <w:pPr>
        <w:pStyle w:val="ListBullet"/>
      </w:pPr>
      <w:r>
        <w:t>Reviewer 1 comment 7: accept and state figures were redesigned/readability improved.</w:t>
      </w:r>
    </w:p>
    <w:p>
      <w:pPr>
        <w:pStyle w:val="ListBullet"/>
      </w:pPr>
      <w:r>
        <w:t>Reviewer 3 comment 4: cite K-means ARI stability results.</w:t>
      </w:r>
    </w:p>
    <w:p>
      <w:pPr>
        <w:pStyle w:val="ListBullet"/>
      </w:pPr>
      <w:r>
        <w:t>Reviewer 3 comments 1-2: thank for perturbation/corridor idea; either add small future-work paragraph or limited robustness if desired. Current recommendation is to mention as future work to avoid sprawl.</w:t>
      </w:r>
    </w:p>
    <w:p>
      <w:pPr>
        <w:pStyle w:val="Heading1"/>
      </w:pPr>
      <w:r>
        <w:t>10. Important Cautions for the Next Chat</w:t>
      </w:r>
    </w:p>
    <w:p>
      <w:pPr>
        <w:pStyle w:val="ListBullet"/>
      </w:pPr>
      <w:r>
        <w:t>Do not claim the data prove permanent post-pandemic equilibrium. Use “non-reversion by 2021” and “early recovery period.”</w:t>
      </w:r>
    </w:p>
    <w:p>
      <w:pPr>
        <w:pStyle w:val="ListBullet"/>
      </w:pPr>
      <w:r>
        <w:t>Do not call fitted parameters pure consumer preferences. Use revealed shopping-location patterns/store-selection patterns under constraints.</w:t>
      </w:r>
    </w:p>
    <w:p>
      <w:pPr>
        <w:pStyle w:val="ListBullet"/>
      </w:pPr>
      <w:r>
        <w:t>Do not overclaim SafeGraph representativeness. Borough/socioeconomic aggregation looks good; CBG-level representativeness remains uneven and must be acknowledged.</w:t>
      </w:r>
    </w:p>
    <w:p>
      <w:pPr>
        <w:pStyle w:val="ListBullet"/>
      </w:pPr>
      <w:r>
        <w:t>Do not add full corridor resilience/network analysis unless the user explicitly wants it; editor warned about methodological sprawl.</w:t>
      </w:r>
    </w:p>
    <w:p>
      <w:pPr>
        <w:pStyle w:val="ListBullet"/>
      </w:pPr>
      <w:r>
        <w:t>When drafting manuscript text, keep the user’s original tone and structure. Use concise academic prose similar to the manuscript, not overly polished generic language.</w:t>
      </w:r>
    </w:p>
    <w:p/>
    <w:p>
      <w:pPr>
        <w:jc w:val="center"/>
      </w:pPr>
      <w:r>
        <w:rPr>
          <w:i/>
        </w:rPr>
        <w:t>End of continuation summary.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