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F551" w14:textId="766F872E" w:rsidR="006E51D8" w:rsidRPr="000C3710" w:rsidRDefault="00DC6662" w:rsidP="000C3710">
      <w:pPr>
        <w:spacing w:line="360" w:lineRule="auto"/>
        <w:rPr>
          <w:rFonts w:ascii="Times New Roman" w:hAnsi="Times New Roman" w:cs="Times New Roman"/>
          <w:b/>
          <w:bCs/>
        </w:rPr>
      </w:pPr>
      <w:r w:rsidRPr="000C3710">
        <w:rPr>
          <w:rFonts w:ascii="Times New Roman" w:hAnsi="Times New Roman" w:cs="Times New Roman"/>
          <w:b/>
          <w:bCs/>
        </w:rPr>
        <w:t>Still Steaming Ahead? Reviewing the Relationship Between Inventory and Transportation Costs</w:t>
      </w:r>
    </w:p>
    <w:p w14:paraId="00AAAAFA" w14:textId="1BDC1F90" w:rsidR="00047901" w:rsidRPr="00047901" w:rsidRDefault="00DC6662" w:rsidP="000C3710">
      <w:pPr>
        <w:spacing w:line="360" w:lineRule="auto"/>
        <w:rPr>
          <w:rFonts w:ascii="Times New Roman" w:hAnsi="Times New Roman" w:cs="Times New Roman"/>
        </w:rPr>
      </w:pPr>
      <w:r w:rsidRPr="000C3710">
        <w:rPr>
          <w:rFonts w:ascii="Times New Roman" w:hAnsi="Times New Roman" w:cs="Times New Roman"/>
          <w:b/>
          <w:bCs/>
        </w:rPr>
        <w:t>Abstract</w:t>
      </w:r>
      <w:r w:rsidR="00047901">
        <w:rPr>
          <w:rFonts w:ascii="Times New Roman" w:hAnsi="Times New Roman" w:cs="Times New Roman"/>
          <w:b/>
          <w:bCs/>
        </w:rPr>
        <w:t xml:space="preserve">: </w:t>
      </w:r>
    </w:p>
    <w:p w14:paraId="13A85944" w14:textId="171379D3" w:rsidR="00DC6662" w:rsidRPr="000C3710" w:rsidRDefault="00DC6662" w:rsidP="000C3710">
      <w:pPr>
        <w:spacing w:line="360" w:lineRule="auto"/>
        <w:rPr>
          <w:rFonts w:ascii="Times New Roman" w:hAnsi="Times New Roman" w:cs="Times New Roman"/>
        </w:rPr>
      </w:pPr>
      <w:r w:rsidRPr="000C3710">
        <w:rPr>
          <w:rFonts w:ascii="Times New Roman" w:hAnsi="Times New Roman" w:cs="Times New Roman"/>
          <w:b/>
          <w:bCs/>
        </w:rPr>
        <w:t xml:space="preserve">Keywords: </w:t>
      </w:r>
      <w:r w:rsidRPr="000C3710">
        <w:rPr>
          <w:rFonts w:ascii="Times New Roman" w:hAnsi="Times New Roman" w:cs="Times New Roman"/>
        </w:rPr>
        <w:t xml:space="preserve">Transportation, </w:t>
      </w:r>
      <w:r w:rsidR="001A1788" w:rsidRPr="000C3710">
        <w:rPr>
          <w:rFonts w:ascii="Times New Roman" w:hAnsi="Times New Roman" w:cs="Times New Roman"/>
        </w:rPr>
        <w:t xml:space="preserve">inventory, </w:t>
      </w:r>
      <w:r w:rsidRPr="000C3710">
        <w:rPr>
          <w:rFonts w:ascii="Times New Roman" w:hAnsi="Times New Roman" w:cs="Times New Roman"/>
        </w:rPr>
        <w:t>trucking, air freight, vector-error correction models</w:t>
      </w:r>
    </w:p>
    <w:p w14:paraId="066A13AD" w14:textId="763BCB98" w:rsidR="00DC6662" w:rsidRPr="000C3710" w:rsidRDefault="00DC6662" w:rsidP="000C3710">
      <w:pPr>
        <w:spacing w:line="360" w:lineRule="auto"/>
        <w:rPr>
          <w:rFonts w:ascii="Times New Roman" w:hAnsi="Times New Roman" w:cs="Times New Roman"/>
          <w:b/>
          <w:bCs/>
        </w:rPr>
      </w:pPr>
      <w:r w:rsidRPr="000C3710">
        <w:rPr>
          <w:rFonts w:ascii="Times New Roman" w:hAnsi="Times New Roman" w:cs="Times New Roman"/>
          <w:b/>
          <w:bCs/>
        </w:rPr>
        <w:t>Introduction</w:t>
      </w:r>
    </w:p>
    <w:p w14:paraId="2DD26BD0" w14:textId="10276AC6" w:rsidR="00DE24C6" w:rsidRPr="000C3710" w:rsidRDefault="00DC6662" w:rsidP="000C3710">
      <w:pPr>
        <w:spacing w:line="360" w:lineRule="auto"/>
        <w:ind w:firstLine="720"/>
        <w:jc w:val="both"/>
        <w:rPr>
          <w:rFonts w:ascii="Times New Roman" w:hAnsi="Times New Roman" w:cs="Times New Roman"/>
        </w:rPr>
      </w:pPr>
      <w:r w:rsidRPr="000C3710">
        <w:rPr>
          <w:rFonts w:ascii="Times New Roman" w:hAnsi="Times New Roman" w:cs="Times New Roman"/>
        </w:rPr>
        <w:t xml:space="preserve">Transportation </w:t>
      </w:r>
      <w:r w:rsidR="00561DED" w:rsidRPr="000C3710">
        <w:rPr>
          <w:rFonts w:ascii="Times New Roman" w:hAnsi="Times New Roman" w:cs="Times New Roman"/>
        </w:rPr>
        <w:t xml:space="preserve">costs </w:t>
      </w:r>
      <w:r w:rsidRPr="000C3710">
        <w:rPr>
          <w:rFonts w:ascii="Times New Roman" w:hAnsi="Times New Roman" w:cs="Times New Roman"/>
        </w:rPr>
        <w:t>represent a significant share of the overall logistics costs incurred by firms (Goldsby et al., 2023)</w:t>
      </w:r>
      <w:r w:rsidR="00561DED" w:rsidRPr="000C3710">
        <w:rPr>
          <w:rFonts w:ascii="Times New Roman" w:hAnsi="Times New Roman" w:cs="Times New Roman"/>
        </w:rPr>
        <w:t xml:space="preserve">. While traditional logistics theory </w:t>
      </w:r>
      <w:r w:rsidR="00D102E1">
        <w:rPr>
          <w:rFonts w:ascii="Times New Roman" w:hAnsi="Times New Roman" w:cs="Times New Roman"/>
        </w:rPr>
        <w:t>contends</w:t>
      </w:r>
      <w:r w:rsidR="00561DED" w:rsidRPr="000C3710">
        <w:rPr>
          <w:rFonts w:ascii="Times New Roman" w:hAnsi="Times New Roman" w:cs="Times New Roman"/>
        </w:rPr>
        <w:t xml:space="preserve"> that firms jointly </w:t>
      </w:r>
      <w:r w:rsidR="00750EE6">
        <w:rPr>
          <w:rFonts w:ascii="Times New Roman" w:hAnsi="Times New Roman" w:cs="Times New Roman"/>
        </w:rPr>
        <w:t>manage</w:t>
      </w:r>
      <w:r w:rsidR="00561DED" w:rsidRPr="000C3710">
        <w:rPr>
          <w:rFonts w:ascii="Times New Roman" w:hAnsi="Times New Roman" w:cs="Times New Roman"/>
        </w:rPr>
        <w:t xml:space="preserve"> transportation and inventory costs (</w:t>
      </w:r>
      <w:r w:rsidR="007F3277">
        <w:rPr>
          <w:rFonts w:ascii="Times New Roman" w:hAnsi="Times New Roman" w:cs="Times New Roman"/>
        </w:rPr>
        <w:t xml:space="preserve">Langley, 1980; </w:t>
      </w:r>
      <w:r w:rsidR="00561DED" w:rsidRPr="000C3710">
        <w:rPr>
          <w:rFonts w:ascii="Times New Roman" w:hAnsi="Times New Roman" w:cs="Times New Roman"/>
        </w:rPr>
        <w:t>Bowersox et al., 2013), Swanson et al. (2016) identified that the relationship between these costs is asymmetrical</w:t>
      </w:r>
      <w:r w:rsidR="0038030D" w:rsidRPr="000C3710">
        <w:rPr>
          <w:rFonts w:ascii="Times New Roman" w:hAnsi="Times New Roman" w:cs="Times New Roman"/>
        </w:rPr>
        <w:t xml:space="preserve"> at the aggregate level</w:t>
      </w:r>
      <w:r w:rsidR="00A92C4F">
        <w:rPr>
          <w:rFonts w:ascii="Times New Roman" w:hAnsi="Times New Roman" w:cs="Times New Roman"/>
        </w:rPr>
        <w:t xml:space="preserve">. </w:t>
      </w:r>
      <w:r w:rsidR="00561DED" w:rsidRPr="000C3710">
        <w:rPr>
          <w:rFonts w:ascii="Times New Roman" w:hAnsi="Times New Roman" w:cs="Times New Roman"/>
        </w:rPr>
        <w:t>Firms adjust inventory costs in response to shocks in transportation costs, but not vice versa</w:t>
      </w:r>
      <w:r w:rsidR="00352063">
        <w:rPr>
          <w:rFonts w:ascii="Times New Roman" w:hAnsi="Times New Roman" w:cs="Times New Roman"/>
        </w:rPr>
        <w:t xml:space="preserve">. Since their study, there have been calls </w:t>
      </w:r>
      <w:r w:rsidR="004130ED">
        <w:rPr>
          <w:rFonts w:ascii="Times New Roman" w:hAnsi="Times New Roman" w:cs="Times New Roman"/>
        </w:rPr>
        <w:t>for</w:t>
      </w:r>
      <w:r w:rsidR="00352063">
        <w:rPr>
          <w:rFonts w:ascii="Times New Roman" w:hAnsi="Times New Roman" w:cs="Times New Roman"/>
        </w:rPr>
        <w:t xml:space="preserve"> further empirical tests into the </w:t>
      </w:r>
      <w:r w:rsidR="004130ED">
        <w:rPr>
          <w:rFonts w:ascii="Times New Roman" w:hAnsi="Times New Roman" w:cs="Times New Roman"/>
        </w:rPr>
        <w:t xml:space="preserve">nuances of the relationship between transportation and inventory costs (Swanson et al., 2022). </w:t>
      </w:r>
    </w:p>
    <w:p w14:paraId="0B2A898F" w14:textId="59C206F4" w:rsidR="007F1A24" w:rsidRDefault="004130ED" w:rsidP="00AF2A88">
      <w:pPr>
        <w:spacing w:line="360" w:lineRule="auto"/>
        <w:ind w:firstLine="720"/>
        <w:jc w:val="both"/>
        <w:rPr>
          <w:rFonts w:ascii="Times New Roman" w:hAnsi="Times New Roman" w:cs="Times New Roman"/>
        </w:rPr>
      </w:pPr>
      <w:r>
        <w:rPr>
          <w:rFonts w:ascii="Times New Roman" w:hAnsi="Times New Roman" w:cs="Times New Roman"/>
        </w:rPr>
        <w:t xml:space="preserve">Our study aims to respond to this </w:t>
      </w:r>
      <w:r w:rsidR="00AF2A88">
        <w:rPr>
          <w:rFonts w:ascii="Times New Roman" w:hAnsi="Times New Roman" w:cs="Times New Roman"/>
        </w:rPr>
        <w:t>call and</w:t>
      </w:r>
      <w:r>
        <w:rPr>
          <w:rFonts w:ascii="Times New Roman" w:hAnsi="Times New Roman" w:cs="Times New Roman"/>
        </w:rPr>
        <w:t xml:space="preserve"> build upon Swanson et al. (2016). Specifically, we</w:t>
      </w:r>
      <w:r w:rsidR="0083650A">
        <w:rPr>
          <w:rFonts w:ascii="Times New Roman" w:hAnsi="Times New Roman" w:cs="Times New Roman"/>
        </w:rPr>
        <w:t xml:space="preserve"> decompose the aggregate transportation cost measure employed by Swanson et al. (2016)</w:t>
      </w:r>
      <w:r>
        <w:rPr>
          <w:rFonts w:ascii="Times New Roman" w:hAnsi="Times New Roman" w:cs="Times New Roman"/>
        </w:rPr>
        <w:t xml:space="preserve">, which obscures potential heterogeneity across </w:t>
      </w:r>
      <w:r w:rsidR="003417CD">
        <w:rPr>
          <w:rFonts w:ascii="Times New Roman" w:hAnsi="Times New Roman" w:cs="Times New Roman"/>
        </w:rPr>
        <w:t>distinct</w:t>
      </w:r>
      <w:r w:rsidR="006D5583">
        <w:rPr>
          <w:rFonts w:ascii="Times New Roman" w:hAnsi="Times New Roman" w:cs="Times New Roman"/>
        </w:rPr>
        <w:t xml:space="preserve"> </w:t>
      </w:r>
      <w:r>
        <w:rPr>
          <w:rFonts w:ascii="Times New Roman" w:hAnsi="Times New Roman" w:cs="Times New Roman"/>
        </w:rPr>
        <w:t>freight modes</w:t>
      </w:r>
      <w:r w:rsidR="003417CD">
        <w:rPr>
          <w:rFonts w:ascii="Times New Roman" w:hAnsi="Times New Roman" w:cs="Times New Roman"/>
        </w:rPr>
        <w:t>, into mode-specific variables. Each mode of freight – truck, rail, air</w:t>
      </w:r>
      <w:r w:rsidR="005B6157">
        <w:rPr>
          <w:rFonts w:ascii="Times New Roman" w:hAnsi="Times New Roman" w:cs="Times New Roman"/>
        </w:rPr>
        <w:t>, inland-water</w:t>
      </w:r>
      <w:r w:rsidR="003417CD">
        <w:rPr>
          <w:rFonts w:ascii="Times New Roman" w:hAnsi="Times New Roman" w:cs="Times New Roman"/>
        </w:rPr>
        <w:t xml:space="preserve"> and sea – ha</w:t>
      </w:r>
      <w:r w:rsidR="005B6157">
        <w:rPr>
          <w:rFonts w:ascii="Times New Roman" w:hAnsi="Times New Roman" w:cs="Times New Roman"/>
        </w:rPr>
        <w:t>s</w:t>
      </w:r>
      <w:r w:rsidR="003417CD">
        <w:rPr>
          <w:rFonts w:ascii="Times New Roman" w:hAnsi="Times New Roman" w:cs="Times New Roman"/>
        </w:rPr>
        <w:t xml:space="preserve"> distinct contract structures and capacity constraints</w:t>
      </w:r>
      <w:r w:rsidR="009C542C">
        <w:rPr>
          <w:rFonts w:ascii="Times New Roman" w:hAnsi="Times New Roman" w:cs="Times New Roman"/>
        </w:rPr>
        <w:t xml:space="preserve"> </w:t>
      </w:r>
      <w:r w:rsidR="00AF2A88">
        <w:rPr>
          <w:rFonts w:ascii="Times New Roman" w:hAnsi="Times New Roman" w:cs="Times New Roman"/>
        </w:rPr>
        <w:t xml:space="preserve">(De Moor et al., 2023). </w:t>
      </w:r>
      <w:r w:rsidR="00212DFB">
        <w:rPr>
          <w:rFonts w:ascii="Times New Roman" w:hAnsi="Times New Roman" w:cs="Times New Roman"/>
        </w:rPr>
        <w:t xml:space="preserve">Trucking itself is broken up into multiple distinct segments, each of which </w:t>
      </w:r>
      <w:r w:rsidR="001F6A7F">
        <w:rPr>
          <w:rFonts w:ascii="Times New Roman" w:hAnsi="Times New Roman" w:cs="Times New Roman"/>
        </w:rPr>
        <w:t>has</w:t>
      </w:r>
      <w:r w:rsidR="00212DFB">
        <w:rPr>
          <w:rFonts w:ascii="Times New Roman" w:hAnsi="Times New Roman" w:cs="Times New Roman"/>
        </w:rPr>
        <w:t xml:space="preserve"> unique price dynamics (</w:t>
      </w:r>
      <w:r w:rsidR="00FB112A">
        <w:rPr>
          <w:rFonts w:ascii="Times New Roman" w:hAnsi="Times New Roman" w:cs="Times New Roman"/>
        </w:rPr>
        <w:t>Miller et al., 2021</w:t>
      </w:r>
      <w:r w:rsidR="00212DFB">
        <w:rPr>
          <w:rFonts w:ascii="Times New Roman" w:hAnsi="Times New Roman" w:cs="Times New Roman"/>
        </w:rPr>
        <w:t xml:space="preserve">). </w:t>
      </w:r>
      <w:r w:rsidR="000E5986" w:rsidRPr="000C3710">
        <w:rPr>
          <w:rFonts w:ascii="Times New Roman" w:hAnsi="Times New Roman" w:cs="Times New Roman"/>
        </w:rPr>
        <w:t xml:space="preserve">While transportation costs in aggregate may not respond to inventory costs, </w:t>
      </w:r>
      <w:r w:rsidR="009C542C">
        <w:rPr>
          <w:rFonts w:ascii="Times New Roman" w:hAnsi="Times New Roman" w:cs="Times New Roman"/>
        </w:rPr>
        <w:t>the unique characteristics of each freight mode can lead to multiple contradictory relationships with inventory costs, that aggregate into the relationship observed by Swanson et al. (2016).</w:t>
      </w:r>
    </w:p>
    <w:p w14:paraId="48A8135B" w14:textId="7B7863BB" w:rsidR="00001100" w:rsidRDefault="00AF2A88" w:rsidP="00AF2A88">
      <w:pPr>
        <w:spacing w:line="360" w:lineRule="auto"/>
        <w:ind w:firstLine="720"/>
        <w:jc w:val="both"/>
        <w:rPr>
          <w:rFonts w:ascii="Times New Roman" w:hAnsi="Times New Roman" w:cs="Times New Roman"/>
        </w:rPr>
      </w:pPr>
      <w:r>
        <w:rPr>
          <w:rFonts w:ascii="Times New Roman" w:hAnsi="Times New Roman" w:cs="Times New Roman"/>
        </w:rPr>
        <w:t>Furthermore, we aim to leverage Producer Price Index (PPI) data for each freight mode instead of the</w:t>
      </w:r>
      <w:r w:rsidR="00452A0A">
        <w:rPr>
          <w:rFonts w:ascii="Times New Roman" w:hAnsi="Times New Roman" w:cs="Times New Roman"/>
        </w:rPr>
        <w:t xml:space="preserve"> aggregate</w:t>
      </w:r>
      <w:r>
        <w:rPr>
          <w:rFonts w:ascii="Times New Roman" w:hAnsi="Times New Roman" w:cs="Times New Roman"/>
        </w:rPr>
        <w:t xml:space="preserve"> costs incurred by firms.</w:t>
      </w:r>
      <w:r w:rsidR="00001100">
        <w:rPr>
          <w:rFonts w:ascii="Times New Roman" w:hAnsi="Times New Roman" w:cs="Times New Roman"/>
        </w:rPr>
        <w:t xml:space="preserve"> This distinction is vital, as traditional inventory theory models the transportation-inventory tradeoff in the context of per-unit freight rates, not total transportation expenditure </w:t>
      </w:r>
      <w:r w:rsidR="00001100" w:rsidRPr="00001100">
        <w:rPr>
          <w:rFonts w:ascii="Times New Roman" w:hAnsi="Times New Roman" w:cs="Times New Roman"/>
        </w:rPr>
        <w:t>(Baumol and Vinod, 1970).</w:t>
      </w:r>
      <w:r w:rsidR="00001100">
        <w:rPr>
          <w:rFonts w:ascii="Times New Roman" w:hAnsi="Times New Roman" w:cs="Times New Roman"/>
        </w:rPr>
        <w:t xml:space="preserve"> When freight rates rise, managers can adjust order frequency and shipment size</w:t>
      </w:r>
      <w:r w:rsidR="00420FB9">
        <w:rPr>
          <w:rFonts w:ascii="Times New Roman" w:hAnsi="Times New Roman" w:cs="Times New Roman"/>
        </w:rPr>
        <w:t>, which can potentially lower their total transportation expenditure</w:t>
      </w:r>
      <w:r w:rsidR="00001100" w:rsidRPr="00001100">
        <w:rPr>
          <w:rFonts w:ascii="Times New Roman" w:hAnsi="Times New Roman" w:cs="Times New Roman"/>
        </w:rPr>
        <w:t xml:space="preserve">. By using price indices, </w:t>
      </w:r>
      <w:r w:rsidR="00682D66">
        <w:rPr>
          <w:rFonts w:ascii="Times New Roman" w:hAnsi="Times New Roman" w:cs="Times New Roman"/>
        </w:rPr>
        <w:t xml:space="preserve">we specifically study the freight rates that drive logistics optimization within firms, and test whether these rates share a long-run equilibrium with aggregate inventory levels. </w:t>
      </w:r>
    </w:p>
    <w:p w14:paraId="239E2A60" w14:textId="77777777" w:rsidR="00534B4B" w:rsidRDefault="00682D66" w:rsidP="00AE2667">
      <w:pPr>
        <w:spacing w:line="360" w:lineRule="auto"/>
        <w:ind w:firstLine="720"/>
        <w:jc w:val="both"/>
        <w:rPr>
          <w:rFonts w:ascii="Times New Roman" w:hAnsi="Times New Roman" w:cs="Times New Roman"/>
        </w:rPr>
      </w:pPr>
      <w:r>
        <w:rPr>
          <w:rFonts w:ascii="Times New Roman" w:hAnsi="Times New Roman" w:cs="Times New Roman"/>
        </w:rPr>
        <w:lastRenderedPageBreak/>
        <w:t>We leverage</w:t>
      </w:r>
      <w:r w:rsidR="00AD1338">
        <w:rPr>
          <w:rFonts w:ascii="Times New Roman" w:hAnsi="Times New Roman" w:cs="Times New Roman"/>
        </w:rPr>
        <w:t xml:space="preserve"> monthly data from the Bureau of Labor Statistics (BLS) and the Census Bureau </w:t>
      </w:r>
      <w:r w:rsidR="00726BBF">
        <w:rPr>
          <w:rFonts w:ascii="Times New Roman" w:hAnsi="Times New Roman" w:cs="Times New Roman"/>
        </w:rPr>
        <w:t>spanning</w:t>
      </w:r>
      <w:r w:rsidR="00AD1338">
        <w:rPr>
          <w:rFonts w:ascii="Times New Roman" w:hAnsi="Times New Roman" w:cs="Times New Roman"/>
        </w:rPr>
        <w:t xml:space="preserve"> 200</w:t>
      </w:r>
      <w:r w:rsidR="00A54507">
        <w:rPr>
          <w:rFonts w:ascii="Times New Roman" w:hAnsi="Times New Roman" w:cs="Times New Roman"/>
        </w:rPr>
        <w:t>4</w:t>
      </w:r>
      <w:r w:rsidR="00AD1338">
        <w:rPr>
          <w:rFonts w:ascii="Times New Roman" w:hAnsi="Times New Roman" w:cs="Times New Roman"/>
        </w:rPr>
        <w:t>-2024</w:t>
      </w:r>
      <w:r>
        <w:rPr>
          <w:rFonts w:ascii="Times New Roman" w:hAnsi="Times New Roman" w:cs="Times New Roman"/>
        </w:rPr>
        <w:t>, in order to identify the relationships between individual freight rates and aggregate inventory levels</w:t>
      </w:r>
      <w:r w:rsidR="00AD1338">
        <w:rPr>
          <w:rFonts w:ascii="Times New Roman" w:hAnsi="Times New Roman" w:cs="Times New Roman"/>
        </w:rPr>
        <w:t xml:space="preserve">. In line with Swanson et al. (2016), we leverage a series of VECMs to </w:t>
      </w:r>
      <w:r w:rsidR="001D03C8">
        <w:rPr>
          <w:rFonts w:ascii="Times New Roman" w:hAnsi="Times New Roman" w:cs="Times New Roman"/>
        </w:rPr>
        <w:t>study these relationships</w:t>
      </w:r>
      <w:r w:rsidR="00D074AE">
        <w:rPr>
          <w:rFonts w:ascii="Times New Roman" w:hAnsi="Times New Roman" w:cs="Times New Roman"/>
        </w:rPr>
        <w:t xml:space="preserve">. </w:t>
      </w:r>
    </w:p>
    <w:p w14:paraId="57E6FA02" w14:textId="36C3072E" w:rsidR="00BF754F" w:rsidRDefault="00D074AE" w:rsidP="00AE2667">
      <w:pPr>
        <w:spacing w:line="360" w:lineRule="auto"/>
        <w:ind w:firstLine="720"/>
        <w:jc w:val="both"/>
        <w:rPr>
          <w:rFonts w:ascii="Times New Roman" w:hAnsi="Times New Roman" w:cs="Times New Roman"/>
        </w:rPr>
      </w:pPr>
      <w:r>
        <w:rPr>
          <w:rFonts w:ascii="Times New Roman" w:hAnsi="Times New Roman" w:cs="Times New Roman"/>
        </w:rPr>
        <w:t xml:space="preserve">Our findings diverge significantly from Swanson et al. (2016), due to our focus on the </w:t>
      </w:r>
      <w:r>
        <w:rPr>
          <w:rFonts w:ascii="Times New Roman" w:hAnsi="Times New Roman" w:cs="Times New Roman"/>
          <w:i/>
          <w:iCs/>
        </w:rPr>
        <w:t xml:space="preserve">price </w:t>
      </w:r>
      <w:r>
        <w:rPr>
          <w:rFonts w:ascii="Times New Roman" w:hAnsi="Times New Roman" w:cs="Times New Roman"/>
        </w:rPr>
        <w:t xml:space="preserve">of freight rather than its </w:t>
      </w:r>
      <w:r>
        <w:rPr>
          <w:rFonts w:ascii="Times New Roman" w:hAnsi="Times New Roman" w:cs="Times New Roman"/>
          <w:i/>
          <w:iCs/>
        </w:rPr>
        <w:t xml:space="preserve">total cost. </w:t>
      </w:r>
      <w:r>
        <w:rPr>
          <w:rFonts w:ascii="Times New Roman" w:hAnsi="Times New Roman" w:cs="Times New Roman"/>
        </w:rPr>
        <w:t xml:space="preserve">Specifically, we find only less-than-truckload freight rates to cointegrate with total business inventories, with the freight rates being the error-correcting variable of the two. We contend that our findings are driven by the nature of our study – rising inventories are seen as a demand signal, leading LTL carriers to increase their rates. The null cointegration results found for all other forms of freight are potentially driven by the </w:t>
      </w:r>
      <w:r w:rsidR="00047901">
        <w:rPr>
          <w:rFonts w:ascii="Times New Roman" w:hAnsi="Times New Roman" w:cs="Times New Roman"/>
        </w:rPr>
        <w:t>rapid price adjustment demonstrated by the LTL segment (</w:t>
      </w:r>
      <w:r w:rsidR="00047901" w:rsidRPr="00047901">
        <w:rPr>
          <w:rFonts w:ascii="Times New Roman" w:hAnsi="Times New Roman" w:cs="Times New Roman"/>
        </w:rPr>
        <w:t>Rakowski</w:t>
      </w:r>
      <w:r w:rsidR="00047901">
        <w:rPr>
          <w:rFonts w:ascii="Times New Roman" w:hAnsi="Times New Roman" w:cs="Times New Roman"/>
        </w:rPr>
        <w:t xml:space="preserve">, 1988). Contract rates across all other freight modes in our analysis are </w:t>
      </w:r>
      <w:r w:rsidR="00D54394">
        <w:rPr>
          <w:rFonts w:ascii="Times New Roman" w:hAnsi="Times New Roman" w:cs="Times New Roman"/>
        </w:rPr>
        <w:t>sticky and</w:t>
      </w:r>
      <w:r w:rsidR="00047901">
        <w:rPr>
          <w:rFonts w:ascii="Times New Roman" w:hAnsi="Times New Roman" w:cs="Times New Roman"/>
        </w:rPr>
        <w:t xml:space="preserve"> are determined through regular renegotiation cycles (Jin et al., 2017; Miller et al., 2021</w:t>
      </w:r>
      <w:r>
        <w:rPr>
          <w:rFonts w:ascii="Times New Roman" w:hAnsi="Times New Roman" w:cs="Times New Roman"/>
        </w:rPr>
        <w:t>).</w:t>
      </w:r>
      <w:r w:rsidR="00D54394">
        <w:rPr>
          <w:rFonts w:ascii="Times New Roman" w:hAnsi="Times New Roman" w:cs="Times New Roman"/>
        </w:rPr>
        <w:t xml:space="preserve"> Increases in inventory accumulation by firms flood freight markets with increased demand. LTL rates respond to this increase in demand most quickly, thereby correcting to the trends set by inventory rapidly</w:t>
      </w:r>
      <w:r>
        <w:rPr>
          <w:rFonts w:ascii="Times New Roman" w:hAnsi="Times New Roman" w:cs="Times New Roman"/>
        </w:rPr>
        <w:t>.</w:t>
      </w:r>
    </w:p>
    <w:p w14:paraId="0E9C6162" w14:textId="60D1300B" w:rsidR="00534B4B" w:rsidRPr="00AD1338" w:rsidRDefault="00534B4B" w:rsidP="00AE2667">
      <w:pPr>
        <w:spacing w:line="360" w:lineRule="auto"/>
        <w:ind w:firstLine="720"/>
        <w:jc w:val="both"/>
        <w:rPr>
          <w:rFonts w:ascii="Times New Roman" w:hAnsi="Times New Roman" w:cs="Times New Roman"/>
        </w:rPr>
      </w:pPr>
      <w:r>
        <w:rPr>
          <w:rFonts w:ascii="Times New Roman" w:hAnsi="Times New Roman" w:cs="Times New Roman"/>
        </w:rPr>
        <w:t>Our study provides valuable insights to scholars regarding the transportation-inventory tradeoff. Specifically, we highlight the need to study this tradeoff at a granular level, with future research at the firm-level highly encouraged to identify further nuances in this relationship. Practitioners within the LTL segment can leverage our findings to predict future price trends in their segment. Carriers operating in multiple segments would be well advised to hold off on hasty capacity decisions based on inventory accumulation trends, as their prices are unlikely to change immediately upon firms altering their freight needs.</w:t>
      </w:r>
    </w:p>
    <w:p w14:paraId="6DA404C2" w14:textId="60979CDD" w:rsidR="003D4A18" w:rsidRPr="000C3710" w:rsidRDefault="001966C3" w:rsidP="000C3710">
      <w:pPr>
        <w:spacing w:line="360" w:lineRule="auto"/>
        <w:jc w:val="both"/>
        <w:rPr>
          <w:rFonts w:ascii="Times New Roman" w:hAnsi="Times New Roman" w:cs="Times New Roman"/>
        </w:rPr>
      </w:pPr>
      <w:r w:rsidRPr="000C3710">
        <w:rPr>
          <w:rFonts w:ascii="Times New Roman" w:hAnsi="Times New Roman" w:cs="Times New Roman"/>
          <w:b/>
          <w:bCs/>
        </w:rPr>
        <w:t xml:space="preserve">Data &amp; </w:t>
      </w:r>
      <w:r w:rsidR="00BF754F" w:rsidRPr="000C3710">
        <w:rPr>
          <w:rFonts w:ascii="Times New Roman" w:hAnsi="Times New Roman" w:cs="Times New Roman"/>
          <w:b/>
          <w:bCs/>
        </w:rPr>
        <w:t>Methodology</w:t>
      </w:r>
      <w:r w:rsidR="003D4A18" w:rsidRPr="000C3710">
        <w:rPr>
          <w:rFonts w:ascii="Times New Roman" w:hAnsi="Times New Roman" w:cs="Times New Roman"/>
        </w:rPr>
        <w:t xml:space="preserve"> </w:t>
      </w:r>
    </w:p>
    <w:p w14:paraId="02A9D08B" w14:textId="2C495350" w:rsidR="00A355D4" w:rsidRDefault="00CF474E" w:rsidP="000C3710">
      <w:pPr>
        <w:spacing w:line="360" w:lineRule="auto"/>
        <w:ind w:firstLine="720"/>
        <w:jc w:val="both"/>
        <w:rPr>
          <w:rFonts w:ascii="Times New Roman" w:hAnsi="Times New Roman" w:cs="Times New Roman"/>
        </w:rPr>
      </w:pPr>
      <w:r w:rsidRPr="00CF474E">
        <w:rPr>
          <w:rFonts w:ascii="Times New Roman" w:hAnsi="Times New Roman" w:cs="Times New Roman"/>
        </w:rPr>
        <w:t>Our dataset spans from 200</w:t>
      </w:r>
      <w:r w:rsidR="00726BBF">
        <w:rPr>
          <w:rFonts w:ascii="Times New Roman" w:hAnsi="Times New Roman" w:cs="Times New Roman"/>
        </w:rPr>
        <w:t>4</w:t>
      </w:r>
      <w:r w:rsidRPr="00CF474E">
        <w:rPr>
          <w:rFonts w:ascii="Times New Roman" w:hAnsi="Times New Roman" w:cs="Times New Roman"/>
        </w:rPr>
        <w:t xml:space="preserve"> to 2024, a period that encompasses several significant disruptions to U.S. freight markets, including the 2008 financial crisis, the 2018 spot rate hike (Miller et al., 2021), the pandemic-era shipping crisis (Miller et al., 2022), and the subsequent freight market volatility (Miller et al., 2024; Miller et al., 2026).</w:t>
      </w:r>
      <w:r w:rsidR="00CD4C67" w:rsidRPr="000C3710">
        <w:rPr>
          <w:rFonts w:ascii="Times New Roman" w:hAnsi="Times New Roman" w:cs="Times New Roman"/>
        </w:rPr>
        <w:t xml:space="preserve"> For transportation costs, we </w:t>
      </w:r>
      <w:r w:rsidR="0005117E">
        <w:rPr>
          <w:rFonts w:ascii="Times New Roman" w:hAnsi="Times New Roman" w:cs="Times New Roman"/>
        </w:rPr>
        <w:t xml:space="preserve">utilize </w:t>
      </w:r>
      <w:r w:rsidR="00CD4C67" w:rsidRPr="000C3710">
        <w:rPr>
          <w:rFonts w:ascii="Times New Roman" w:hAnsi="Times New Roman" w:cs="Times New Roman"/>
        </w:rPr>
        <w:t>PPI data for long-distance truckload (TL), long-distance less-than-truckload (LTL), scheduled air freight</w:t>
      </w:r>
      <w:r w:rsidR="00F81AA4">
        <w:rPr>
          <w:rFonts w:ascii="Times New Roman" w:hAnsi="Times New Roman" w:cs="Times New Roman"/>
        </w:rPr>
        <w:t xml:space="preserve"> (AF)</w:t>
      </w:r>
      <w:r w:rsidR="00CD4C67" w:rsidRPr="000C3710">
        <w:rPr>
          <w:rFonts w:ascii="Times New Roman" w:hAnsi="Times New Roman" w:cs="Times New Roman"/>
        </w:rPr>
        <w:t xml:space="preserve">, rail </w:t>
      </w:r>
      <w:r w:rsidR="00F81AA4">
        <w:rPr>
          <w:rFonts w:ascii="Times New Roman" w:hAnsi="Times New Roman" w:cs="Times New Roman"/>
        </w:rPr>
        <w:t>freight</w:t>
      </w:r>
      <w:r w:rsidR="00CD4C67" w:rsidRPr="000C3710">
        <w:rPr>
          <w:rFonts w:ascii="Times New Roman" w:hAnsi="Times New Roman" w:cs="Times New Roman"/>
        </w:rPr>
        <w:t xml:space="preserve"> (</w:t>
      </w:r>
      <w:r w:rsidR="00F81AA4">
        <w:rPr>
          <w:rFonts w:ascii="Times New Roman" w:hAnsi="Times New Roman" w:cs="Times New Roman"/>
        </w:rPr>
        <w:t>RF</w:t>
      </w:r>
      <w:r w:rsidR="00CD4C67" w:rsidRPr="000C3710">
        <w:rPr>
          <w:rFonts w:ascii="Times New Roman" w:hAnsi="Times New Roman" w:cs="Times New Roman"/>
        </w:rPr>
        <w:t>)</w:t>
      </w:r>
      <w:r w:rsidR="00726BBF">
        <w:rPr>
          <w:rFonts w:ascii="Times New Roman" w:hAnsi="Times New Roman" w:cs="Times New Roman"/>
        </w:rPr>
        <w:t>, inland water freight (I</w:t>
      </w:r>
      <w:r w:rsidR="00CB51D3">
        <w:rPr>
          <w:rFonts w:ascii="Times New Roman" w:hAnsi="Times New Roman" w:cs="Times New Roman"/>
        </w:rPr>
        <w:t>W</w:t>
      </w:r>
      <w:r w:rsidR="00726BBF">
        <w:rPr>
          <w:rFonts w:ascii="Times New Roman" w:hAnsi="Times New Roman" w:cs="Times New Roman"/>
        </w:rPr>
        <w:t xml:space="preserve">F) </w:t>
      </w:r>
      <w:r w:rsidR="00CD4C67" w:rsidRPr="000C3710">
        <w:rPr>
          <w:rFonts w:ascii="Times New Roman" w:hAnsi="Times New Roman" w:cs="Times New Roman"/>
        </w:rPr>
        <w:t>and deep-sea freight (</w:t>
      </w:r>
      <w:r w:rsidR="00F81AA4">
        <w:rPr>
          <w:rFonts w:ascii="Times New Roman" w:hAnsi="Times New Roman" w:cs="Times New Roman"/>
        </w:rPr>
        <w:t>SF</w:t>
      </w:r>
      <w:r w:rsidR="00CD4C67" w:rsidRPr="000C3710">
        <w:rPr>
          <w:rFonts w:ascii="Times New Roman" w:hAnsi="Times New Roman" w:cs="Times New Roman"/>
        </w:rPr>
        <w:t>)</w:t>
      </w:r>
      <w:r w:rsidR="0005117E">
        <w:rPr>
          <w:rFonts w:ascii="Times New Roman" w:hAnsi="Times New Roman" w:cs="Times New Roman"/>
        </w:rPr>
        <w:t xml:space="preserve">, all of which have been leveraged in prior transportation research (e.g. Miller, 2019; </w:t>
      </w:r>
      <w:r w:rsidR="0005117E" w:rsidRPr="0005117E">
        <w:rPr>
          <w:rFonts w:ascii="Times New Roman" w:hAnsi="Times New Roman" w:cs="Times New Roman"/>
        </w:rPr>
        <w:t>Shackman et al., 2021</w:t>
      </w:r>
      <w:r w:rsidR="0005117E">
        <w:rPr>
          <w:rFonts w:ascii="Times New Roman" w:hAnsi="Times New Roman" w:cs="Times New Roman"/>
        </w:rPr>
        <w:t xml:space="preserve">). </w:t>
      </w:r>
      <w:r w:rsidR="00CD4C67" w:rsidRPr="000C3710">
        <w:rPr>
          <w:rFonts w:ascii="Times New Roman" w:hAnsi="Times New Roman" w:cs="Times New Roman"/>
        </w:rPr>
        <w:t xml:space="preserve"> </w:t>
      </w:r>
      <w:r w:rsidR="00A81625" w:rsidRPr="00A81625">
        <w:rPr>
          <w:rFonts w:ascii="Times New Roman" w:hAnsi="Times New Roman" w:cs="Times New Roman"/>
        </w:rPr>
        <w:lastRenderedPageBreak/>
        <w:t>On the inventory side, we use the Census Bureau's Monthly Trade and Industry Survey (MTIS) estimate of total business inventories, which measures the dollar value of goods held by manufacturers, wholesalers, and retailers</w:t>
      </w:r>
      <w:r w:rsidR="00CD4C67" w:rsidRPr="000C3710">
        <w:rPr>
          <w:rFonts w:ascii="Times New Roman" w:hAnsi="Times New Roman" w:cs="Times New Roman"/>
        </w:rPr>
        <w:t>.</w:t>
      </w:r>
      <w:r w:rsidR="00546703">
        <w:rPr>
          <w:rFonts w:ascii="Times New Roman" w:hAnsi="Times New Roman" w:cs="Times New Roman"/>
        </w:rPr>
        <w:t xml:space="preserve"> </w:t>
      </w:r>
      <w:r w:rsidR="00CD4C67" w:rsidRPr="000C3710">
        <w:rPr>
          <w:rFonts w:ascii="Times New Roman" w:hAnsi="Times New Roman" w:cs="Times New Roman"/>
        </w:rPr>
        <w:t xml:space="preserve">All series are transformed </w:t>
      </w:r>
      <w:r w:rsidR="006B37B7" w:rsidRPr="000C3710">
        <w:rPr>
          <w:rFonts w:ascii="Times New Roman" w:hAnsi="Times New Roman" w:cs="Times New Roman"/>
        </w:rPr>
        <w:t>into</w:t>
      </w:r>
      <w:r w:rsidR="00CD4C67" w:rsidRPr="000C3710">
        <w:rPr>
          <w:rFonts w:ascii="Times New Roman" w:hAnsi="Times New Roman" w:cs="Times New Roman"/>
        </w:rPr>
        <w:t xml:space="preserve"> natural logs prior to analysis</w:t>
      </w:r>
      <w:r w:rsidR="00C845D1">
        <w:rPr>
          <w:rFonts w:ascii="Times New Roman" w:hAnsi="Times New Roman" w:cs="Times New Roman"/>
        </w:rPr>
        <w:t xml:space="preserve"> and deflated using the </w:t>
      </w:r>
      <w:r w:rsidR="001B0B28">
        <w:rPr>
          <w:rFonts w:ascii="Times New Roman" w:hAnsi="Times New Roman" w:cs="Times New Roman"/>
        </w:rPr>
        <w:t>PPI for All Commodities</w:t>
      </w:r>
      <w:r w:rsidR="00CD4C67" w:rsidRPr="000C3710">
        <w:rPr>
          <w:rFonts w:ascii="Times New Roman" w:hAnsi="Times New Roman" w:cs="Times New Roman"/>
        </w:rPr>
        <w:t xml:space="preserve">, </w:t>
      </w:r>
      <w:r w:rsidR="006B37B7">
        <w:rPr>
          <w:rFonts w:ascii="Times New Roman" w:hAnsi="Times New Roman" w:cs="Times New Roman"/>
        </w:rPr>
        <w:t>as is standard practice in cointegration testing</w:t>
      </w:r>
      <w:r w:rsidR="00CD4C67" w:rsidRPr="000C3710">
        <w:rPr>
          <w:rFonts w:ascii="Times New Roman" w:hAnsi="Times New Roman" w:cs="Times New Roman"/>
        </w:rPr>
        <w:t xml:space="preserve"> (e.g. Maysami &amp; Koh, 2000; </w:t>
      </w:r>
      <w:r w:rsidR="00C845D1">
        <w:rPr>
          <w:rFonts w:ascii="Times New Roman" w:hAnsi="Times New Roman" w:cs="Times New Roman"/>
        </w:rPr>
        <w:t xml:space="preserve">Swanson et al., 2016; </w:t>
      </w:r>
      <w:r w:rsidR="00CD4C67" w:rsidRPr="000C3710">
        <w:rPr>
          <w:rFonts w:ascii="Times New Roman" w:hAnsi="Times New Roman" w:cs="Times New Roman"/>
        </w:rPr>
        <w:t>Shackman et al., 2021)</w:t>
      </w:r>
      <w:r w:rsidR="00A355D4" w:rsidRPr="000C3710">
        <w:rPr>
          <w:rFonts w:ascii="Times New Roman" w:hAnsi="Times New Roman" w:cs="Times New Roman"/>
        </w:rPr>
        <w:t>.</w:t>
      </w:r>
      <w:r w:rsidR="00CD4C67" w:rsidRPr="000C3710">
        <w:rPr>
          <w:rFonts w:ascii="Times New Roman" w:hAnsi="Times New Roman" w:cs="Times New Roma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956"/>
        <w:gridCol w:w="1023"/>
        <w:gridCol w:w="1243"/>
        <w:gridCol w:w="1283"/>
      </w:tblGrid>
      <w:tr w:rsidR="00F807F1" w:rsidRPr="00774698" w14:paraId="36807B58" w14:textId="77777777" w:rsidTr="008F3F61">
        <w:trPr>
          <w:jc w:val="center"/>
        </w:trPr>
        <w:tc>
          <w:tcPr>
            <w:tcW w:w="0" w:type="auto"/>
            <w:gridSpan w:val="5"/>
            <w:tcBorders>
              <w:bottom w:val="single" w:sz="4" w:space="0" w:color="auto"/>
            </w:tcBorders>
          </w:tcPr>
          <w:p w14:paraId="33289247" w14:textId="5920FE9F" w:rsidR="00F807F1" w:rsidRPr="00774698" w:rsidRDefault="00F807F1" w:rsidP="008F3F61">
            <w:pPr>
              <w:spacing w:line="480" w:lineRule="auto"/>
              <w:jc w:val="center"/>
              <w:rPr>
                <w:rFonts w:ascii="Times New Roman" w:eastAsia="Times New Roman" w:hAnsi="Times New Roman" w:cs="Times New Roman"/>
                <w:sz w:val="24"/>
                <w:szCs w:val="24"/>
              </w:rPr>
            </w:pPr>
            <w:r w:rsidRPr="00774698">
              <w:rPr>
                <w:rFonts w:ascii="Times New Roman" w:eastAsia="Times New Roman" w:hAnsi="Times New Roman" w:cs="Times New Roman"/>
                <w:sz w:val="24"/>
                <w:szCs w:val="24"/>
              </w:rPr>
              <w:t>Table 1. Descriptive Statistics</w:t>
            </w:r>
          </w:p>
        </w:tc>
      </w:tr>
      <w:tr w:rsidR="00F807F1" w:rsidRPr="00774698" w14:paraId="25BF1DF1" w14:textId="77777777" w:rsidTr="008F3F61">
        <w:trPr>
          <w:jc w:val="center"/>
        </w:trPr>
        <w:tc>
          <w:tcPr>
            <w:tcW w:w="0" w:type="auto"/>
            <w:tcBorders>
              <w:top w:val="single" w:sz="4" w:space="0" w:color="auto"/>
              <w:bottom w:val="single" w:sz="4" w:space="0" w:color="auto"/>
            </w:tcBorders>
          </w:tcPr>
          <w:p w14:paraId="7A08B8BB" w14:textId="77777777" w:rsidR="00F807F1" w:rsidRPr="00774698" w:rsidRDefault="00F807F1" w:rsidP="008F3F61">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Variable</w:t>
            </w:r>
          </w:p>
        </w:tc>
        <w:tc>
          <w:tcPr>
            <w:tcW w:w="0" w:type="auto"/>
            <w:tcBorders>
              <w:top w:val="single" w:sz="4" w:space="0" w:color="auto"/>
              <w:bottom w:val="single" w:sz="4" w:space="0" w:color="auto"/>
            </w:tcBorders>
          </w:tcPr>
          <w:p w14:paraId="3BA3CF00" w14:textId="77777777" w:rsidR="00F807F1" w:rsidRPr="00774698" w:rsidRDefault="00F807F1" w:rsidP="008F3F61">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Mean</w:t>
            </w:r>
          </w:p>
        </w:tc>
        <w:tc>
          <w:tcPr>
            <w:tcW w:w="0" w:type="auto"/>
            <w:tcBorders>
              <w:top w:val="single" w:sz="4" w:space="0" w:color="auto"/>
              <w:bottom w:val="single" w:sz="4" w:space="0" w:color="auto"/>
            </w:tcBorders>
          </w:tcPr>
          <w:p w14:paraId="16491097" w14:textId="77777777" w:rsidR="00F807F1" w:rsidRPr="00774698" w:rsidRDefault="00F807F1" w:rsidP="008F3F61">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Std Dev</w:t>
            </w:r>
          </w:p>
        </w:tc>
        <w:tc>
          <w:tcPr>
            <w:tcW w:w="0" w:type="auto"/>
            <w:tcBorders>
              <w:top w:val="single" w:sz="4" w:space="0" w:color="auto"/>
              <w:bottom w:val="single" w:sz="4" w:space="0" w:color="auto"/>
            </w:tcBorders>
          </w:tcPr>
          <w:p w14:paraId="0C0E1F51" w14:textId="77777777" w:rsidR="00F807F1" w:rsidRPr="00774698" w:rsidRDefault="00F807F1" w:rsidP="008F3F61">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Minimum</w:t>
            </w:r>
          </w:p>
        </w:tc>
        <w:tc>
          <w:tcPr>
            <w:tcW w:w="0" w:type="auto"/>
            <w:tcBorders>
              <w:top w:val="single" w:sz="4" w:space="0" w:color="auto"/>
              <w:bottom w:val="single" w:sz="4" w:space="0" w:color="auto"/>
            </w:tcBorders>
          </w:tcPr>
          <w:p w14:paraId="14D40B38" w14:textId="77777777" w:rsidR="00F807F1" w:rsidRPr="00774698" w:rsidRDefault="00F807F1" w:rsidP="008F3F61">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Maximum</w:t>
            </w:r>
          </w:p>
        </w:tc>
      </w:tr>
      <w:tr w:rsidR="009D7951" w:rsidRPr="00774698" w14:paraId="7DD4316C" w14:textId="77777777" w:rsidTr="008F3F61">
        <w:trPr>
          <w:jc w:val="center"/>
        </w:trPr>
        <w:tc>
          <w:tcPr>
            <w:tcW w:w="0" w:type="auto"/>
            <w:tcBorders>
              <w:top w:val="single" w:sz="4" w:space="0" w:color="auto"/>
            </w:tcBorders>
          </w:tcPr>
          <w:p w14:paraId="2FEC5BAD" w14:textId="2CFA1AB1" w:rsidR="009D7951" w:rsidRPr="00774698" w:rsidRDefault="009D7951"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TL</w:t>
            </w:r>
          </w:p>
        </w:tc>
        <w:tc>
          <w:tcPr>
            <w:tcW w:w="0" w:type="auto"/>
            <w:tcBorders>
              <w:top w:val="single" w:sz="4" w:space="0" w:color="auto"/>
            </w:tcBorders>
          </w:tcPr>
          <w:p w14:paraId="1985CD5F" w14:textId="7D4F3121"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B3980">
              <w:rPr>
                <w:rFonts w:ascii="Times New Roman" w:eastAsia="Times New Roman" w:hAnsi="Times New Roman" w:cs="Times New Roman"/>
                <w:sz w:val="24"/>
                <w:szCs w:val="24"/>
              </w:rPr>
              <w:t>0.</w:t>
            </w:r>
            <w:r>
              <w:rPr>
                <w:rFonts w:ascii="Times New Roman" w:eastAsia="Times New Roman" w:hAnsi="Times New Roman" w:cs="Times New Roman"/>
                <w:sz w:val="24"/>
                <w:szCs w:val="24"/>
              </w:rPr>
              <w:t>4039</w:t>
            </w:r>
          </w:p>
        </w:tc>
        <w:tc>
          <w:tcPr>
            <w:tcW w:w="0" w:type="auto"/>
            <w:tcBorders>
              <w:top w:val="single" w:sz="4" w:space="0" w:color="auto"/>
            </w:tcBorders>
          </w:tcPr>
          <w:p w14:paraId="3D2480F7" w14:textId="006EE563"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0.0647</w:t>
            </w:r>
          </w:p>
        </w:tc>
        <w:tc>
          <w:tcPr>
            <w:tcW w:w="0" w:type="auto"/>
            <w:tcBorders>
              <w:top w:val="single" w:sz="4" w:space="0" w:color="auto"/>
            </w:tcBorders>
          </w:tcPr>
          <w:p w14:paraId="3C745A33" w14:textId="61C4CB60"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-0.5228</w:t>
            </w:r>
          </w:p>
        </w:tc>
        <w:tc>
          <w:tcPr>
            <w:tcW w:w="0" w:type="auto"/>
            <w:tcBorders>
              <w:top w:val="single" w:sz="4" w:space="0" w:color="auto"/>
            </w:tcBorders>
          </w:tcPr>
          <w:p w14:paraId="56B52188" w14:textId="4A69FD30"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-0.1944</w:t>
            </w:r>
          </w:p>
        </w:tc>
      </w:tr>
      <w:tr w:rsidR="009D7951" w:rsidRPr="00774698" w14:paraId="163B3FB7" w14:textId="77777777" w:rsidTr="008F3F61">
        <w:trPr>
          <w:jc w:val="center"/>
        </w:trPr>
        <w:tc>
          <w:tcPr>
            <w:tcW w:w="0" w:type="auto"/>
          </w:tcPr>
          <w:p w14:paraId="50790654" w14:textId="0B403548" w:rsidR="009D7951" w:rsidRPr="00774698" w:rsidRDefault="009D7951"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LTL</w:t>
            </w:r>
          </w:p>
        </w:tc>
        <w:tc>
          <w:tcPr>
            <w:tcW w:w="0" w:type="auto"/>
          </w:tcPr>
          <w:p w14:paraId="4DF4955D" w14:textId="2620F0AD"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-0.2243</w:t>
            </w:r>
          </w:p>
        </w:tc>
        <w:tc>
          <w:tcPr>
            <w:tcW w:w="0" w:type="auto"/>
          </w:tcPr>
          <w:p w14:paraId="3B12EA40" w14:textId="00391FCC"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0.1292</w:t>
            </w:r>
          </w:p>
        </w:tc>
        <w:tc>
          <w:tcPr>
            <w:tcW w:w="0" w:type="auto"/>
          </w:tcPr>
          <w:p w14:paraId="5FB16E71" w14:textId="784BBE93"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-0.4411</w:t>
            </w:r>
          </w:p>
        </w:tc>
        <w:tc>
          <w:tcPr>
            <w:tcW w:w="0" w:type="auto"/>
          </w:tcPr>
          <w:p w14:paraId="34E6D30C" w14:textId="263C1F2E"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0.0155</w:t>
            </w:r>
          </w:p>
        </w:tc>
      </w:tr>
      <w:tr w:rsidR="00F807F1" w:rsidRPr="00774698" w14:paraId="2BB239E3" w14:textId="77777777" w:rsidTr="008F3F61">
        <w:trPr>
          <w:jc w:val="center"/>
        </w:trPr>
        <w:tc>
          <w:tcPr>
            <w:tcW w:w="0" w:type="auto"/>
          </w:tcPr>
          <w:p w14:paraId="7DBB8C56" w14:textId="77777777" w:rsidR="00F807F1" w:rsidRPr="00774698" w:rsidRDefault="00F807F1"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w:t>
            </w:r>
          </w:p>
        </w:tc>
        <w:tc>
          <w:tcPr>
            <w:tcW w:w="0" w:type="auto"/>
          </w:tcPr>
          <w:p w14:paraId="1F03B4E2" w14:textId="513DE8D4"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-0.1202</w:t>
            </w:r>
          </w:p>
        </w:tc>
        <w:tc>
          <w:tcPr>
            <w:tcW w:w="0" w:type="auto"/>
          </w:tcPr>
          <w:p w14:paraId="6C3EFC78" w14:textId="46F26558"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0.0733</w:t>
            </w:r>
          </w:p>
        </w:tc>
        <w:tc>
          <w:tcPr>
            <w:tcW w:w="0" w:type="auto"/>
          </w:tcPr>
          <w:p w14:paraId="4768748A" w14:textId="7CFEB080"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-0.2680</w:t>
            </w:r>
          </w:p>
        </w:tc>
        <w:tc>
          <w:tcPr>
            <w:tcW w:w="0" w:type="auto"/>
          </w:tcPr>
          <w:p w14:paraId="0D4BB02C" w14:textId="0AC32C37"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0.0692</w:t>
            </w:r>
          </w:p>
        </w:tc>
      </w:tr>
      <w:tr w:rsidR="009D7951" w:rsidRPr="00774698" w14:paraId="1424F387" w14:textId="77777777" w:rsidTr="008F3F61">
        <w:trPr>
          <w:jc w:val="center"/>
        </w:trPr>
        <w:tc>
          <w:tcPr>
            <w:tcW w:w="0" w:type="auto"/>
          </w:tcPr>
          <w:p w14:paraId="6F639241" w14:textId="77777777" w:rsidR="009D7951" w:rsidRPr="00774698" w:rsidRDefault="009D7951"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w:t>
            </w:r>
          </w:p>
        </w:tc>
        <w:tc>
          <w:tcPr>
            <w:tcW w:w="0" w:type="auto"/>
          </w:tcPr>
          <w:p w14:paraId="59EEAAD1" w14:textId="3E6CAD07"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-0.3259</w:t>
            </w:r>
          </w:p>
        </w:tc>
        <w:tc>
          <w:tcPr>
            <w:tcW w:w="0" w:type="auto"/>
          </w:tcPr>
          <w:p w14:paraId="341C00A6" w14:textId="372D32EE"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0.0788</w:t>
            </w:r>
          </w:p>
        </w:tc>
        <w:tc>
          <w:tcPr>
            <w:tcW w:w="0" w:type="auto"/>
          </w:tcPr>
          <w:p w14:paraId="3151A949" w14:textId="4CF7DB56"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-0.4915</w:t>
            </w:r>
          </w:p>
        </w:tc>
        <w:tc>
          <w:tcPr>
            <w:tcW w:w="0" w:type="auto"/>
          </w:tcPr>
          <w:p w14:paraId="24D82C37" w14:textId="3B427461"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-0.1619</w:t>
            </w:r>
          </w:p>
        </w:tc>
      </w:tr>
      <w:tr w:rsidR="00F807F1" w:rsidRPr="00774698" w14:paraId="2FB7152F" w14:textId="77777777" w:rsidTr="008F3F61">
        <w:trPr>
          <w:jc w:val="center"/>
        </w:trPr>
        <w:tc>
          <w:tcPr>
            <w:tcW w:w="0" w:type="auto"/>
          </w:tcPr>
          <w:p w14:paraId="689F48B3" w14:textId="77777777" w:rsidR="00F807F1" w:rsidRPr="00774698" w:rsidRDefault="00F807F1"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IWF</w:t>
            </w:r>
          </w:p>
        </w:tc>
        <w:tc>
          <w:tcPr>
            <w:tcW w:w="0" w:type="auto"/>
          </w:tcPr>
          <w:p w14:paraId="41B4DFE2" w14:textId="6FA98365"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0.0833</w:t>
            </w:r>
          </w:p>
        </w:tc>
        <w:tc>
          <w:tcPr>
            <w:tcW w:w="0" w:type="auto"/>
          </w:tcPr>
          <w:p w14:paraId="52FDA74F" w14:textId="7E5D5653"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0.1047</w:t>
            </w:r>
          </w:p>
        </w:tc>
        <w:tc>
          <w:tcPr>
            <w:tcW w:w="0" w:type="auto"/>
          </w:tcPr>
          <w:p w14:paraId="6808631B" w14:textId="0005D3D3"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-0.1589</w:t>
            </w:r>
          </w:p>
        </w:tc>
        <w:tc>
          <w:tcPr>
            <w:tcW w:w="0" w:type="auto"/>
          </w:tcPr>
          <w:p w14:paraId="24CEE1BF" w14:textId="2D1B2A28"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0.3129</w:t>
            </w:r>
          </w:p>
        </w:tc>
      </w:tr>
      <w:tr w:rsidR="00F807F1" w:rsidRPr="00774698" w14:paraId="0E296FCC" w14:textId="77777777" w:rsidTr="008F3F61">
        <w:trPr>
          <w:jc w:val="center"/>
        </w:trPr>
        <w:tc>
          <w:tcPr>
            <w:tcW w:w="0" w:type="auto"/>
          </w:tcPr>
          <w:p w14:paraId="1DB479C7" w14:textId="77777777" w:rsidR="00F807F1" w:rsidRPr="00774698" w:rsidRDefault="00F807F1"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SF</w:t>
            </w:r>
          </w:p>
        </w:tc>
        <w:tc>
          <w:tcPr>
            <w:tcW w:w="0" w:type="auto"/>
          </w:tcPr>
          <w:p w14:paraId="2FB088A2" w14:textId="607AD240"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0.3374</w:t>
            </w:r>
          </w:p>
        </w:tc>
        <w:tc>
          <w:tcPr>
            <w:tcW w:w="0" w:type="auto"/>
          </w:tcPr>
          <w:p w14:paraId="22767151" w14:textId="6D0ADEC9"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0.0974</w:t>
            </w:r>
          </w:p>
        </w:tc>
        <w:tc>
          <w:tcPr>
            <w:tcW w:w="0" w:type="auto"/>
          </w:tcPr>
          <w:p w14:paraId="34E5E853" w14:textId="5C2A409A"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0.1764</w:t>
            </w:r>
          </w:p>
        </w:tc>
        <w:tc>
          <w:tcPr>
            <w:tcW w:w="0" w:type="auto"/>
          </w:tcPr>
          <w:p w14:paraId="730E7EF5" w14:textId="0E21A4BE" w:rsidR="00F807F1" w:rsidRPr="00774698" w:rsidRDefault="00C95852" w:rsidP="008F3F6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0.5573</w:t>
            </w:r>
          </w:p>
        </w:tc>
      </w:tr>
      <w:tr w:rsidR="009D7951" w:rsidRPr="00774698" w14:paraId="6AE860A9" w14:textId="77777777" w:rsidTr="00D50437">
        <w:trPr>
          <w:jc w:val="center"/>
        </w:trPr>
        <w:tc>
          <w:tcPr>
            <w:tcW w:w="0" w:type="auto"/>
            <w:tcBorders>
              <w:bottom w:val="single" w:sz="4" w:space="0" w:color="auto"/>
            </w:tcBorders>
          </w:tcPr>
          <w:p w14:paraId="66B2A313" w14:textId="0746494B" w:rsidR="009D7951" w:rsidRPr="00774698" w:rsidRDefault="009D7951"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w:t>
            </w:r>
          </w:p>
        </w:tc>
        <w:tc>
          <w:tcPr>
            <w:tcW w:w="0" w:type="auto"/>
            <w:tcBorders>
              <w:bottom w:val="single" w:sz="4" w:space="0" w:color="auto"/>
            </w:tcBorders>
          </w:tcPr>
          <w:p w14:paraId="6E26F20E" w14:textId="33DBE7BC"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9.079</w:t>
            </w:r>
          </w:p>
        </w:tc>
        <w:tc>
          <w:tcPr>
            <w:tcW w:w="0" w:type="auto"/>
            <w:tcBorders>
              <w:bottom w:val="single" w:sz="4" w:space="0" w:color="auto"/>
            </w:tcBorders>
          </w:tcPr>
          <w:p w14:paraId="67210157" w14:textId="54A5C6FB"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0.1069</w:t>
            </w:r>
          </w:p>
        </w:tc>
        <w:tc>
          <w:tcPr>
            <w:tcW w:w="0" w:type="auto"/>
            <w:tcBorders>
              <w:bottom w:val="single" w:sz="4" w:space="0" w:color="auto"/>
            </w:tcBorders>
          </w:tcPr>
          <w:p w14:paraId="783D42FD" w14:textId="1EDEA2D0"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8.8790</w:t>
            </w:r>
          </w:p>
        </w:tc>
        <w:tc>
          <w:tcPr>
            <w:tcW w:w="0" w:type="auto"/>
            <w:tcBorders>
              <w:bottom w:val="single" w:sz="4" w:space="0" w:color="auto"/>
            </w:tcBorders>
          </w:tcPr>
          <w:p w14:paraId="613FE2B0" w14:textId="0C08DF4A" w:rsidR="009D7951" w:rsidRPr="00774698" w:rsidRDefault="00C95852" w:rsidP="009D795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9.2770</w:t>
            </w:r>
          </w:p>
        </w:tc>
      </w:tr>
      <w:tr w:rsidR="00D50437" w:rsidRPr="00774698" w14:paraId="5BA0DCD6" w14:textId="77777777" w:rsidTr="001043B3">
        <w:trPr>
          <w:jc w:val="center"/>
        </w:trPr>
        <w:tc>
          <w:tcPr>
            <w:tcW w:w="0" w:type="auto"/>
            <w:gridSpan w:val="5"/>
            <w:tcBorders>
              <w:top w:val="single" w:sz="4" w:space="0" w:color="auto"/>
            </w:tcBorders>
          </w:tcPr>
          <w:p w14:paraId="066E96EE" w14:textId="4A6404D0" w:rsidR="00D50437" w:rsidRPr="00D50437" w:rsidRDefault="00D50437" w:rsidP="008F3F61">
            <w:pPr>
              <w:spacing w:line="48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 =</w:t>
            </w:r>
            <w:r w:rsidR="00AA4CC7">
              <w:rPr>
                <w:rFonts w:ascii="Times New Roman" w:eastAsia="Times New Roman" w:hAnsi="Times New Roman" w:cs="Times New Roman"/>
                <w:i/>
                <w:iCs/>
                <w:sz w:val="20"/>
                <w:szCs w:val="20"/>
              </w:rPr>
              <w:t xml:space="preserve"> 25</w:t>
            </w:r>
            <w:r w:rsidR="00D402C9">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w:t>
            </w:r>
            <w:r w:rsidR="00C95852">
              <w:rPr>
                <w:rFonts w:ascii="Times New Roman" w:eastAsia="Times New Roman" w:hAnsi="Times New Roman" w:cs="Times New Roman"/>
                <w:i/>
                <w:iCs/>
                <w:sz w:val="20"/>
                <w:szCs w:val="20"/>
              </w:rPr>
              <w:t xml:space="preserve"> All series have been logged.</w:t>
            </w:r>
          </w:p>
        </w:tc>
      </w:tr>
    </w:tbl>
    <w:p w14:paraId="40AFBCA3" w14:textId="6AD304B0" w:rsidR="00BF754F" w:rsidRPr="000C3710" w:rsidRDefault="008520F2" w:rsidP="000C3710">
      <w:pPr>
        <w:spacing w:line="360" w:lineRule="auto"/>
        <w:ind w:firstLine="720"/>
        <w:jc w:val="both"/>
        <w:rPr>
          <w:rFonts w:ascii="Times New Roman" w:hAnsi="Times New Roman" w:cs="Times New Roman"/>
        </w:rPr>
      </w:pPr>
      <w:r w:rsidRPr="000C3710">
        <w:rPr>
          <w:rFonts w:ascii="Times New Roman" w:hAnsi="Times New Roman" w:cs="Times New Roman"/>
        </w:rPr>
        <w:t>Following</w:t>
      </w:r>
      <w:r w:rsidR="00BF754F" w:rsidRPr="000C3710">
        <w:rPr>
          <w:rFonts w:ascii="Times New Roman" w:hAnsi="Times New Roman" w:cs="Times New Roman"/>
        </w:rPr>
        <w:t xml:space="preserve"> Swanson et al. (2016), we leverage a series of vector-error correction models (VECMs) to investigate the relationship between </w:t>
      </w:r>
      <w:r w:rsidRPr="000C3710">
        <w:rPr>
          <w:rFonts w:ascii="Times New Roman" w:hAnsi="Times New Roman" w:cs="Times New Roman"/>
        </w:rPr>
        <w:t>transportation costs for each freight mode</w:t>
      </w:r>
      <w:r w:rsidR="00BF754F" w:rsidRPr="000C3710">
        <w:rPr>
          <w:rFonts w:ascii="Times New Roman" w:hAnsi="Times New Roman" w:cs="Times New Roman"/>
        </w:rPr>
        <w:t xml:space="preserve"> and </w:t>
      </w:r>
      <w:r w:rsidRPr="000C3710">
        <w:rPr>
          <w:rFonts w:ascii="Times New Roman" w:hAnsi="Times New Roman" w:cs="Times New Roman"/>
        </w:rPr>
        <w:t>aggregate inventory</w:t>
      </w:r>
      <w:r w:rsidR="00BF754F" w:rsidRPr="000C3710">
        <w:rPr>
          <w:rFonts w:ascii="Times New Roman" w:hAnsi="Times New Roman" w:cs="Times New Roman"/>
        </w:rPr>
        <w:t>.</w:t>
      </w:r>
      <w:r w:rsidR="007A2017" w:rsidRPr="000C3710">
        <w:rPr>
          <w:rFonts w:ascii="Times New Roman" w:hAnsi="Times New Roman" w:cs="Times New Roman"/>
        </w:rPr>
        <w:t xml:space="preserve"> These models are well suited to studying macroeconomic variables that maintain a long-run relationship with one another</w:t>
      </w:r>
      <w:r w:rsidR="00F807F1">
        <w:rPr>
          <w:rFonts w:ascii="Times New Roman" w:hAnsi="Times New Roman" w:cs="Times New Roman"/>
        </w:rPr>
        <w:t xml:space="preserve"> </w:t>
      </w:r>
      <w:r w:rsidR="00F807F1" w:rsidRPr="000C3710">
        <w:rPr>
          <w:rFonts w:ascii="Times New Roman" w:hAnsi="Times New Roman" w:cs="Times New Roman"/>
        </w:rPr>
        <w:t>(e.g. Shackman et al. 2021)</w:t>
      </w:r>
      <w:r w:rsidR="007A2017" w:rsidRPr="000C3710">
        <w:rPr>
          <w:rFonts w:ascii="Times New Roman" w:hAnsi="Times New Roman" w:cs="Times New Roman"/>
        </w:rPr>
        <w:t>.</w:t>
      </w:r>
      <w:r w:rsidR="00F807F1">
        <w:rPr>
          <w:rFonts w:ascii="Times New Roman" w:hAnsi="Times New Roman" w:cs="Times New Roman"/>
        </w:rPr>
        <w:t xml:space="preserve"> </w:t>
      </w:r>
    </w:p>
    <w:p w14:paraId="6C8FF32F" w14:textId="365921E3" w:rsidR="008520F2" w:rsidRPr="000C3710" w:rsidRDefault="008520F2" w:rsidP="00F31E1A">
      <w:pPr>
        <w:spacing w:line="360" w:lineRule="auto"/>
        <w:ind w:firstLine="720"/>
        <w:jc w:val="both"/>
        <w:rPr>
          <w:rFonts w:ascii="Times New Roman" w:hAnsi="Times New Roman" w:cs="Times New Roman"/>
        </w:rPr>
      </w:pPr>
      <w:r w:rsidRPr="000C3710">
        <w:rPr>
          <w:rFonts w:ascii="Times New Roman" w:hAnsi="Times New Roman" w:cs="Times New Roman"/>
        </w:rPr>
        <w:t>Our estimation proceeds in three steps. First, we test each series for a unit root using the Augmented Dickey-Fuller (ADF) test.</w:t>
      </w:r>
      <w:r w:rsidR="00F31E1A">
        <w:rPr>
          <w:rFonts w:ascii="Times New Roman" w:hAnsi="Times New Roman" w:cs="Times New Roman"/>
        </w:rPr>
        <w:t xml:space="preserve"> All series </w:t>
      </w:r>
      <w:r w:rsidR="002D72D4" w:rsidRPr="002D72D4">
        <w:rPr>
          <w:rFonts w:ascii="Times New Roman" w:hAnsi="Times New Roman" w:cs="Times New Roman"/>
        </w:rPr>
        <w:t xml:space="preserve">are non-stationary in levels </w:t>
      </w:r>
      <w:r w:rsidR="00E90BC6">
        <w:rPr>
          <w:rFonts w:ascii="Times New Roman" w:hAnsi="Times New Roman" w:cs="Times New Roman"/>
        </w:rPr>
        <w:t xml:space="preserve">(I(1)) </w:t>
      </w:r>
      <w:r w:rsidR="002D72D4" w:rsidRPr="002D72D4">
        <w:rPr>
          <w:rFonts w:ascii="Times New Roman" w:hAnsi="Times New Roman" w:cs="Times New Roman"/>
        </w:rPr>
        <w:t>and stationary in first differences</w:t>
      </w:r>
      <w:r w:rsidR="00E90BC6">
        <w:rPr>
          <w:rFonts w:ascii="Times New Roman" w:hAnsi="Times New Roman" w:cs="Times New Roman"/>
        </w:rPr>
        <w:t xml:space="preserve"> (I(0))</w:t>
      </w:r>
      <w:r w:rsidR="00F31E1A">
        <w:rPr>
          <w:rFonts w:ascii="Times New Roman" w:hAnsi="Times New Roman" w:cs="Times New Roman"/>
        </w:rPr>
        <w:t xml:space="preserve">, making them suitable for a VECM (Dickey &amp; Fuller, 1979). Second, we test </w:t>
      </w:r>
      <w:r w:rsidR="00705CE3">
        <w:rPr>
          <w:rFonts w:ascii="Times New Roman" w:hAnsi="Times New Roman" w:cs="Times New Roman"/>
        </w:rPr>
        <w:t xml:space="preserve">the </w:t>
      </w:r>
      <w:r w:rsidR="00F31E1A">
        <w:rPr>
          <w:rFonts w:ascii="Times New Roman" w:hAnsi="Times New Roman" w:cs="Times New Roman"/>
        </w:rPr>
        <w:t xml:space="preserve">cointegration between each individual transportation series and aggregate business </w:t>
      </w:r>
      <w:r w:rsidR="00F31E1A">
        <w:rPr>
          <w:rFonts w:ascii="Times New Roman" w:hAnsi="Times New Roman" w:cs="Times New Roman"/>
        </w:rPr>
        <w:lastRenderedPageBreak/>
        <w:t>inventories</w:t>
      </w:r>
      <w:r w:rsidR="00322C2A">
        <w:rPr>
          <w:rStyle w:val="FootnoteReference"/>
          <w:rFonts w:ascii="Times New Roman" w:hAnsi="Times New Roman" w:cs="Times New Roman"/>
        </w:rPr>
        <w:footnoteReference w:id="1"/>
      </w:r>
      <w:r w:rsidR="00F31E1A">
        <w:rPr>
          <w:rFonts w:ascii="Times New Roman" w:hAnsi="Times New Roman" w:cs="Times New Roman"/>
        </w:rPr>
        <w:t xml:space="preserve">. </w:t>
      </w:r>
      <w:r w:rsidR="005820EC" w:rsidRPr="000C3710">
        <w:rPr>
          <w:rFonts w:ascii="Times New Roman" w:hAnsi="Times New Roman" w:cs="Times New Roman"/>
        </w:rPr>
        <w:t>Third, for the pairs we identify to be cointegrated, we estimate a VECM with the general form:</w:t>
      </w:r>
    </w:p>
    <w:p w14:paraId="7471F5ED" w14:textId="52F46BC0" w:rsidR="005820EC" w:rsidRPr="000C3710" w:rsidRDefault="005820EC" w:rsidP="000C3710">
      <w:pPr>
        <w:spacing w:line="360" w:lineRule="auto"/>
        <w:ind w:firstLine="720"/>
        <w:jc w:val="both"/>
        <w:rPr>
          <w:rFonts w:ascii="Times New Roman" w:eastAsiaTheme="minorEastAsia" w:hAnsi="Times New Roman" w:cs="Times New Roman"/>
        </w:rPr>
      </w:pPr>
      <m:oMathPara>
        <m:oMath>
          <m:r>
            <m:rPr>
              <m:sty m:val="p"/>
            </m:rPr>
            <w:rPr>
              <w:rFonts w:ascii="Cambria Math" w:eastAsia="Times New Roman" w:hAnsi="Cambria Math" w:cs="Times New Roman"/>
            </w:rPr>
            <m:t>Δ</m:t>
          </m:r>
          <m:sSub>
            <m:sSubPr>
              <m:ctrlPr>
                <w:rPr>
                  <w:rFonts w:ascii="Cambria Math" w:eastAsia="Times New Roman" w:hAnsi="Cambria Math" w:cs="Times New Roman"/>
                  <w:bCs/>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=α</m:t>
          </m:r>
          <m:sSup>
            <m:sSupPr>
              <m:ctrlPr>
                <w:rPr>
                  <w:rFonts w:ascii="Cambria Math" w:eastAsia="Times New Roman" w:hAnsi="Cambria Math" w:cs="Times New Roman"/>
                  <w:bCs/>
                  <w:i/>
                </w:rPr>
              </m:ctrlPr>
            </m:sSupPr>
            <m:e>
              <m:r>
                <w:rPr>
                  <w:rFonts w:ascii="Cambria Math" w:eastAsia="Times New Roman" w:hAnsi="Cambria Math" w:cs="Times New Roman"/>
                </w:rPr>
                <m:t>β</m:t>
              </m:r>
            </m:e>
            <m:sup>
              <m:r>
                <w:rPr>
                  <w:rFonts w:ascii="Cambria Math" w:eastAsia="Times New Roman" w:hAnsi="Cambria Math" w:cs="Times New Roman"/>
                </w:rPr>
                <m:t>'</m:t>
              </m:r>
            </m:sup>
          </m:sSup>
          <m:sSub>
            <m:sSubPr>
              <m:ctrlPr>
                <w:rPr>
                  <w:rFonts w:ascii="Cambria Math" w:eastAsia="Times New Roman" w:hAnsi="Cambria Math" w:cs="Times New Roman"/>
                  <w:bCs/>
                  <w:i/>
                </w:rPr>
              </m:ctrlPr>
            </m:sSubPr>
            <m:e>
              <m:r>
                <w:rPr>
                  <w:rFonts w:ascii="Cambria Math" w:eastAsia="Times New Roman" w:hAnsi="Cambria Math" w:cs="Times New Roman"/>
                </w:rPr>
                <m:t>Y</m:t>
              </m:r>
            </m:e>
            <m:sub>
              <m:r>
                <w:rPr>
                  <w:rFonts w:ascii="Cambria Math" w:eastAsia="Times New Roman" w:hAnsi="Cambria Math" w:cs="Times New Roman"/>
                </w:rPr>
                <m:t>t-1</m:t>
              </m:r>
            </m:sub>
          </m:sSub>
          <m:r>
            <w:rPr>
              <w:rFonts w:ascii="Cambria Math" w:eastAsia="Times New Roman" w:hAnsi="Cambria Math" w:cs="Times New Roman"/>
            </w:rPr>
            <m:t>+</m:t>
          </m:r>
          <m:nary>
            <m:naryPr>
              <m:chr m:val="∑"/>
              <m:limLoc m:val="undOvr"/>
              <m:ctrlPr>
                <w:rPr>
                  <w:rFonts w:ascii="Cambria Math" w:eastAsia="Times New Roman" w:hAnsi="Cambria Math" w:cs="Times New Roman"/>
                  <w:bCs/>
                  <w:i/>
                </w:rPr>
              </m:ctrlPr>
            </m:naryPr>
            <m:sub>
              <m:r>
                <w:rPr>
                  <w:rFonts w:ascii="Cambria Math" w:eastAsia="Times New Roman" w:hAnsi="Cambria Math" w:cs="Times New Roman"/>
                </w:rPr>
                <m:t>i=1</m:t>
              </m:r>
            </m:sub>
            <m:sup>
              <m:r>
                <w:rPr>
                  <w:rFonts w:ascii="Cambria Math" w:eastAsia="Times New Roman" w:hAnsi="Cambria Math" w:cs="Times New Roman"/>
                </w:rPr>
                <m:t>p-1</m:t>
              </m:r>
            </m:sup>
            <m:e>
              <m:sSub>
                <m:sSubPr>
                  <m:ctrlPr>
                    <w:rPr>
                      <w:rFonts w:ascii="Cambria Math" w:eastAsia="Times New Roman" w:hAnsi="Cambria Math" w:cs="Times New Roman"/>
                      <w:bCs/>
                      <w:i/>
                    </w:rPr>
                  </m:ctrlPr>
                </m:sSubPr>
                <m:e>
                  <m:r>
                    <m:rPr>
                      <m:sty m:val="p"/>
                    </m:rPr>
                    <w:rPr>
                      <w:rFonts w:ascii="Cambria Math" w:eastAsia="Times New Roman" w:hAnsi="Cambria Math" w:cs="Times New Roman"/>
                    </w:rPr>
                    <m:t>Γ</m:t>
                  </m:r>
                </m:e>
                <m:sub>
                  <m:r>
                    <w:rPr>
                      <w:rFonts w:ascii="Cambria Math" w:eastAsia="Times New Roman" w:hAnsi="Cambria Math" w:cs="Times New Roman"/>
                    </w:rPr>
                    <m:t>i</m:t>
                  </m:r>
                </m:sub>
              </m:sSub>
              <m:r>
                <m:rPr>
                  <m:sty m:val="p"/>
                </m:rPr>
                <w:rPr>
                  <w:rFonts w:ascii="Cambria Math" w:eastAsia="Times New Roman" w:hAnsi="Cambria Math" w:cs="Times New Roman"/>
                </w:rPr>
                <m:t>Δ</m:t>
              </m:r>
              <m:sSub>
                <m:sSubPr>
                  <m:ctrlPr>
                    <w:rPr>
                      <w:rFonts w:ascii="Cambria Math" w:eastAsia="Times New Roman" w:hAnsi="Cambria Math" w:cs="Times New Roman"/>
                      <w:bCs/>
                      <w:i/>
                    </w:rPr>
                  </m:ctrlPr>
                </m:sSubPr>
                <m:e>
                  <m:r>
                    <w:rPr>
                      <w:rFonts w:ascii="Cambria Math" w:eastAsia="Times New Roman" w:hAnsi="Cambria Math" w:cs="Times New Roman"/>
                    </w:rPr>
                    <m:t>Y</m:t>
                  </m:r>
                </m:e>
                <m:sub>
                  <m:r>
                    <w:rPr>
                      <w:rFonts w:ascii="Cambria Math" w:eastAsia="Times New Roman" w:hAnsi="Cambria Math" w:cs="Times New Roman"/>
                    </w:rPr>
                    <m:t>t-i</m:t>
                  </m:r>
                </m:sub>
              </m:sSub>
            </m:e>
          </m:nary>
          <m:r>
            <w:rPr>
              <w:rFonts w:ascii="Cambria Math" w:eastAsia="Times New Roman" w:hAnsi="Cambria Math" w:cs="Times New Roman"/>
            </w:rPr>
            <m:t>+</m:t>
          </m:r>
          <m:sSub>
            <m:sSubPr>
              <m:ctrlPr>
                <w:rPr>
                  <w:rFonts w:ascii="Cambria Math" w:eastAsia="Times New Roman" w:hAnsi="Cambria Math" w:cs="Times New Roman"/>
                  <w:bCs/>
                  <w:i/>
                </w:rPr>
              </m:ctrlPr>
            </m:sSubPr>
            <m:e>
              <m:r>
                <w:rPr>
                  <w:rFonts w:ascii="Cambria Math" w:eastAsia="Times New Roman" w:hAnsi="Cambria Math" w:cs="Times New Roman"/>
                </w:rPr>
                <m:t>ε</m:t>
              </m:r>
            </m:e>
            <m:sub>
              <m:r>
                <w:rPr>
                  <w:rFonts w:ascii="Cambria Math" w:eastAsia="Times New Roman" w:hAnsi="Cambria Math" w:cs="Times New Roman"/>
                </w:rPr>
                <m:t>i</m:t>
              </m:r>
            </m:sub>
          </m:sSub>
          <m:r>
            <w:rPr>
              <w:rFonts w:ascii="Cambria Math" w:eastAsia="Times New Roman" w:hAnsi="Cambria Math" w:cs="Times New Roman"/>
            </w:rPr>
            <m:t xml:space="preserve"> (1)</m:t>
          </m:r>
        </m:oMath>
      </m:oMathPara>
    </w:p>
    <w:p w14:paraId="371028BC" w14:textId="2C73A93E" w:rsidR="00064E52" w:rsidRPr="00026CD6" w:rsidRDefault="005820EC" w:rsidP="00026CD6">
      <w:pPr>
        <w:spacing w:line="360" w:lineRule="auto"/>
        <w:ind w:firstLine="720"/>
        <w:jc w:val="both"/>
        <w:rPr>
          <w:rFonts w:ascii="Times New Roman" w:eastAsiaTheme="minorEastAsia" w:hAnsi="Times New Roman" w:cs="Times New Roman"/>
        </w:rPr>
      </w:pPr>
      <w:r w:rsidRPr="000C3710">
        <w:rPr>
          <w:rFonts w:ascii="Times New Roman" w:eastAsia="Times New Roman" w:hAnsi="Times New Roman" w:cs="Times New Roman"/>
          <w:bCs/>
        </w:rPr>
        <w:t xml:space="preserve">In this equation, </w:t>
      </w:r>
      <m:oMath>
        <m:sSub>
          <m:sSubPr>
            <m:ctrlPr>
              <w:rPr>
                <w:rFonts w:ascii="Cambria Math" w:eastAsia="Times New Roman" w:hAnsi="Cambria Math" w:cs="Times New Roman"/>
                <w:bCs/>
                <w:i/>
              </w:rPr>
            </m:ctrlPr>
          </m:sSubPr>
          <m:e>
            <m:r>
              <w:rPr>
                <w:rFonts w:ascii="Cambria Math" w:eastAsia="Times New Roman" w:hAnsi="Cambria Math" w:cs="Times New Roman"/>
              </w:rPr>
              <m:t>Y</m:t>
            </m:r>
          </m:e>
          <m:sub>
            <m:r>
              <w:rPr>
                <w:rFonts w:ascii="Cambria Math" w:eastAsia="Times New Roman" w:hAnsi="Cambria Math" w:cs="Times New Roman"/>
              </w:rPr>
              <m:t>t</m:t>
            </m:r>
          </m:sub>
        </m:sSub>
      </m:oMath>
      <w:r w:rsidRPr="000C3710">
        <w:rPr>
          <w:rFonts w:ascii="Times New Roman" w:eastAsia="Times New Roman" w:hAnsi="Times New Roman" w:cs="Times New Roman"/>
          <w:bCs/>
        </w:rPr>
        <w:t xml:space="preserve"> is the vector of first differences, </w:t>
      </w:r>
      <m:oMath>
        <m:r>
          <w:rPr>
            <w:rFonts w:ascii="Cambria Math" w:eastAsia="Times New Roman" w:hAnsi="Cambria Math" w:cs="Times New Roman"/>
          </w:rPr>
          <m:t xml:space="preserve">α </m:t>
        </m:r>
      </m:oMath>
      <w:r w:rsidRPr="000C3710">
        <w:rPr>
          <w:rFonts w:ascii="Times New Roman" w:eastAsia="Times New Roman" w:hAnsi="Times New Roman" w:cs="Times New Roman"/>
          <w:bCs/>
        </w:rPr>
        <w:t xml:space="preserve">represents the vector of adjustment coefficients, </w:t>
      </w:r>
      <m:oMath>
        <m:sSup>
          <m:sSupPr>
            <m:ctrlPr>
              <w:rPr>
                <w:rFonts w:ascii="Cambria Math" w:eastAsia="Times New Roman" w:hAnsi="Cambria Math" w:cs="Times New Roman"/>
                <w:bCs/>
                <w:i/>
              </w:rPr>
            </m:ctrlPr>
          </m:sSupPr>
          <m:e>
            <m:r>
              <w:rPr>
                <w:rFonts w:ascii="Cambria Math" w:eastAsia="Times New Roman" w:hAnsi="Cambria Math" w:cs="Times New Roman"/>
              </w:rPr>
              <m:t>β</m:t>
            </m:r>
          </m:e>
          <m:sup>
            <m:r>
              <w:rPr>
                <w:rFonts w:ascii="Cambria Math" w:eastAsia="Times New Roman" w:hAnsi="Cambria Math" w:cs="Times New Roman"/>
              </w:rPr>
              <m:t>'</m:t>
            </m:r>
          </m:sup>
        </m:sSup>
        <m:sSub>
          <m:sSubPr>
            <m:ctrlPr>
              <w:rPr>
                <w:rFonts w:ascii="Cambria Math" w:eastAsia="Times New Roman" w:hAnsi="Cambria Math" w:cs="Times New Roman"/>
                <w:bCs/>
                <w:i/>
              </w:rPr>
            </m:ctrlPr>
          </m:sSubPr>
          <m:e>
            <m:r>
              <w:rPr>
                <w:rFonts w:ascii="Cambria Math" w:eastAsia="Times New Roman" w:hAnsi="Cambria Math" w:cs="Times New Roman"/>
              </w:rPr>
              <m:t>Y</m:t>
            </m:r>
          </m:e>
          <m:sub>
            <m:r>
              <w:rPr>
                <w:rFonts w:ascii="Cambria Math" w:eastAsia="Times New Roman" w:hAnsi="Cambria Math" w:cs="Times New Roman"/>
              </w:rPr>
              <m:t>t-1</m:t>
            </m:r>
          </m:sub>
        </m:sSub>
      </m:oMath>
      <w:r w:rsidRPr="000C3710">
        <w:rPr>
          <w:rFonts w:ascii="Times New Roman" w:eastAsia="Times New Roman" w:hAnsi="Times New Roman" w:cs="Times New Roman"/>
          <w:bCs/>
        </w:rPr>
        <w:t xml:space="preserve">  is the deviation from long-run equilibrium, </w:t>
      </w:r>
      <m:oMath>
        <m:sSub>
          <m:sSubPr>
            <m:ctrlPr>
              <w:rPr>
                <w:rFonts w:ascii="Cambria Math" w:eastAsia="Times New Roman" w:hAnsi="Cambria Math" w:cs="Times New Roman"/>
                <w:bCs/>
                <w:i/>
              </w:rPr>
            </m:ctrlPr>
          </m:sSubPr>
          <m:e>
            <m:r>
              <m:rPr>
                <m:sty m:val="p"/>
              </m:rPr>
              <w:rPr>
                <w:rFonts w:ascii="Cambria Math" w:eastAsia="Times New Roman" w:hAnsi="Cambria Math" w:cs="Times New Roman"/>
              </w:rPr>
              <m:t>Γ</m:t>
            </m:r>
          </m:e>
          <m:sub>
            <m:r>
              <w:rPr>
                <w:rFonts w:ascii="Cambria Math" w:eastAsia="Times New Roman" w:hAnsi="Cambria Math" w:cs="Times New Roman"/>
              </w:rPr>
              <m:t>i</m:t>
            </m:r>
          </m:sub>
        </m:sSub>
      </m:oMath>
      <w:r w:rsidRPr="000C3710">
        <w:rPr>
          <w:rFonts w:ascii="Times New Roman" w:eastAsia="Times New Roman" w:hAnsi="Times New Roman" w:cs="Times New Roman"/>
          <w:bCs/>
        </w:rPr>
        <w:t xml:space="preserve"> represents a coefficient matrix of lagged differences and </w:t>
      </w:r>
      <m:oMath>
        <m:sSub>
          <m:sSubPr>
            <m:ctrlPr>
              <w:rPr>
                <w:rFonts w:ascii="Cambria Math" w:eastAsia="Times New Roman" w:hAnsi="Cambria Math" w:cs="Times New Roman"/>
                <w:bCs/>
                <w:i/>
              </w:rPr>
            </m:ctrlPr>
          </m:sSubPr>
          <m:e>
            <m:r>
              <w:rPr>
                <w:rFonts w:ascii="Cambria Math" w:eastAsia="Times New Roman" w:hAnsi="Cambria Math" w:cs="Times New Roman"/>
              </w:rPr>
              <m:t>ε</m:t>
            </m:r>
          </m:e>
          <m:sub>
            <m:r>
              <w:rPr>
                <w:rFonts w:ascii="Cambria Math" w:eastAsia="Times New Roman" w:hAnsi="Cambria Math" w:cs="Times New Roman"/>
              </w:rPr>
              <m:t>i</m:t>
            </m:r>
          </m:sub>
        </m:sSub>
        <m:r>
          <w:rPr>
            <w:rFonts w:ascii="Cambria Math" w:eastAsia="Times New Roman" w:hAnsi="Cambria Math" w:cs="Times New Roman"/>
          </w:rPr>
          <m:t xml:space="preserve"> </m:t>
        </m:r>
      </m:oMath>
      <w:r w:rsidRPr="000C3710">
        <w:rPr>
          <w:rFonts w:ascii="Times New Roman" w:eastAsia="Times New Roman" w:hAnsi="Times New Roman" w:cs="Times New Roman"/>
          <w:bCs/>
        </w:rPr>
        <w:t>represents the error terms (Pfaff, 2008)</w:t>
      </w:r>
      <w:r w:rsidR="00BD46E0">
        <w:rPr>
          <w:rFonts w:ascii="Times New Roman" w:eastAsia="Times New Roman" w:hAnsi="Times New Roman" w:cs="Times New Roman"/>
          <w:bCs/>
        </w:rPr>
        <w:t>.</w:t>
      </w:r>
      <w:r w:rsidR="00561015">
        <w:rPr>
          <w:rFonts w:ascii="Times New Roman" w:eastAsia="Times New Roman" w:hAnsi="Times New Roman" w:cs="Times New Roman"/>
          <w:bCs/>
        </w:rPr>
        <w:t xml:space="preserve"> </w:t>
      </w:r>
      <w:r w:rsidR="00561015" w:rsidRPr="00561015">
        <w:rPr>
          <w:rFonts w:ascii="Times New Roman" w:eastAsia="Times New Roman" w:hAnsi="Times New Roman" w:cs="Times New Roman"/>
          <w:bCs/>
        </w:rPr>
        <w:t>We assess the significance of each adjustment coefficient and conduct formal weak exogeneity tests (Johansen, 1995) to determine whether the transportation price, the inventory series, or both bear the adjustment burden. We verify inference reliability using the Ljung-Box test for residual autocorrelation in each equatio</w:t>
      </w:r>
      <w:r w:rsidR="00CA5F5E">
        <w:rPr>
          <w:rFonts w:ascii="Times New Roman" w:eastAsia="Times New Roman" w:hAnsi="Times New Roman" w:cs="Times New Roman"/>
          <w:bCs/>
        </w:rPr>
        <w:t>n.</w:t>
      </w:r>
    </w:p>
    <w:p w14:paraId="5F0E316C" w14:textId="36C823BF" w:rsidR="001966C3" w:rsidRDefault="001966C3" w:rsidP="000C3710">
      <w:pPr>
        <w:spacing w:line="360" w:lineRule="auto"/>
        <w:jc w:val="both"/>
        <w:rPr>
          <w:rFonts w:ascii="Times New Roman" w:hAnsi="Times New Roman" w:cs="Times New Roman"/>
          <w:b/>
          <w:bCs/>
        </w:rPr>
      </w:pPr>
      <w:r w:rsidRPr="000C3710">
        <w:rPr>
          <w:rFonts w:ascii="Times New Roman" w:hAnsi="Times New Roman" w:cs="Times New Roman"/>
          <w:b/>
          <w:bCs/>
        </w:rPr>
        <w:t>Results</w:t>
      </w:r>
    </w:p>
    <w:p w14:paraId="5148EA8A" w14:textId="5F823C60" w:rsidR="00F807F1" w:rsidRDefault="00895E09" w:rsidP="000C3710">
      <w:pPr>
        <w:spacing w:line="360" w:lineRule="auto"/>
        <w:jc w:val="both"/>
        <w:rPr>
          <w:rFonts w:ascii="Times New Roman" w:hAnsi="Times New Roman" w:cs="Times New Roman"/>
        </w:rPr>
      </w:pPr>
      <w:r>
        <w:rPr>
          <w:rFonts w:ascii="Times New Roman" w:hAnsi="Times New Roman" w:cs="Times New Roman"/>
        </w:rPr>
        <w:t xml:space="preserve">We test for cointegration with </w:t>
      </w:r>
      <w:r w:rsidR="00881708">
        <w:rPr>
          <w:rFonts w:ascii="Times New Roman" w:hAnsi="Times New Roman" w:cs="Times New Roman"/>
        </w:rPr>
        <w:t>six</w:t>
      </w:r>
      <w:r>
        <w:rPr>
          <w:rFonts w:ascii="Times New Roman" w:hAnsi="Times New Roman" w:cs="Times New Roman"/>
        </w:rPr>
        <w:t xml:space="preserve"> bivariate systems, each pairing one freight mode with aggregate inventories. Out of these systems, we only find LTL to be cointegrated with monthly business inventories (BI)</w:t>
      </w:r>
      <w:r w:rsidR="000D0E04">
        <w:rPr>
          <w:rFonts w:ascii="Times New Roman" w:hAnsi="Times New Roman" w:cs="Times New Roma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1137"/>
        <w:gridCol w:w="1608"/>
        <w:gridCol w:w="1608"/>
      </w:tblGrid>
      <w:tr w:rsidR="001414FC" w:rsidRPr="00774698" w14:paraId="17E53024" w14:textId="77777777" w:rsidTr="0002265E">
        <w:trPr>
          <w:jc w:val="center"/>
        </w:trPr>
        <w:tc>
          <w:tcPr>
            <w:tcW w:w="0" w:type="auto"/>
            <w:gridSpan w:val="4"/>
            <w:tcBorders>
              <w:bottom w:val="single" w:sz="4" w:space="0" w:color="auto"/>
            </w:tcBorders>
          </w:tcPr>
          <w:p w14:paraId="0BC822A1" w14:textId="06B7A996" w:rsidR="001414FC" w:rsidRPr="001414FC" w:rsidRDefault="001414FC" w:rsidP="008F3F61">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Table 2. </w:t>
            </w:r>
            <w:r w:rsidRPr="001414FC">
              <w:rPr>
                <w:rFonts w:ascii="Times New Roman" w:eastAsia="Times New Roman" w:hAnsi="Times New Roman" w:cs="Times New Roman"/>
              </w:rPr>
              <w:t>Johansen Cointegration Test Results</w:t>
            </w:r>
            <w:r>
              <w:rPr>
                <w:rFonts w:ascii="Times New Roman" w:eastAsia="Times New Roman" w:hAnsi="Times New Roman" w:cs="Times New Roman"/>
              </w:rPr>
              <w:t xml:space="preserve"> (LTL – BI)</w:t>
            </w:r>
          </w:p>
        </w:tc>
      </w:tr>
      <w:tr w:rsidR="00F807F1" w:rsidRPr="00774698" w14:paraId="6D92F698" w14:textId="77777777" w:rsidTr="008F3F61">
        <w:trPr>
          <w:jc w:val="center"/>
        </w:trPr>
        <w:tc>
          <w:tcPr>
            <w:tcW w:w="0" w:type="auto"/>
            <w:tcBorders>
              <w:top w:val="single" w:sz="4" w:space="0" w:color="auto"/>
              <w:bottom w:val="single" w:sz="4" w:space="0" w:color="auto"/>
            </w:tcBorders>
          </w:tcPr>
          <w:p w14:paraId="1E485025" w14:textId="77777777" w:rsidR="00F807F1" w:rsidRPr="00774698" w:rsidRDefault="00000000" w:rsidP="008F3F61">
            <w:pPr>
              <w:spacing w:line="480" w:lineRule="auto"/>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H</m:t>
                    </m:r>
                  </m:e>
                  <m:sub>
                    <m:r>
                      <m:rPr>
                        <m:sty m:val="bi"/>
                      </m:rPr>
                      <w:rPr>
                        <w:rFonts w:ascii="Cambria Math" w:eastAsia="Times New Roman" w:hAnsi="Cambria Math" w:cs="Times New Roman"/>
                        <w:sz w:val="24"/>
                        <w:szCs w:val="24"/>
                      </w:rPr>
                      <m:t>0</m:t>
                    </m:r>
                  </m:sub>
                </m:sSub>
              </m:oMath>
            </m:oMathPara>
          </w:p>
        </w:tc>
        <w:tc>
          <w:tcPr>
            <w:tcW w:w="0" w:type="auto"/>
            <w:tcBorders>
              <w:top w:val="single" w:sz="4" w:space="0" w:color="auto"/>
              <w:bottom w:val="single" w:sz="4" w:space="0" w:color="auto"/>
            </w:tcBorders>
          </w:tcPr>
          <w:p w14:paraId="57376F96" w14:textId="77777777" w:rsidR="00F807F1" w:rsidRPr="00774698" w:rsidRDefault="00000000" w:rsidP="008F3F61">
            <w:pPr>
              <w:spacing w:line="480" w:lineRule="auto"/>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λ</m:t>
                    </m:r>
                  </m:e>
                  <m:sub>
                    <m:r>
                      <m:rPr>
                        <m:sty m:val="bi"/>
                      </m:rPr>
                      <w:rPr>
                        <w:rFonts w:ascii="Cambria Math" w:eastAsia="Times New Roman" w:hAnsi="Cambria Math" w:cs="Times New Roman"/>
                        <w:sz w:val="24"/>
                        <w:szCs w:val="24"/>
                      </w:rPr>
                      <m:t>trace</m:t>
                    </m:r>
                  </m:sub>
                </m:sSub>
              </m:oMath>
            </m:oMathPara>
          </w:p>
        </w:tc>
        <w:tc>
          <w:tcPr>
            <w:tcW w:w="0" w:type="auto"/>
            <w:tcBorders>
              <w:top w:val="single" w:sz="4" w:space="0" w:color="auto"/>
              <w:bottom w:val="single" w:sz="4" w:space="0" w:color="auto"/>
            </w:tcBorders>
          </w:tcPr>
          <w:p w14:paraId="04C0A6A9" w14:textId="77777777" w:rsidR="00F807F1" w:rsidRPr="00774698" w:rsidRDefault="00000000" w:rsidP="008F3F61">
            <w:pPr>
              <w:spacing w:line="480" w:lineRule="auto"/>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CV</m:t>
                    </m:r>
                  </m:e>
                  <m:sub>
                    <m:r>
                      <m:rPr>
                        <m:sty m:val="bi"/>
                      </m:rPr>
                      <w:rPr>
                        <w:rFonts w:ascii="Cambria Math" w:eastAsia="Times New Roman" w:hAnsi="Cambria Math" w:cs="Times New Roman"/>
                        <w:sz w:val="24"/>
                        <w:szCs w:val="24"/>
                      </w:rPr>
                      <m:t>(trace, 5%)</m:t>
                    </m:r>
                  </m:sub>
                </m:sSub>
              </m:oMath>
            </m:oMathPara>
          </w:p>
        </w:tc>
        <w:tc>
          <w:tcPr>
            <w:tcW w:w="0" w:type="auto"/>
            <w:tcBorders>
              <w:top w:val="single" w:sz="4" w:space="0" w:color="auto"/>
              <w:bottom w:val="single" w:sz="4" w:space="0" w:color="auto"/>
            </w:tcBorders>
          </w:tcPr>
          <w:p w14:paraId="6DC65AB6" w14:textId="77777777" w:rsidR="00F807F1" w:rsidRPr="00774698" w:rsidRDefault="00000000" w:rsidP="008F3F61">
            <w:pPr>
              <w:spacing w:line="480" w:lineRule="auto"/>
              <w:jc w:val="center"/>
              <w:rPr>
                <w:rFonts w:ascii="Times New Roman" w:eastAsia="Times New Roman" w:hAnsi="Times New Roman" w:cs="Times New Roman"/>
                <w:b/>
                <w:bCs/>
                <w:sz w:val="24"/>
                <w:szCs w:val="24"/>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CV</m:t>
                    </m:r>
                  </m:e>
                  <m:sub>
                    <m:r>
                      <m:rPr>
                        <m:sty m:val="bi"/>
                      </m:rPr>
                      <w:rPr>
                        <w:rFonts w:ascii="Cambria Math" w:eastAsia="Times New Roman" w:hAnsi="Cambria Math" w:cs="Times New Roman"/>
                        <w:sz w:val="24"/>
                        <w:szCs w:val="24"/>
                      </w:rPr>
                      <m:t>(trace, 1%)</m:t>
                    </m:r>
                  </m:sub>
                </m:sSub>
              </m:oMath>
            </m:oMathPara>
          </w:p>
        </w:tc>
      </w:tr>
      <w:tr w:rsidR="00E165C6" w:rsidRPr="00774698" w14:paraId="58A05E46" w14:textId="77777777" w:rsidTr="008256E6">
        <w:trPr>
          <w:jc w:val="center"/>
        </w:trPr>
        <w:tc>
          <w:tcPr>
            <w:tcW w:w="0" w:type="auto"/>
            <w:tcBorders>
              <w:top w:val="single" w:sz="4" w:space="0" w:color="auto"/>
            </w:tcBorders>
          </w:tcPr>
          <w:p w14:paraId="3A0B1670" w14:textId="77777777" w:rsidR="00E165C6" w:rsidRPr="00774698" w:rsidRDefault="00E165C6" w:rsidP="00E165C6">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r=0</m:t>
                </m:r>
              </m:oMath>
            </m:oMathPara>
          </w:p>
        </w:tc>
        <w:tc>
          <w:tcPr>
            <w:tcW w:w="0" w:type="auto"/>
            <w:tcBorders>
              <w:top w:val="single" w:sz="4" w:space="0" w:color="auto"/>
            </w:tcBorders>
          </w:tcPr>
          <w:p w14:paraId="56688BD8" w14:textId="214979CC" w:rsidR="00E165C6" w:rsidRPr="00E165C6" w:rsidRDefault="00E165C6" w:rsidP="00E165C6">
            <w:pPr>
              <w:spacing w:line="48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30.64</w:t>
            </w:r>
            <w:r>
              <w:rPr>
                <w:rFonts w:ascii="Times New Roman" w:eastAsia="Times New Roman" w:hAnsi="Times New Roman" w:cs="Times New Roman"/>
                <w:sz w:val="24"/>
                <w:szCs w:val="24"/>
                <w:vertAlign w:val="superscript"/>
              </w:rPr>
              <w:t>***</w:t>
            </w:r>
          </w:p>
        </w:tc>
        <w:tc>
          <w:tcPr>
            <w:tcW w:w="0" w:type="auto"/>
            <w:tcBorders>
              <w:top w:val="single" w:sz="4" w:space="0" w:color="auto"/>
            </w:tcBorders>
          </w:tcPr>
          <w:p w14:paraId="03C9D06A" w14:textId="7802BD5C" w:rsidR="00E165C6" w:rsidRPr="00774698" w:rsidRDefault="00E165C6" w:rsidP="00E165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25.32</w:t>
            </w:r>
          </w:p>
        </w:tc>
        <w:tc>
          <w:tcPr>
            <w:tcW w:w="0" w:type="auto"/>
            <w:tcBorders>
              <w:top w:val="single" w:sz="4" w:space="0" w:color="auto"/>
            </w:tcBorders>
          </w:tcPr>
          <w:p w14:paraId="704D180B" w14:textId="2EC7487F" w:rsidR="00E165C6" w:rsidRPr="00774698" w:rsidRDefault="00E165C6" w:rsidP="00E165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30.45</w:t>
            </w:r>
          </w:p>
        </w:tc>
      </w:tr>
      <w:tr w:rsidR="00E165C6" w:rsidRPr="00774698" w14:paraId="7110E120" w14:textId="77777777" w:rsidTr="008256E6">
        <w:trPr>
          <w:jc w:val="center"/>
        </w:trPr>
        <w:tc>
          <w:tcPr>
            <w:tcW w:w="0" w:type="auto"/>
            <w:tcBorders>
              <w:bottom w:val="single" w:sz="4" w:space="0" w:color="auto"/>
            </w:tcBorders>
          </w:tcPr>
          <w:p w14:paraId="1B4D7C13" w14:textId="77777777" w:rsidR="00E165C6" w:rsidRPr="00774698" w:rsidRDefault="00E165C6" w:rsidP="00E165C6">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r≤1</m:t>
                </m:r>
              </m:oMath>
            </m:oMathPara>
          </w:p>
        </w:tc>
        <w:tc>
          <w:tcPr>
            <w:tcW w:w="0" w:type="auto"/>
            <w:tcBorders>
              <w:bottom w:val="single" w:sz="4" w:space="0" w:color="auto"/>
            </w:tcBorders>
          </w:tcPr>
          <w:p w14:paraId="069D93D0" w14:textId="3424D2EF" w:rsidR="00E165C6" w:rsidRPr="00774698" w:rsidRDefault="00E165C6" w:rsidP="00E165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7.39</w:t>
            </w:r>
          </w:p>
        </w:tc>
        <w:tc>
          <w:tcPr>
            <w:tcW w:w="0" w:type="auto"/>
            <w:tcBorders>
              <w:bottom w:val="single" w:sz="4" w:space="0" w:color="auto"/>
            </w:tcBorders>
          </w:tcPr>
          <w:p w14:paraId="663C3ACC" w14:textId="03BCEC33" w:rsidR="00E165C6" w:rsidRPr="00774698" w:rsidRDefault="00E165C6" w:rsidP="00E165C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12.25</w:t>
            </w:r>
          </w:p>
        </w:tc>
        <w:tc>
          <w:tcPr>
            <w:tcW w:w="0" w:type="auto"/>
            <w:tcBorders>
              <w:bottom w:val="single" w:sz="4" w:space="0" w:color="auto"/>
            </w:tcBorders>
          </w:tcPr>
          <w:p w14:paraId="2FA892B4" w14:textId="01BE1E0C" w:rsidR="00E165C6" w:rsidRPr="00774698" w:rsidRDefault="00E165C6" w:rsidP="00E165C6">
            <w:pPr>
              <w:spacing w:line="480" w:lineRule="auto"/>
              <w:jc w:val="center"/>
              <w:rPr>
                <w:rFonts w:ascii="Times New Roman" w:eastAsia="Times New Roman" w:hAnsi="Times New Roman" w:cs="Times New Roman"/>
                <w:sz w:val="24"/>
                <w:szCs w:val="24"/>
              </w:rPr>
            </w:pPr>
            <w:r w:rsidRPr="00774698">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r w:rsidRPr="00774698">
              <w:rPr>
                <w:rFonts w:ascii="Times New Roman" w:eastAsia="Times New Roman" w:hAnsi="Times New Roman" w:cs="Times New Roman"/>
                <w:sz w:val="24"/>
                <w:szCs w:val="24"/>
              </w:rPr>
              <w:t>.</w:t>
            </w:r>
            <w:r>
              <w:rPr>
                <w:rFonts w:ascii="Times New Roman" w:eastAsia="Times New Roman" w:hAnsi="Times New Roman" w:cs="Times New Roman"/>
                <w:sz w:val="24"/>
                <w:szCs w:val="24"/>
              </w:rPr>
              <w:t>26</w:t>
            </w:r>
          </w:p>
        </w:tc>
      </w:tr>
      <w:tr w:rsidR="008256E6" w:rsidRPr="00774698" w14:paraId="516EAFF3" w14:textId="77777777" w:rsidTr="00F8353C">
        <w:trPr>
          <w:jc w:val="center"/>
        </w:trPr>
        <w:tc>
          <w:tcPr>
            <w:tcW w:w="0" w:type="auto"/>
            <w:gridSpan w:val="4"/>
            <w:tcBorders>
              <w:top w:val="single" w:sz="4" w:space="0" w:color="auto"/>
            </w:tcBorders>
          </w:tcPr>
          <w:p w14:paraId="43FCB9BF" w14:textId="16B942E0" w:rsidR="008256E6" w:rsidRPr="008256E6" w:rsidRDefault="00D4398E" w:rsidP="008F3F61">
            <w:pPr>
              <w:spacing w:line="480" w:lineRule="auto"/>
              <w:jc w:val="center"/>
              <w:rPr>
                <w:rFonts w:ascii="Times New Roman" w:eastAsia="Times New Roman" w:hAnsi="Times New Roman" w:cs="Times New Roman"/>
                <w:i/>
                <w:iCs/>
                <w:sz w:val="18"/>
                <w:szCs w:val="18"/>
              </w:rPr>
            </w:pP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1%, </w:t>
            </w: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5%, </w:t>
            </w: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10%.</w:t>
            </w:r>
            <w:r w:rsidR="008256E6">
              <w:rPr>
                <w:rFonts w:ascii="Times New Roman" w:eastAsia="Times New Roman" w:hAnsi="Times New Roman" w:cs="Times New Roman"/>
                <w:i/>
                <w:iCs/>
                <w:sz w:val="18"/>
                <w:szCs w:val="18"/>
              </w:rPr>
              <w:t xml:space="preserve"> K=3, determined by H</w:t>
            </w:r>
            <w:r w:rsidR="00A63D5F">
              <w:rPr>
                <w:rFonts w:ascii="Times New Roman" w:eastAsia="Times New Roman" w:hAnsi="Times New Roman" w:cs="Times New Roman"/>
                <w:i/>
                <w:iCs/>
                <w:sz w:val="18"/>
                <w:szCs w:val="18"/>
              </w:rPr>
              <w:t>annan-Quinn</w:t>
            </w:r>
          </w:p>
        </w:tc>
      </w:tr>
    </w:tbl>
    <w:p w14:paraId="73ABBB96" w14:textId="31B9B91C" w:rsidR="00F807F1" w:rsidRDefault="00A63D5F" w:rsidP="00930F6E">
      <w:pPr>
        <w:spacing w:line="360" w:lineRule="auto"/>
        <w:ind w:firstLine="720"/>
        <w:jc w:val="both"/>
        <w:rPr>
          <w:rFonts w:ascii="Times New Roman" w:hAnsi="Times New Roman" w:cs="Times New Roman"/>
        </w:rPr>
      </w:pPr>
      <w:r>
        <w:rPr>
          <w:rFonts w:ascii="Times New Roman" w:hAnsi="Times New Roman" w:cs="Times New Roman"/>
        </w:rPr>
        <w:t>A lag selection of 3 through Hanna</w:t>
      </w:r>
      <w:r w:rsidR="00F829ED">
        <w:rPr>
          <w:rFonts w:ascii="Times New Roman" w:hAnsi="Times New Roman" w:cs="Times New Roman"/>
        </w:rPr>
        <w:t>n</w:t>
      </w:r>
      <w:r>
        <w:rPr>
          <w:rFonts w:ascii="Times New Roman" w:hAnsi="Times New Roman" w:cs="Times New Roman"/>
        </w:rPr>
        <w:t xml:space="preserve">-Quinn corresponds to a VECM (2). </w:t>
      </w:r>
      <w:r w:rsidR="00851873" w:rsidRPr="00851873">
        <w:rPr>
          <w:rFonts w:ascii="Times New Roman" w:hAnsi="Times New Roman" w:cs="Times New Roman"/>
        </w:rPr>
        <w:t xml:space="preserve">We estimate this model via maximum likelihood, </w:t>
      </w:r>
      <w:r w:rsidR="00851873">
        <w:rPr>
          <w:rFonts w:ascii="Times New Roman" w:hAnsi="Times New Roman" w:cs="Times New Roman"/>
        </w:rPr>
        <w:t xml:space="preserve">utilizing the </w:t>
      </w:r>
      <w:r w:rsidR="00851873">
        <w:rPr>
          <w:rFonts w:ascii="Times New Roman" w:hAnsi="Times New Roman" w:cs="Times New Roman"/>
          <w:i/>
          <w:iCs/>
        </w:rPr>
        <w:t xml:space="preserve">urca </w:t>
      </w:r>
      <w:r w:rsidR="00851873">
        <w:rPr>
          <w:rFonts w:ascii="Times New Roman" w:hAnsi="Times New Roman" w:cs="Times New Roman"/>
        </w:rPr>
        <w:t>package in R</w:t>
      </w:r>
      <w:r w:rsidR="00851873" w:rsidRPr="00851873">
        <w:rPr>
          <w:rFonts w:ascii="Times New Roman" w:hAnsi="Times New Roman" w:cs="Times New Roman"/>
        </w:rPr>
        <w:t xml:space="preserve">. We include a restricted linear trend, allowing for a deterministic trend in the long-run equilibrium between LTL </w:t>
      </w:r>
      <w:r w:rsidR="00851873">
        <w:rPr>
          <w:rFonts w:ascii="Times New Roman" w:hAnsi="Times New Roman" w:cs="Times New Roman"/>
        </w:rPr>
        <w:t xml:space="preserve">and BI </w:t>
      </w:r>
      <w:r w:rsidR="00851873">
        <w:rPr>
          <w:rFonts w:ascii="Times New Roman" w:hAnsi="Times New Roman" w:cs="Times New Roman"/>
        </w:rPr>
        <w:lastRenderedPageBreak/>
        <w:t xml:space="preserve">(Shackman et al., 2021). </w:t>
      </w:r>
      <w:r w:rsidR="003B2976">
        <w:rPr>
          <w:rFonts w:ascii="Times New Roman" w:hAnsi="Times New Roman" w:cs="Times New Roman"/>
        </w:rPr>
        <w:t xml:space="preserve">The cointegrating vector, normalized on LTL, and the </w:t>
      </w:r>
      <w:r w:rsidR="003B2976" w:rsidRPr="003B2976">
        <w:rPr>
          <w:rFonts w:ascii="Times New Roman" w:hAnsi="Times New Roman" w:cs="Times New Roman"/>
        </w:rPr>
        <w:t>associated adjustment coefficients</w:t>
      </w:r>
      <w:r w:rsidR="003B2976">
        <w:rPr>
          <w:rFonts w:ascii="Times New Roman" w:hAnsi="Times New Roman" w:cs="Times New Roman"/>
        </w:rPr>
        <w:t>, are both reported below.</w:t>
      </w:r>
    </w:p>
    <w:p w14:paraId="19444485" w14:textId="71B8551B" w:rsidR="00D4398E" w:rsidRPr="00A42C58" w:rsidRDefault="00DF4D31" w:rsidP="00A42C58">
      <w:pPr>
        <w:spacing w:line="480" w:lineRule="auto"/>
        <w:jc w:val="center"/>
        <w:rPr>
          <w:rFonts w:ascii="Times New Roman" w:eastAsia="Times New Roman" w:hAnsi="Times New Roman" w:cs="Times New Roman"/>
          <w:bCs/>
        </w:rPr>
      </w:pPr>
      <m:oMath>
        <m:sSubSup>
          <m:sSubSupPr>
            <m:ctrlPr>
              <w:rPr>
                <w:rFonts w:ascii="Cambria Math" w:eastAsia="Times New Roman" w:hAnsi="Cambria Math" w:cs="Times New Roman"/>
                <w:bCs/>
                <w:i/>
              </w:rPr>
            </m:ctrlPr>
          </m:sSubSupPr>
          <m:e>
            <m:r>
              <w:rPr>
                <w:rFonts w:ascii="Cambria Math" w:eastAsia="Times New Roman" w:hAnsi="Cambria Math" w:cs="Times New Roman"/>
              </w:rPr>
              <m:t>ECT</m:t>
            </m:r>
          </m:e>
          <m:sub>
            <m:r>
              <w:rPr>
                <w:rFonts w:ascii="Cambria Math" w:eastAsia="Times New Roman" w:hAnsi="Cambria Math" w:cs="Times New Roman"/>
              </w:rPr>
              <m:t>t-1</m:t>
            </m:r>
          </m:sub>
          <m:sup/>
        </m:sSubSup>
        <m:r>
          <w:rPr>
            <w:rFonts w:ascii="Cambria Math" w:eastAsia="Times New Roman" w:hAnsi="Cambria Math" w:cs="Times New Roman"/>
          </w:rPr>
          <m:t>=</m:t>
        </m:r>
        <m:sSub>
          <m:sSubPr>
            <m:ctrlPr>
              <w:rPr>
                <w:rFonts w:ascii="Cambria Math" w:eastAsia="Times New Roman" w:hAnsi="Cambria Math" w:cs="Times New Roman"/>
                <w:bCs/>
                <w:i/>
              </w:rPr>
            </m:ctrlPr>
          </m:sSubPr>
          <m:e>
            <m:r>
              <w:rPr>
                <w:rFonts w:ascii="Cambria Math" w:eastAsia="Times New Roman" w:hAnsi="Cambria Math" w:cs="Times New Roman"/>
              </w:rPr>
              <m:t>LTL</m:t>
            </m:r>
          </m:e>
          <m:sub>
            <m:r>
              <w:rPr>
                <w:rFonts w:ascii="Cambria Math" w:eastAsia="Times New Roman" w:hAnsi="Cambria Math" w:cs="Times New Roman"/>
              </w:rPr>
              <m:t>t-1</m:t>
            </m:r>
          </m:sub>
        </m:sSub>
        <m:r>
          <w:rPr>
            <w:rFonts w:ascii="Cambria Math" w:eastAsia="Times New Roman" w:hAnsi="Cambria Math" w:cs="Times New Roman"/>
          </w:rPr>
          <m:t>-</m:t>
        </m:r>
        <m:r>
          <w:rPr>
            <w:rFonts w:ascii="Cambria Math" w:eastAsia="Times New Roman" w:hAnsi="Cambria Math" w:cs="Times New Roman"/>
          </w:rPr>
          <m:t>0.770</m:t>
        </m:r>
        <m:r>
          <w:rPr>
            <w:rFonts w:ascii="Cambria Math" w:eastAsia="Times New Roman" w:hAnsi="Cambria Math" w:cs="Times New Roman"/>
          </w:rPr>
          <m:t>2</m:t>
        </m:r>
        <m:sSub>
          <m:sSubPr>
            <m:ctrlPr>
              <w:rPr>
                <w:rFonts w:ascii="Cambria Math" w:eastAsia="Times New Roman" w:hAnsi="Cambria Math" w:cs="Times New Roman"/>
                <w:bCs/>
                <w:i/>
              </w:rPr>
            </m:ctrlPr>
          </m:sSubPr>
          <m:e>
            <m:r>
              <w:rPr>
                <w:rFonts w:ascii="Cambria Math" w:eastAsia="Times New Roman" w:hAnsi="Cambria Math" w:cs="Times New Roman"/>
              </w:rPr>
              <m:t>BI</m:t>
            </m:r>
          </m:e>
          <m:sub>
            <m:r>
              <w:rPr>
                <w:rFonts w:ascii="Cambria Math" w:eastAsia="Times New Roman" w:hAnsi="Cambria Math" w:cs="Times New Roman"/>
              </w:rPr>
              <m:t>t-1</m:t>
            </m:r>
          </m:sub>
        </m:sSub>
        <m:r>
          <w:rPr>
            <w:rFonts w:ascii="Cambria Math" w:eastAsia="Times New Roman" w:hAnsi="Cambria Math" w:cs="Times New Roman"/>
          </w:rPr>
          <m:t>-</m:t>
        </m:r>
        <m:r>
          <w:rPr>
            <w:rFonts w:ascii="Cambria Math" w:eastAsia="Times New Roman" w:hAnsi="Cambria Math" w:cs="Times New Roman"/>
          </w:rPr>
          <m:t>0.000</m:t>
        </m:r>
        <m:r>
          <w:rPr>
            <w:rFonts w:ascii="Cambria Math" w:eastAsia="Times New Roman" w:hAnsi="Cambria Math" w:cs="Times New Roman"/>
          </w:rPr>
          <m:t>8</m:t>
        </m:r>
      </m:oMath>
      <w:r w:rsidRPr="00774698">
        <w:rPr>
          <w:rFonts w:ascii="Times New Roman" w:eastAsia="Times New Roman" w:hAnsi="Times New Roman" w:cs="Times New Roman"/>
        </w:rPr>
        <w:t xml:space="preserve"> (</w:t>
      </w:r>
      <w:r w:rsidR="00B402F0">
        <w:rPr>
          <w:rFonts w:ascii="Times New Roman" w:eastAsia="Times New Roman" w:hAnsi="Times New Roman" w:cs="Times New Roman"/>
        </w:rPr>
        <w:t>2</w:t>
      </w:r>
      <w:r w:rsidRPr="00774698">
        <w:rPr>
          <w:rFonts w:ascii="Times New Roman" w:eastAsia="Times New Roman" w:hAnsi="Times New Roman" w:cs="Times New Roman"/>
        </w:rPr>
        <w:t>)</w:t>
      </w:r>
    </w:p>
    <w:tbl>
      <w:tblPr>
        <w:tblStyle w:val="TableGrid"/>
        <w:tblW w:w="3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6"/>
        <w:gridCol w:w="1306"/>
        <w:gridCol w:w="1306"/>
      </w:tblGrid>
      <w:tr w:rsidR="00D4398E" w:rsidRPr="00774698" w14:paraId="29DD5367" w14:textId="77777777" w:rsidTr="00D4398E">
        <w:trPr>
          <w:jc w:val="center"/>
        </w:trPr>
        <w:tc>
          <w:tcPr>
            <w:tcW w:w="3918" w:type="dxa"/>
            <w:gridSpan w:val="3"/>
            <w:tcBorders>
              <w:bottom w:val="single" w:sz="4" w:space="0" w:color="auto"/>
            </w:tcBorders>
          </w:tcPr>
          <w:p w14:paraId="773E3DFF" w14:textId="5CFD2F1E" w:rsidR="00D4398E" w:rsidRPr="00D4398E" w:rsidRDefault="00D4398E" w:rsidP="00D4398E">
            <w:pPr>
              <w:spacing w:line="480" w:lineRule="auto"/>
              <w:jc w:val="center"/>
              <w:rPr>
                <w:rFonts w:ascii="Times New Roman" w:eastAsia="Times New Roman" w:hAnsi="Times New Roman" w:cs="Times New Roman"/>
                <w:b/>
                <w:bCs/>
              </w:rPr>
            </w:pPr>
            <w:r w:rsidRPr="00D4398E">
              <w:rPr>
                <w:rFonts w:ascii="Times New Roman" w:eastAsia="Times New Roman" w:hAnsi="Times New Roman" w:cs="Times New Roman"/>
              </w:rPr>
              <w:t xml:space="preserve">Table 3. VECM </w:t>
            </w:r>
            <w:r>
              <w:rPr>
                <w:rFonts w:ascii="Times New Roman" w:eastAsia="Times New Roman" w:hAnsi="Times New Roman" w:cs="Times New Roman"/>
              </w:rPr>
              <w:t>ECT</w:t>
            </w:r>
            <w:r w:rsidRPr="00D4398E">
              <w:rPr>
                <w:rFonts w:ascii="Times New Roman" w:eastAsia="Times New Roman" w:hAnsi="Times New Roman" w:cs="Times New Roman"/>
              </w:rPr>
              <w:t xml:space="preserve"> Coefficients </w:t>
            </w:r>
          </w:p>
        </w:tc>
      </w:tr>
      <w:tr w:rsidR="00D4398E" w:rsidRPr="00774698" w14:paraId="06C3B421" w14:textId="77777777" w:rsidTr="003B2976">
        <w:trPr>
          <w:jc w:val="center"/>
        </w:trPr>
        <w:tc>
          <w:tcPr>
            <w:tcW w:w="1306" w:type="dxa"/>
            <w:tcBorders>
              <w:top w:val="single" w:sz="4" w:space="0" w:color="auto"/>
              <w:bottom w:val="single" w:sz="4" w:space="0" w:color="auto"/>
            </w:tcBorders>
          </w:tcPr>
          <w:p w14:paraId="52BA44B6" w14:textId="77777777" w:rsidR="00D4398E" w:rsidRPr="00774698" w:rsidRDefault="00D4398E" w:rsidP="002B24AD">
            <w:pPr>
              <w:spacing w:line="480" w:lineRule="auto"/>
              <w:jc w:val="center"/>
              <w:rPr>
                <w:rFonts w:ascii="Times New Roman" w:eastAsia="Times New Roman" w:hAnsi="Times New Roman" w:cs="Times New Roman"/>
                <w:b/>
                <w:bCs/>
                <w:sz w:val="24"/>
                <w:szCs w:val="24"/>
              </w:rPr>
            </w:pPr>
            <w:r w:rsidRPr="00774698">
              <w:rPr>
                <w:rFonts w:ascii="Times New Roman" w:eastAsia="Times New Roman" w:hAnsi="Times New Roman" w:cs="Times New Roman"/>
                <w:b/>
                <w:bCs/>
                <w:sz w:val="24"/>
                <w:szCs w:val="24"/>
              </w:rPr>
              <w:t>Term</w:t>
            </w:r>
          </w:p>
        </w:tc>
        <w:tc>
          <w:tcPr>
            <w:tcW w:w="1306" w:type="dxa"/>
            <w:tcBorders>
              <w:top w:val="single" w:sz="4" w:space="0" w:color="auto"/>
              <w:bottom w:val="single" w:sz="4" w:space="0" w:color="auto"/>
            </w:tcBorders>
          </w:tcPr>
          <w:p w14:paraId="4EEAE0FE" w14:textId="76E71C09" w:rsidR="00D4398E" w:rsidRPr="00774698" w:rsidRDefault="00D4398E" w:rsidP="002B24AD">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LTL</w:t>
            </w:r>
          </w:p>
        </w:tc>
        <w:tc>
          <w:tcPr>
            <w:tcW w:w="1306" w:type="dxa"/>
            <w:tcBorders>
              <w:top w:val="single" w:sz="4" w:space="0" w:color="auto"/>
              <w:bottom w:val="single" w:sz="4" w:space="0" w:color="auto"/>
            </w:tcBorders>
          </w:tcPr>
          <w:p w14:paraId="23C6592D" w14:textId="641260CB" w:rsidR="00D4398E" w:rsidRPr="00774698" w:rsidRDefault="00D4398E" w:rsidP="002B24AD">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w:t>
            </w:r>
          </w:p>
        </w:tc>
      </w:tr>
      <w:tr w:rsidR="00D4398E" w:rsidRPr="00774698" w14:paraId="4A40CD1A" w14:textId="77777777" w:rsidTr="003B2976">
        <w:trPr>
          <w:jc w:val="center"/>
        </w:trPr>
        <w:tc>
          <w:tcPr>
            <w:tcW w:w="1306" w:type="dxa"/>
            <w:tcBorders>
              <w:top w:val="single" w:sz="4" w:space="0" w:color="auto"/>
              <w:bottom w:val="single" w:sz="4" w:space="0" w:color="auto"/>
            </w:tcBorders>
          </w:tcPr>
          <w:p w14:paraId="1CE1FA55" w14:textId="77777777" w:rsidR="00D4398E" w:rsidRPr="00774698" w:rsidRDefault="00D4398E" w:rsidP="002B24AD">
            <w:pPr>
              <w:spacing w:line="480" w:lineRule="auto"/>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ECT</m:t>
                    </m:r>
                  </m:e>
                  <m:sub>
                    <m:r>
                      <w:rPr>
                        <w:rFonts w:ascii="Cambria Math" w:eastAsia="Times New Roman" w:hAnsi="Cambria Math" w:cs="Times New Roman"/>
                        <w:sz w:val="24"/>
                        <w:szCs w:val="24"/>
                      </w:rPr>
                      <m:t>t-1</m:t>
                    </m:r>
                  </m:sub>
                </m:sSub>
              </m:oMath>
            </m:oMathPara>
          </w:p>
        </w:tc>
        <w:tc>
          <w:tcPr>
            <w:tcW w:w="1306" w:type="dxa"/>
            <w:tcBorders>
              <w:top w:val="single" w:sz="4" w:space="0" w:color="auto"/>
              <w:bottom w:val="single" w:sz="4" w:space="0" w:color="auto"/>
            </w:tcBorders>
          </w:tcPr>
          <w:p w14:paraId="244D4607" w14:textId="445A6856" w:rsidR="00D4398E" w:rsidRPr="00774698" w:rsidRDefault="00D4398E" w:rsidP="002B24AD">
            <w:pPr>
              <w:spacing w:line="480" w:lineRule="auto"/>
              <w:jc w:val="center"/>
              <w:rPr>
                <w:rFonts w:ascii="Times New Roman" w:eastAsia="Times New Roman" w:hAnsi="Times New Roman" w:cs="Times New Roman"/>
                <w:sz w:val="24"/>
                <w:szCs w:val="24"/>
              </w:rPr>
            </w:pPr>
            <w:r w:rsidRPr="00774698">
              <w:rPr>
                <w:rFonts w:ascii="Times New Roman" w:eastAsia="Times New Roman" w:hAnsi="Times New Roman" w:cs="Times New Roman"/>
                <w:sz w:val="24"/>
                <w:szCs w:val="24"/>
              </w:rPr>
              <w:t>-0</w:t>
            </w:r>
            <w:r w:rsidR="00A42C58">
              <w:rPr>
                <w:rFonts w:ascii="Times New Roman" w:eastAsia="Times New Roman" w:hAnsi="Times New Roman" w:cs="Times New Roman"/>
                <w:sz w:val="24"/>
                <w:szCs w:val="24"/>
              </w:rPr>
              <w:t>.1556</w:t>
            </w:r>
            <w:r w:rsidRPr="00774698">
              <w:rPr>
                <w:rFonts w:ascii="Times New Roman" w:eastAsia="Times New Roman" w:hAnsi="Times New Roman" w:cs="Times New Roman"/>
                <w:sz w:val="24"/>
                <w:szCs w:val="24"/>
                <w:vertAlign w:val="superscript"/>
              </w:rPr>
              <w:t>***</w:t>
            </w:r>
            <w:r w:rsidRPr="00774698">
              <w:rPr>
                <w:rFonts w:ascii="Times New Roman" w:eastAsia="Times New Roman" w:hAnsi="Times New Roman" w:cs="Times New Roman"/>
                <w:sz w:val="24"/>
                <w:szCs w:val="24"/>
              </w:rPr>
              <w:t xml:space="preserve"> </w:t>
            </w:r>
          </w:p>
        </w:tc>
        <w:tc>
          <w:tcPr>
            <w:tcW w:w="1306" w:type="dxa"/>
            <w:tcBorders>
              <w:top w:val="single" w:sz="4" w:space="0" w:color="auto"/>
              <w:bottom w:val="single" w:sz="4" w:space="0" w:color="auto"/>
            </w:tcBorders>
          </w:tcPr>
          <w:p w14:paraId="43844865" w14:textId="52F7C30F" w:rsidR="00D4398E" w:rsidRPr="00774698" w:rsidRDefault="00A42C58" w:rsidP="002B24A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-0.0204</w:t>
            </w:r>
            <w:r w:rsidR="00D4398E" w:rsidRPr="00774698">
              <w:rPr>
                <w:rFonts w:ascii="Times New Roman" w:eastAsia="Times New Roman" w:hAnsi="Times New Roman" w:cs="Times New Roman"/>
                <w:sz w:val="24"/>
                <w:szCs w:val="24"/>
              </w:rPr>
              <w:t xml:space="preserve"> </w:t>
            </w:r>
          </w:p>
        </w:tc>
      </w:tr>
      <w:tr w:rsidR="00D4398E" w:rsidRPr="00774698" w14:paraId="414E17DF" w14:textId="77777777" w:rsidTr="003B2976">
        <w:trPr>
          <w:jc w:val="center"/>
        </w:trPr>
        <w:tc>
          <w:tcPr>
            <w:tcW w:w="3918" w:type="dxa"/>
            <w:gridSpan w:val="3"/>
            <w:tcBorders>
              <w:top w:val="single" w:sz="4" w:space="0" w:color="auto"/>
            </w:tcBorders>
          </w:tcPr>
          <w:p w14:paraId="228A47A7" w14:textId="2C657561" w:rsidR="00D4398E" w:rsidRPr="00774698" w:rsidRDefault="00D4398E" w:rsidP="002B24AD">
            <w:pPr>
              <w:spacing w:line="480" w:lineRule="auto"/>
              <w:jc w:val="center"/>
              <w:rPr>
                <w:rFonts w:ascii="Times New Roman" w:eastAsia="Times New Roman" w:hAnsi="Times New Roman" w:cs="Times New Roman"/>
              </w:rPr>
            </w:pP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1%, </w:t>
            </w: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5%, </w:t>
            </w:r>
            <w:r w:rsidRPr="00D4398E">
              <w:rPr>
                <w:rFonts w:ascii="Times New Roman" w:eastAsia="Times New Roman" w:hAnsi="Times New Roman" w:cs="Times New Roman"/>
                <w:i/>
                <w:iCs/>
                <w:sz w:val="20"/>
                <w:szCs w:val="20"/>
                <w:vertAlign w:val="superscript"/>
              </w:rPr>
              <w:t>*</w:t>
            </w:r>
            <w:r w:rsidRPr="00D4398E">
              <w:rPr>
                <w:rFonts w:ascii="Times New Roman" w:eastAsia="Times New Roman" w:hAnsi="Times New Roman" w:cs="Times New Roman"/>
                <w:i/>
                <w:iCs/>
                <w:sz w:val="20"/>
                <w:szCs w:val="20"/>
              </w:rPr>
              <w:t xml:space="preserve"> 10%.</w:t>
            </w:r>
          </w:p>
        </w:tc>
      </w:tr>
    </w:tbl>
    <w:p w14:paraId="2085A0A3" w14:textId="7BBDB934" w:rsidR="00DF4D31" w:rsidRPr="00294AD9" w:rsidRDefault="00064E52" w:rsidP="00930F6E">
      <w:pPr>
        <w:spacing w:line="360" w:lineRule="auto"/>
        <w:ind w:firstLine="720"/>
        <w:jc w:val="both"/>
        <w:rPr>
          <w:rFonts w:ascii="Times New Roman" w:hAnsi="Times New Roman" w:cs="Times New Roman"/>
        </w:rPr>
      </w:pPr>
      <w:r>
        <w:rPr>
          <w:rFonts w:ascii="Times New Roman" w:hAnsi="Times New Roman" w:cs="Times New Roman"/>
        </w:rPr>
        <w:t xml:space="preserve">These results indicate that LTL and BI are in a long-run equilibrium, with LTL being the series that adjusts to maintain this equilibrium. BI is not seen to adjust to disequilibrium significantly. </w:t>
      </w:r>
      <w:r w:rsidR="00D571E1">
        <w:rPr>
          <w:rFonts w:ascii="Times New Roman" w:hAnsi="Times New Roman" w:cs="Times New Roman"/>
        </w:rPr>
        <w:t xml:space="preserve">A weak-exogeneity test indicates that BI is weakly exogenous to the system, further strengthening the finding that LTL is the only series to adjust. </w:t>
      </w:r>
      <w:r w:rsidR="00294AD9">
        <w:rPr>
          <w:rFonts w:ascii="Times New Roman" w:hAnsi="Times New Roman" w:cs="Times New Roman"/>
        </w:rPr>
        <w:t xml:space="preserve">The half life for LTL’s </w:t>
      </w:r>
      <w:r w:rsidR="00294AD9">
        <w:rPr>
          <w:rFonts w:ascii="Times New Roman" w:hAnsi="Times New Roman" w:cs="Times New Roman"/>
          <w:i/>
          <w:iCs/>
        </w:rPr>
        <w:t xml:space="preserve">ECT </w:t>
      </w:r>
      <w:r w:rsidR="00294AD9">
        <w:rPr>
          <w:rFonts w:ascii="Times New Roman" w:hAnsi="Times New Roman" w:cs="Times New Roman"/>
        </w:rPr>
        <w:t>is roughly 4.1 months – overall LTL rates respond to any disequilibrium in the system, and are able to close the gap to BI within this time period.</w:t>
      </w:r>
    </w:p>
    <w:p w14:paraId="4B30F580" w14:textId="3047157B" w:rsidR="0035721C" w:rsidRDefault="00D571E1" w:rsidP="0035721C">
      <w:pPr>
        <w:spacing w:line="360" w:lineRule="auto"/>
        <w:ind w:firstLine="720"/>
        <w:jc w:val="both"/>
        <w:rPr>
          <w:rFonts w:ascii="Times New Roman" w:hAnsi="Times New Roman" w:cs="Times New Roman"/>
        </w:rPr>
      </w:pPr>
      <w:r>
        <w:rPr>
          <w:rFonts w:ascii="Times New Roman" w:hAnsi="Times New Roman" w:cs="Times New Roman"/>
        </w:rPr>
        <w:t xml:space="preserve">Our sample window contains multiple crises that can potentially bias results. We conduct a follow-on analysis, re-estimating each bivariate system with exogenous structural </w:t>
      </w:r>
      <w:r w:rsidRPr="00D571E1">
        <w:rPr>
          <w:rFonts w:ascii="Times New Roman" w:hAnsi="Times New Roman" w:cs="Times New Roman"/>
        </w:rPr>
        <w:t>break dummies for the COVID-19 pandemic (January 2020 through December 2022) and the 2008 financial crisis (January 2008 through December 2009)</w:t>
      </w:r>
      <w:r>
        <w:rPr>
          <w:rFonts w:ascii="Times New Roman" w:hAnsi="Times New Roman" w:cs="Times New Roman"/>
        </w:rPr>
        <w:t xml:space="preserve"> (Johansen et al., 2000). All lag orders were found to remain unchanged with the addition of these dummies</w:t>
      </w:r>
      <w:r w:rsidRPr="00D571E1">
        <w:rPr>
          <w:rFonts w:ascii="Times New Roman" w:hAnsi="Times New Roman" w:cs="Times New Roman"/>
        </w:rPr>
        <w:t>. LTL's cointegration</w:t>
      </w:r>
      <w:r w:rsidR="009F1837">
        <w:rPr>
          <w:rFonts w:ascii="Times New Roman" w:hAnsi="Times New Roman" w:cs="Times New Roman"/>
        </w:rPr>
        <w:t xml:space="preserve"> with </w:t>
      </w:r>
      <w:r>
        <w:rPr>
          <w:rFonts w:ascii="Times New Roman" w:hAnsi="Times New Roman" w:cs="Times New Roman"/>
        </w:rPr>
        <w:t>BI strengthens under this specification</w:t>
      </w:r>
      <w:r w:rsidR="00E736B5">
        <w:rPr>
          <w:rFonts w:ascii="Times New Roman" w:hAnsi="Times New Roman" w:cs="Times New Roman"/>
        </w:rPr>
        <w:t xml:space="preserve">. However, </w:t>
      </w:r>
      <w:r w:rsidR="005A40F7">
        <w:rPr>
          <w:rFonts w:ascii="Times New Roman" w:hAnsi="Times New Roman" w:cs="Times New Roman"/>
        </w:rPr>
        <w:t>this</w:t>
      </w:r>
      <w:r w:rsidR="00E736B5">
        <w:rPr>
          <w:rFonts w:ascii="Times New Roman" w:hAnsi="Times New Roman" w:cs="Times New Roman"/>
        </w:rPr>
        <w:t xml:space="preserve"> result</w:t>
      </w:r>
      <w:r w:rsidR="001F74FD">
        <w:rPr>
          <w:rFonts w:ascii="Times New Roman" w:hAnsi="Times New Roman" w:cs="Times New Roman"/>
        </w:rPr>
        <w:t xml:space="preserve"> </w:t>
      </w:r>
      <w:r w:rsidR="00E736B5">
        <w:rPr>
          <w:rFonts w:ascii="Times New Roman" w:hAnsi="Times New Roman" w:cs="Times New Roman"/>
        </w:rPr>
        <w:t xml:space="preserve">should be interpreted with caution, as the critical values reported by the Johansen test are not adjusted for the presence of exogenous dummy variables. None of the other variables tested in our analysis demonstrate cointegration with BI with the addition of these dummy variables. </w:t>
      </w:r>
    </w:p>
    <w:p w14:paraId="0217C9D4" w14:textId="2DDA0176" w:rsidR="002446A5" w:rsidRDefault="00D4398E" w:rsidP="000C3710">
      <w:pPr>
        <w:spacing w:line="360" w:lineRule="auto"/>
        <w:jc w:val="both"/>
        <w:rPr>
          <w:rFonts w:ascii="Times New Roman" w:hAnsi="Times New Roman" w:cs="Times New Roman"/>
          <w:b/>
          <w:bCs/>
        </w:rPr>
      </w:pPr>
      <w:r>
        <w:rPr>
          <w:rFonts w:ascii="Times New Roman" w:hAnsi="Times New Roman" w:cs="Times New Roman"/>
          <w:b/>
          <w:bCs/>
        </w:rPr>
        <w:t>Discussion &amp; Conclusions</w:t>
      </w:r>
    </w:p>
    <w:p w14:paraId="64370D2C" w14:textId="1DA3DB80" w:rsidR="00E736B5" w:rsidRDefault="00E736B5" w:rsidP="000C3710">
      <w:pPr>
        <w:spacing w:line="360" w:lineRule="auto"/>
        <w:jc w:val="both"/>
        <w:rPr>
          <w:rFonts w:ascii="Times New Roman" w:hAnsi="Times New Roman" w:cs="Times New Roman"/>
        </w:rPr>
      </w:pPr>
      <w:r>
        <w:rPr>
          <w:rFonts w:ascii="Times New Roman" w:hAnsi="Times New Roman" w:cs="Times New Roman"/>
        </w:rPr>
        <w:t xml:space="preserve">Swanson et al. (2016) found that aggregate transportation and inventory costs follow a long-run equilibrium, with only inventory costs adjusting to any disequilibrium within the system. </w:t>
      </w:r>
      <w:r w:rsidR="007A59EF">
        <w:rPr>
          <w:rFonts w:ascii="Times New Roman" w:hAnsi="Times New Roman" w:cs="Times New Roman"/>
        </w:rPr>
        <w:t xml:space="preserve">Our study extends their analyses by introducing granular measures of freight </w:t>
      </w:r>
      <w:r w:rsidR="007A59EF">
        <w:rPr>
          <w:rFonts w:ascii="Times New Roman" w:hAnsi="Times New Roman" w:cs="Times New Roman"/>
          <w:i/>
          <w:iCs/>
        </w:rPr>
        <w:t xml:space="preserve">price, </w:t>
      </w:r>
      <w:r w:rsidR="007A59EF">
        <w:rPr>
          <w:rFonts w:ascii="Times New Roman" w:hAnsi="Times New Roman" w:cs="Times New Roman"/>
        </w:rPr>
        <w:t xml:space="preserve">as opposed to their aggregate measure of freight </w:t>
      </w:r>
      <w:r w:rsidR="007A59EF">
        <w:rPr>
          <w:rFonts w:ascii="Times New Roman" w:hAnsi="Times New Roman" w:cs="Times New Roman"/>
          <w:i/>
          <w:iCs/>
        </w:rPr>
        <w:t xml:space="preserve">cost. </w:t>
      </w:r>
      <w:r w:rsidR="007A59EF">
        <w:rPr>
          <w:rFonts w:ascii="Times New Roman" w:hAnsi="Times New Roman" w:cs="Times New Roman"/>
        </w:rPr>
        <w:t>Through our analysis, we make two key contributions to the transportation literature.</w:t>
      </w:r>
    </w:p>
    <w:p w14:paraId="52C58E2D" w14:textId="36A94BBC" w:rsidR="004116F5" w:rsidRDefault="00E736B5" w:rsidP="004116F5">
      <w:pPr>
        <w:spacing w:line="360" w:lineRule="auto"/>
        <w:jc w:val="both"/>
        <w:rPr>
          <w:rFonts w:ascii="Times New Roman" w:hAnsi="Times New Roman" w:cs="Times New Roman"/>
        </w:rPr>
      </w:pPr>
      <w:r>
        <w:rPr>
          <w:rFonts w:ascii="Times New Roman" w:hAnsi="Times New Roman" w:cs="Times New Roman"/>
        </w:rPr>
        <w:lastRenderedPageBreak/>
        <w:tab/>
        <w:t xml:space="preserve">First, our findings indicate that relative LTL prices adjust to disequilibrium, with total business inventories being weakly exogenous. We contend that this finding is driven by the difference in </w:t>
      </w:r>
      <w:r w:rsidR="00F23A0D">
        <w:rPr>
          <w:rFonts w:ascii="Times New Roman" w:hAnsi="Times New Roman" w:cs="Times New Roman"/>
        </w:rPr>
        <w:t xml:space="preserve">the </w:t>
      </w:r>
      <w:r w:rsidR="00F23A0D">
        <w:rPr>
          <w:rFonts w:ascii="Times New Roman" w:hAnsi="Times New Roman" w:cs="Times New Roman"/>
          <w:i/>
          <w:iCs/>
        </w:rPr>
        <w:t xml:space="preserve">price </w:t>
      </w:r>
      <w:r w:rsidR="00F23A0D">
        <w:rPr>
          <w:rFonts w:ascii="Times New Roman" w:hAnsi="Times New Roman" w:cs="Times New Roman"/>
        </w:rPr>
        <w:t xml:space="preserve">of freight, which we study, and the </w:t>
      </w:r>
      <w:r w:rsidR="00F23A0D">
        <w:rPr>
          <w:rFonts w:ascii="Times New Roman" w:hAnsi="Times New Roman" w:cs="Times New Roman"/>
          <w:i/>
          <w:iCs/>
        </w:rPr>
        <w:t xml:space="preserve">total cost </w:t>
      </w:r>
      <w:r w:rsidR="00F23A0D">
        <w:rPr>
          <w:rFonts w:ascii="Times New Roman" w:hAnsi="Times New Roman" w:cs="Times New Roman"/>
        </w:rPr>
        <w:t xml:space="preserve">of freight, which was the focus of Swanson et al. (2016). Aggregate freight costs are quite difficult to alter, as firms operate under long-term freight contracts with fixed rates. Aggregate inventory costs, on the other hand, are much more malleable, with firms able to change their inventory policies with relative ease. Unlike aggregate freight costs, freight prices are established in a </w:t>
      </w:r>
      <w:r w:rsidR="001C5C9F">
        <w:rPr>
          <w:rFonts w:ascii="Times New Roman" w:hAnsi="Times New Roman" w:cs="Times New Roman"/>
        </w:rPr>
        <w:t xml:space="preserve">highly competitive, </w:t>
      </w:r>
      <w:r w:rsidR="00F23A0D">
        <w:rPr>
          <w:rFonts w:ascii="Times New Roman" w:hAnsi="Times New Roman" w:cs="Times New Roman"/>
        </w:rPr>
        <w:t>fragmented,</w:t>
      </w:r>
      <w:r w:rsidR="001C5C9F">
        <w:rPr>
          <w:rFonts w:ascii="Times New Roman" w:hAnsi="Times New Roman" w:cs="Times New Roman"/>
        </w:rPr>
        <w:t xml:space="preserve"> </w:t>
      </w:r>
      <w:r w:rsidR="00F23A0D">
        <w:rPr>
          <w:rFonts w:ascii="Times New Roman" w:hAnsi="Times New Roman" w:cs="Times New Roman"/>
        </w:rPr>
        <w:t>and liquid marketplace</w:t>
      </w:r>
      <w:r w:rsidR="001C5C9F">
        <w:rPr>
          <w:rFonts w:ascii="Times New Roman" w:hAnsi="Times New Roman" w:cs="Times New Roman"/>
        </w:rPr>
        <w:t xml:space="preserve"> </w:t>
      </w:r>
      <w:r w:rsidR="001C5C9F" w:rsidRPr="001C5C9F">
        <w:rPr>
          <w:rFonts w:ascii="Times New Roman" w:hAnsi="Times New Roman" w:cs="Times New Roman"/>
        </w:rPr>
        <w:t>(Jin et al., 2017)</w:t>
      </w:r>
      <w:r w:rsidR="00F23A0D">
        <w:rPr>
          <w:rFonts w:ascii="Times New Roman" w:hAnsi="Times New Roman" w:cs="Times New Roman"/>
        </w:rPr>
        <w:t>.</w:t>
      </w:r>
      <w:r w:rsidR="007A375C">
        <w:rPr>
          <w:rFonts w:ascii="Times New Roman" w:hAnsi="Times New Roman" w:cs="Times New Roman"/>
        </w:rPr>
        <w:t xml:space="preserve"> </w:t>
      </w:r>
      <w:r w:rsidR="00AC5824">
        <w:rPr>
          <w:rFonts w:ascii="Times New Roman" w:hAnsi="Times New Roman" w:cs="Times New Roman"/>
        </w:rPr>
        <w:t xml:space="preserve">Rising business inventories </w:t>
      </w:r>
      <w:r w:rsidR="00FB45F5">
        <w:rPr>
          <w:rFonts w:ascii="Times New Roman" w:hAnsi="Times New Roman" w:cs="Times New Roman"/>
        </w:rPr>
        <w:t xml:space="preserve">rapidly </w:t>
      </w:r>
      <w:r w:rsidR="00800465">
        <w:rPr>
          <w:rFonts w:ascii="Times New Roman" w:hAnsi="Times New Roman" w:cs="Times New Roman"/>
        </w:rPr>
        <w:t>drive-up</w:t>
      </w:r>
      <w:r w:rsidR="00FB45F5">
        <w:rPr>
          <w:rFonts w:ascii="Times New Roman" w:hAnsi="Times New Roman" w:cs="Times New Roman"/>
        </w:rPr>
        <w:t xml:space="preserve"> demand for freight capacity</w:t>
      </w:r>
      <w:r w:rsidR="00FD1C27">
        <w:rPr>
          <w:rFonts w:ascii="Times New Roman" w:hAnsi="Times New Roman" w:cs="Times New Roman"/>
        </w:rPr>
        <w:t xml:space="preserve">. The LTL segment in particular is highly sensitive to rapid capacity increases </w:t>
      </w:r>
      <w:r w:rsidR="00FD1C27" w:rsidRPr="00FD1C27">
        <w:rPr>
          <w:rFonts w:ascii="Times New Roman" w:hAnsi="Times New Roman" w:cs="Times New Roman"/>
        </w:rPr>
        <w:t>(Hernández et al., 2011)</w:t>
      </w:r>
      <w:r w:rsidR="00FD1C27">
        <w:rPr>
          <w:rFonts w:ascii="Times New Roman" w:hAnsi="Times New Roman" w:cs="Times New Roman"/>
        </w:rPr>
        <w:t xml:space="preserve">. </w:t>
      </w:r>
      <w:r w:rsidR="0022272E">
        <w:rPr>
          <w:rFonts w:ascii="Times New Roman" w:hAnsi="Times New Roman" w:cs="Times New Roman"/>
        </w:rPr>
        <w:t>Carriers in the</w:t>
      </w:r>
      <w:r w:rsidR="00FD1C27">
        <w:rPr>
          <w:rFonts w:ascii="Times New Roman" w:hAnsi="Times New Roman" w:cs="Times New Roman"/>
        </w:rPr>
        <w:t xml:space="preserve"> LTL segment </w:t>
      </w:r>
      <w:r w:rsidR="00903B2E">
        <w:rPr>
          <w:rFonts w:ascii="Times New Roman" w:hAnsi="Times New Roman" w:cs="Times New Roman"/>
        </w:rPr>
        <w:t>observe</w:t>
      </w:r>
      <w:r w:rsidR="00FD1C27">
        <w:rPr>
          <w:rFonts w:ascii="Times New Roman" w:hAnsi="Times New Roman" w:cs="Times New Roman"/>
        </w:rPr>
        <w:t xml:space="preserve"> </w:t>
      </w:r>
      <w:r w:rsidR="0022272E">
        <w:rPr>
          <w:rFonts w:ascii="Times New Roman" w:hAnsi="Times New Roman" w:cs="Times New Roman"/>
        </w:rPr>
        <w:t xml:space="preserve">the heightened inventory flowing their freight </w:t>
      </w:r>
      <w:r w:rsidR="00294AD9">
        <w:rPr>
          <w:rFonts w:ascii="Times New Roman" w:hAnsi="Times New Roman" w:cs="Times New Roman"/>
        </w:rPr>
        <w:t>networks and</w:t>
      </w:r>
      <w:r w:rsidR="00B04CE3">
        <w:rPr>
          <w:rFonts w:ascii="Times New Roman" w:hAnsi="Times New Roman" w:cs="Times New Roman"/>
        </w:rPr>
        <w:t xml:space="preserve"> rapidly adjust their rates in response</w:t>
      </w:r>
      <w:r w:rsidR="00AC5824">
        <w:rPr>
          <w:rFonts w:ascii="Times New Roman" w:hAnsi="Times New Roman" w:cs="Times New Roman"/>
        </w:rPr>
        <w:t xml:space="preserve">. </w:t>
      </w:r>
      <w:r w:rsidR="00B04CE3">
        <w:rPr>
          <w:rFonts w:ascii="Times New Roman" w:hAnsi="Times New Roman" w:cs="Times New Roman"/>
        </w:rPr>
        <w:t>Our analyses specifically find that LTL rates correct any disequilibrium to total business inventories within roughly 4.1 months, indicating their quick adjustment.</w:t>
      </w:r>
      <w:r w:rsidR="004116F5">
        <w:rPr>
          <w:rFonts w:ascii="Times New Roman" w:hAnsi="Times New Roman" w:cs="Times New Roman"/>
        </w:rPr>
        <w:t xml:space="preserve"> Traditional transportation literature would contend the opposite should hold true as well – rising freight rates lead to larger order quantities, thereby increasing inventory levels</w:t>
      </w:r>
      <w:r w:rsidR="00954376">
        <w:rPr>
          <w:rFonts w:ascii="Times New Roman" w:hAnsi="Times New Roman" w:cs="Times New Roman"/>
        </w:rPr>
        <w:t xml:space="preserve"> (</w:t>
      </w:r>
      <w:r w:rsidR="00954376" w:rsidRPr="00001100">
        <w:rPr>
          <w:rFonts w:ascii="Times New Roman" w:hAnsi="Times New Roman" w:cs="Times New Roman"/>
        </w:rPr>
        <w:t>Baumol and Vinod, 1970</w:t>
      </w:r>
      <w:r w:rsidR="00954376">
        <w:rPr>
          <w:rFonts w:ascii="Times New Roman" w:hAnsi="Times New Roman" w:cs="Times New Roman"/>
        </w:rPr>
        <w:t>)</w:t>
      </w:r>
      <w:r w:rsidR="004116F5">
        <w:rPr>
          <w:rFonts w:ascii="Times New Roman" w:hAnsi="Times New Roman" w:cs="Times New Roman"/>
        </w:rPr>
        <w:t xml:space="preserve">. We believe that this behavior is not observed in our model due to the level of analysis employed. Firm level inventory adjustments are unlikely to manifest at the aggregate monthly level, especially as contract rates are sticky, and firms will be unable to rapidly alter ther inventory levels at shorter lag-lengths. </w:t>
      </w:r>
    </w:p>
    <w:p w14:paraId="43609591" w14:textId="249A6947" w:rsidR="007C0FAD" w:rsidRDefault="009C2A95" w:rsidP="004116F5">
      <w:pPr>
        <w:spacing w:line="360" w:lineRule="auto"/>
        <w:ind w:firstLine="720"/>
        <w:jc w:val="both"/>
        <w:rPr>
          <w:rFonts w:ascii="Times New Roman" w:hAnsi="Times New Roman" w:cs="Times New Roman"/>
        </w:rPr>
      </w:pPr>
      <w:r>
        <w:rPr>
          <w:rFonts w:ascii="Times New Roman" w:hAnsi="Times New Roman" w:cs="Times New Roman"/>
        </w:rPr>
        <w:t xml:space="preserve">Second, the absence of cointegration for truckload, rail, inland-water, air and sea freight showcases the heterogeneity in the transportation-inventory tradeoff across freight modes. We contend that this heterogeneity is driven by </w:t>
      </w:r>
      <w:r w:rsidR="000D2377">
        <w:rPr>
          <w:rFonts w:ascii="Times New Roman" w:hAnsi="Times New Roman" w:cs="Times New Roman"/>
        </w:rPr>
        <w:t>variation in pricing procedures across freight modes</w:t>
      </w:r>
      <w:r>
        <w:rPr>
          <w:rFonts w:ascii="Times New Roman" w:hAnsi="Times New Roman" w:cs="Times New Roman"/>
        </w:rPr>
        <w:t xml:space="preserve">. </w:t>
      </w:r>
      <w:r w:rsidR="000D2377">
        <w:rPr>
          <w:rFonts w:ascii="Times New Roman" w:hAnsi="Times New Roman" w:cs="Times New Roman"/>
        </w:rPr>
        <w:t>Specifically, c</w:t>
      </w:r>
      <w:r w:rsidRPr="009C2A95">
        <w:rPr>
          <w:rFonts w:ascii="Times New Roman" w:hAnsi="Times New Roman" w:cs="Times New Roman"/>
        </w:rPr>
        <w:t>ontract rates across each of the non-cointegrating modes in our study are administered prices, set through periodic bilateral negotiations that hold rates fixed for extended durations</w:t>
      </w:r>
      <w:r w:rsidR="00385917">
        <w:rPr>
          <w:rFonts w:ascii="Times New Roman" w:hAnsi="Times New Roman" w:cs="Times New Roman"/>
        </w:rPr>
        <w:t>. The frequency of these periodic renegotiations ranges from the annual RFP cycles observed in truckload markets (Caplice, 2007; Miller et al., 2021) to the multi-year planning horizons and long-term infrastructure buildouts required for rail, sea and air freight (</w:t>
      </w:r>
      <w:r w:rsidRPr="009C2A95">
        <w:rPr>
          <w:rFonts w:ascii="Times New Roman" w:hAnsi="Times New Roman" w:cs="Times New Roman"/>
        </w:rPr>
        <w:t>Hernández et al., 2011; De Moor et al., 2023).</w:t>
      </w:r>
      <w:r w:rsidR="00385917">
        <w:rPr>
          <w:rFonts w:ascii="Times New Roman" w:hAnsi="Times New Roman" w:cs="Times New Roman"/>
        </w:rPr>
        <w:t xml:space="preserve"> These modes therefore cannot rapidly adjust their rates in response to rising demand for freight driven by heightened inventory accumulation. </w:t>
      </w:r>
      <w:r w:rsidRPr="009C2A95">
        <w:rPr>
          <w:rFonts w:ascii="Times New Roman" w:hAnsi="Times New Roman" w:cs="Times New Roman"/>
        </w:rPr>
        <w:t xml:space="preserve">LTL </w:t>
      </w:r>
      <w:r w:rsidR="00385917">
        <w:rPr>
          <w:rFonts w:ascii="Times New Roman" w:hAnsi="Times New Roman" w:cs="Times New Roman"/>
        </w:rPr>
        <w:t>carriers, who price</w:t>
      </w:r>
      <w:r w:rsidRPr="009C2A95">
        <w:rPr>
          <w:rFonts w:ascii="Times New Roman" w:hAnsi="Times New Roman" w:cs="Times New Roman"/>
        </w:rPr>
        <w:t xml:space="preserve"> </w:t>
      </w:r>
      <w:r w:rsidR="00385917">
        <w:rPr>
          <w:rFonts w:ascii="Times New Roman" w:hAnsi="Times New Roman" w:cs="Times New Roman"/>
        </w:rPr>
        <w:t xml:space="preserve">through </w:t>
      </w:r>
      <w:r w:rsidRPr="009C2A95">
        <w:rPr>
          <w:rFonts w:ascii="Times New Roman" w:hAnsi="Times New Roman" w:cs="Times New Roman"/>
        </w:rPr>
        <w:t>published tariffs and negotiated discount structures (Rakowski, 1988; Bowersox et al., 2013)</w:t>
      </w:r>
      <w:r w:rsidR="002E6BAC">
        <w:rPr>
          <w:rFonts w:ascii="Times New Roman" w:hAnsi="Times New Roman" w:cs="Times New Roman"/>
        </w:rPr>
        <w:t>, are able to increase rates at a quarterly or monthly basis in response to prevailing market trends</w:t>
      </w:r>
      <w:r w:rsidRPr="009C2A95">
        <w:rPr>
          <w:rFonts w:ascii="Times New Roman" w:hAnsi="Times New Roman" w:cs="Times New Roman"/>
        </w:rPr>
        <w:t>.</w:t>
      </w:r>
      <w:r w:rsidR="002E6BAC">
        <w:rPr>
          <w:rFonts w:ascii="Times New Roman" w:hAnsi="Times New Roman" w:cs="Times New Roman"/>
        </w:rPr>
        <w:t xml:space="preserve"> As a result, when inventory accumulation increases the volume of goods passing through </w:t>
      </w:r>
      <w:r w:rsidR="002E6BAC">
        <w:rPr>
          <w:rFonts w:ascii="Times New Roman" w:hAnsi="Times New Roman" w:cs="Times New Roman"/>
        </w:rPr>
        <w:lastRenderedPageBreak/>
        <w:t>LTL networks, LTL carriers can adjust their rates accordingly, while other freight modes are constrained by their contract terms</w:t>
      </w:r>
      <w:r w:rsidRPr="009C2A95">
        <w:rPr>
          <w:rFonts w:ascii="Times New Roman" w:hAnsi="Times New Roman" w:cs="Times New Roman"/>
        </w:rPr>
        <w:t>. The cointegration we observe between LTL rates and business inventories</w:t>
      </w:r>
      <w:r w:rsidR="002E6BAC">
        <w:rPr>
          <w:rFonts w:ascii="Times New Roman" w:hAnsi="Times New Roman" w:cs="Times New Roman"/>
        </w:rPr>
        <w:t xml:space="preserve"> is indicative of this behavior, with LTL rates following the trends set by inventory accumulation. We thereby add to the traditional transportation-inventory tradeoff, which primarily focuses on the operational flexibility of freight modes</w:t>
      </w:r>
      <w:r w:rsidRPr="009C2A95">
        <w:rPr>
          <w:rFonts w:ascii="Times New Roman" w:hAnsi="Times New Roman" w:cs="Times New Roman"/>
        </w:rPr>
        <w:t xml:space="preserve"> (Baumol &amp; Vinod, 1970)</w:t>
      </w:r>
      <w:r w:rsidR="00832E05">
        <w:rPr>
          <w:rFonts w:ascii="Times New Roman" w:hAnsi="Times New Roman" w:cs="Times New Roman"/>
        </w:rPr>
        <w:t xml:space="preserve"> </w:t>
      </w:r>
      <w:r w:rsidR="002E6BAC">
        <w:rPr>
          <w:rFonts w:ascii="Times New Roman" w:hAnsi="Times New Roman" w:cs="Times New Roman"/>
        </w:rPr>
        <w:t>and highlight the relevance of the pricing structures of freight in the transportation-inventory relationship.</w:t>
      </w:r>
    </w:p>
    <w:p w14:paraId="4F72040C" w14:textId="77777777" w:rsidR="003A375D" w:rsidRDefault="00E736B5" w:rsidP="004A179F">
      <w:pPr>
        <w:spacing w:line="360" w:lineRule="auto"/>
        <w:ind w:firstLine="720"/>
        <w:jc w:val="both"/>
        <w:rPr>
          <w:rFonts w:ascii="Times New Roman" w:hAnsi="Times New Roman" w:cs="Times New Roman"/>
        </w:rPr>
      </w:pPr>
      <w:r w:rsidRPr="00E736B5">
        <w:rPr>
          <w:rFonts w:ascii="Times New Roman" w:hAnsi="Times New Roman" w:cs="Times New Roman"/>
        </w:rPr>
        <w:t xml:space="preserve">These results carry implications for both theory and practice. For theory, they suggest that the transportation-inventory tradeoff, while well established at the aggregate level, operates through a specific subset of the freight market rather than uniformly across all modes. Future research should examine whether this mode-level heterogeneity extends to firm-level data, where the tradeoff decisions are actually made. </w:t>
      </w:r>
      <w:r w:rsidR="00863EF5">
        <w:rPr>
          <w:rFonts w:ascii="Times New Roman" w:hAnsi="Times New Roman" w:cs="Times New Roman"/>
        </w:rPr>
        <w:t xml:space="preserve">Furthermore, we emphasize that the pricing characteristics of freight modes can drive the relationship between transportation and inventory in addition to the traditionally studied operational characteristics. </w:t>
      </w:r>
    </w:p>
    <w:p w14:paraId="153865F4" w14:textId="30EEAD10" w:rsidR="00F23A0D" w:rsidRDefault="00E736B5" w:rsidP="004A179F">
      <w:pPr>
        <w:spacing w:line="360" w:lineRule="auto"/>
        <w:ind w:firstLine="720"/>
        <w:jc w:val="both"/>
        <w:rPr>
          <w:rFonts w:ascii="Times New Roman" w:hAnsi="Times New Roman" w:cs="Times New Roman"/>
        </w:rPr>
      </w:pPr>
      <w:r w:rsidRPr="00E736B5">
        <w:rPr>
          <w:rFonts w:ascii="Times New Roman" w:hAnsi="Times New Roman" w:cs="Times New Roman"/>
        </w:rPr>
        <w:t>For practice, the finding that LTL rates adjust to inventory conditions, rather than the reverse, suggests that LTL pricing is demand-driven at the macro level. Shippers and carriers operating in LTL markets may benefit from monitoring aggregate inventory trends as a leading indicator of rate movements. More broadly, the null results for most modes suggest that managers should not assume that the transportation-inventory tradeoff operates symmetrically across their freight portfolio, and that mode-specific cost management strategies may be more appropriate than aggregate logistics cost optimization in many contexts.</w:t>
      </w:r>
    </w:p>
    <w:p w14:paraId="76232C52" w14:textId="77777777" w:rsidR="00F23A0D" w:rsidRDefault="00F23A0D" w:rsidP="00F23A0D">
      <w:pPr>
        <w:spacing w:line="360" w:lineRule="auto"/>
        <w:jc w:val="both"/>
        <w:rPr>
          <w:rFonts w:ascii="Times New Roman" w:hAnsi="Times New Roman" w:cs="Times New Roman"/>
        </w:rPr>
      </w:pPr>
    </w:p>
    <w:p w14:paraId="6731EDA2" w14:textId="77777777" w:rsidR="00E42B96" w:rsidRDefault="00E42B96" w:rsidP="00F23A0D">
      <w:pPr>
        <w:spacing w:line="360" w:lineRule="auto"/>
        <w:jc w:val="both"/>
        <w:rPr>
          <w:rFonts w:ascii="Times New Roman" w:hAnsi="Times New Roman" w:cs="Times New Roman"/>
        </w:rPr>
      </w:pPr>
    </w:p>
    <w:p w14:paraId="3181569A" w14:textId="77777777" w:rsidR="00E42B96" w:rsidRDefault="00E42B96" w:rsidP="00F23A0D">
      <w:pPr>
        <w:spacing w:line="360" w:lineRule="auto"/>
        <w:jc w:val="both"/>
        <w:rPr>
          <w:rFonts w:ascii="Times New Roman" w:hAnsi="Times New Roman" w:cs="Times New Roman"/>
        </w:rPr>
      </w:pPr>
    </w:p>
    <w:p w14:paraId="4E03E2A3" w14:textId="77777777" w:rsidR="00E42B96" w:rsidRDefault="00E42B96" w:rsidP="00F23A0D">
      <w:pPr>
        <w:spacing w:line="360" w:lineRule="auto"/>
        <w:jc w:val="both"/>
        <w:rPr>
          <w:rFonts w:ascii="Times New Roman" w:hAnsi="Times New Roman" w:cs="Times New Roman"/>
        </w:rPr>
      </w:pPr>
    </w:p>
    <w:p w14:paraId="3DD07ED6" w14:textId="77777777" w:rsidR="00E42B96" w:rsidRDefault="00E42B96" w:rsidP="00F23A0D">
      <w:pPr>
        <w:spacing w:line="360" w:lineRule="auto"/>
        <w:jc w:val="both"/>
        <w:rPr>
          <w:rFonts w:ascii="Times New Roman" w:hAnsi="Times New Roman" w:cs="Times New Roman"/>
        </w:rPr>
      </w:pPr>
    </w:p>
    <w:p w14:paraId="1A9FAEDE" w14:textId="77777777" w:rsidR="00E42B96" w:rsidRDefault="00E42B96" w:rsidP="00F23A0D">
      <w:pPr>
        <w:spacing w:line="360" w:lineRule="auto"/>
        <w:jc w:val="both"/>
        <w:rPr>
          <w:rFonts w:ascii="Times New Roman" w:hAnsi="Times New Roman" w:cs="Times New Roman"/>
        </w:rPr>
      </w:pPr>
    </w:p>
    <w:p w14:paraId="6C223683" w14:textId="77777777" w:rsidR="00E42B96" w:rsidRPr="00D4398E" w:rsidRDefault="00E42B96" w:rsidP="00F23A0D">
      <w:pPr>
        <w:spacing w:line="360" w:lineRule="auto"/>
        <w:jc w:val="both"/>
        <w:rPr>
          <w:rFonts w:ascii="Times New Roman" w:hAnsi="Times New Roman" w:cs="Times New Roman"/>
        </w:rPr>
      </w:pPr>
    </w:p>
    <w:p w14:paraId="0A94AFC1" w14:textId="18A7E3F7" w:rsidR="001966C3" w:rsidRPr="000C3710" w:rsidRDefault="001966C3" w:rsidP="000C3710">
      <w:pPr>
        <w:spacing w:line="360" w:lineRule="auto"/>
        <w:jc w:val="both"/>
        <w:rPr>
          <w:rFonts w:ascii="Times New Roman" w:hAnsi="Times New Roman" w:cs="Times New Roman"/>
          <w:b/>
          <w:bCs/>
        </w:rPr>
      </w:pPr>
      <w:r w:rsidRPr="000C3710">
        <w:rPr>
          <w:rFonts w:ascii="Times New Roman" w:hAnsi="Times New Roman" w:cs="Times New Roman"/>
          <w:b/>
          <w:bCs/>
        </w:rPr>
        <w:lastRenderedPageBreak/>
        <w:t>References</w:t>
      </w:r>
    </w:p>
    <w:p w14:paraId="652E8FFF" w14:textId="071ED14E" w:rsidR="004D2A65" w:rsidRDefault="004D2A65" w:rsidP="004D2A65">
      <w:pPr>
        <w:spacing w:after="0" w:line="480" w:lineRule="auto"/>
        <w:ind w:hanging="480"/>
        <w:rPr>
          <w:rFonts w:ascii="Times New Roman" w:eastAsia="Times New Roman" w:hAnsi="Times New Roman" w:cs="Times New Roman"/>
          <w:kern w:val="0"/>
          <w14:ligatures w14:val="none"/>
        </w:rPr>
      </w:pPr>
      <w:r w:rsidRPr="004D2A65">
        <w:rPr>
          <w:rFonts w:ascii="Times New Roman" w:eastAsia="Times New Roman" w:hAnsi="Times New Roman" w:cs="Times New Roman"/>
          <w:kern w:val="0"/>
          <w14:ligatures w14:val="none"/>
        </w:rPr>
        <w:t xml:space="preserve">Baumol, W. J., &amp; Vinod, H. D. (1970). An Inventory Theoretic Model of Freight Transport Demand. </w:t>
      </w:r>
      <w:r w:rsidRPr="004D2A65">
        <w:rPr>
          <w:rFonts w:ascii="Times New Roman" w:eastAsia="Times New Roman" w:hAnsi="Times New Roman" w:cs="Times New Roman"/>
          <w:i/>
          <w:iCs/>
          <w:kern w:val="0"/>
          <w14:ligatures w14:val="none"/>
        </w:rPr>
        <w:t>Management Science</w:t>
      </w:r>
      <w:r w:rsidRPr="004D2A65">
        <w:rPr>
          <w:rFonts w:ascii="Times New Roman" w:eastAsia="Times New Roman" w:hAnsi="Times New Roman" w:cs="Times New Roman"/>
          <w:kern w:val="0"/>
          <w14:ligatures w14:val="none"/>
        </w:rPr>
        <w:t xml:space="preserve">, </w:t>
      </w:r>
      <w:r w:rsidRPr="004D2A65">
        <w:rPr>
          <w:rFonts w:ascii="Times New Roman" w:eastAsia="Times New Roman" w:hAnsi="Times New Roman" w:cs="Times New Roman"/>
          <w:i/>
          <w:iCs/>
          <w:kern w:val="0"/>
          <w14:ligatures w14:val="none"/>
        </w:rPr>
        <w:t>16</w:t>
      </w:r>
      <w:r w:rsidRPr="004D2A65">
        <w:rPr>
          <w:rFonts w:ascii="Times New Roman" w:eastAsia="Times New Roman" w:hAnsi="Times New Roman" w:cs="Times New Roman"/>
          <w:kern w:val="0"/>
          <w14:ligatures w14:val="none"/>
        </w:rPr>
        <w:t xml:space="preserve">(7), 413–421. </w:t>
      </w:r>
      <w:hyperlink r:id="rId8" w:history="1">
        <w:r w:rsidRPr="004D2A65">
          <w:rPr>
            <w:rStyle w:val="Hyperlink"/>
            <w:rFonts w:ascii="Times New Roman" w:eastAsia="Times New Roman" w:hAnsi="Times New Roman" w:cs="Times New Roman"/>
            <w:kern w:val="0"/>
            <w14:ligatures w14:val="none"/>
          </w:rPr>
          <w:t>https://doi.org/10.1287/mnsc.16.7.413</w:t>
        </w:r>
      </w:hyperlink>
    </w:p>
    <w:p w14:paraId="79A275C8" w14:textId="2444243A" w:rsid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Bowersox, D. J., Closs, D. J., &amp; Cooper, M. B. (2013). </w:t>
      </w:r>
      <w:r w:rsidRPr="00DB4518">
        <w:rPr>
          <w:rFonts w:ascii="Times New Roman" w:eastAsia="Times New Roman" w:hAnsi="Times New Roman" w:cs="Times New Roman"/>
          <w:i/>
          <w:iCs/>
          <w:kern w:val="0"/>
          <w14:ligatures w14:val="none"/>
        </w:rPr>
        <w:t>Supply Chain Logistics Management</w:t>
      </w:r>
      <w:r w:rsidRPr="00DB4518">
        <w:rPr>
          <w:rFonts w:ascii="Times New Roman" w:eastAsia="Times New Roman" w:hAnsi="Times New Roman" w:cs="Times New Roman"/>
          <w:kern w:val="0"/>
          <w14:ligatures w14:val="none"/>
        </w:rPr>
        <w:t>. McGraw-Hill.</w:t>
      </w:r>
    </w:p>
    <w:p w14:paraId="5DA426CE" w14:textId="2D743F8E" w:rsidR="00E42B96" w:rsidRDefault="00E42B96" w:rsidP="00E42B96">
      <w:pPr>
        <w:spacing w:after="0" w:line="480" w:lineRule="auto"/>
        <w:ind w:hanging="480"/>
        <w:rPr>
          <w:rFonts w:ascii="Times New Roman" w:eastAsia="Times New Roman" w:hAnsi="Times New Roman" w:cs="Times New Roman"/>
          <w:kern w:val="0"/>
          <w14:ligatures w14:val="none"/>
        </w:rPr>
      </w:pPr>
      <w:r w:rsidRPr="00E42B96">
        <w:rPr>
          <w:rFonts w:ascii="Times New Roman" w:eastAsia="Times New Roman" w:hAnsi="Times New Roman" w:cs="Times New Roman"/>
          <w:kern w:val="0"/>
          <w14:ligatures w14:val="none"/>
        </w:rPr>
        <w:t xml:space="preserve">Caplice, C. (2007). Electronic Markets for Truckload Transportation. </w:t>
      </w:r>
      <w:r w:rsidRPr="00E42B96">
        <w:rPr>
          <w:rFonts w:ascii="Times New Roman" w:eastAsia="Times New Roman" w:hAnsi="Times New Roman" w:cs="Times New Roman"/>
          <w:i/>
          <w:iCs/>
          <w:kern w:val="0"/>
          <w14:ligatures w14:val="none"/>
        </w:rPr>
        <w:t>Production and Operations Management</w:t>
      </w:r>
      <w:r w:rsidRPr="00E42B96">
        <w:rPr>
          <w:rFonts w:ascii="Times New Roman" w:eastAsia="Times New Roman" w:hAnsi="Times New Roman" w:cs="Times New Roman"/>
          <w:kern w:val="0"/>
          <w14:ligatures w14:val="none"/>
        </w:rPr>
        <w:t xml:space="preserve">, </w:t>
      </w:r>
      <w:r w:rsidRPr="00E42B96">
        <w:rPr>
          <w:rFonts w:ascii="Times New Roman" w:eastAsia="Times New Roman" w:hAnsi="Times New Roman" w:cs="Times New Roman"/>
          <w:i/>
          <w:iCs/>
          <w:kern w:val="0"/>
          <w14:ligatures w14:val="none"/>
        </w:rPr>
        <w:t>16</w:t>
      </w:r>
      <w:r w:rsidRPr="00E42B96">
        <w:rPr>
          <w:rFonts w:ascii="Times New Roman" w:eastAsia="Times New Roman" w:hAnsi="Times New Roman" w:cs="Times New Roman"/>
          <w:kern w:val="0"/>
          <w14:ligatures w14:val="none"/>
        </w:rPr>
        <w:t xml:space="preserve">(4), 423–436. </w:t>
      </w:r>
      <w:hyperlink r:id="rId9" w:history="1">
        <w:r w:rsidRPr="00E42B96">
          <w:rPr>
            <w:rStyle w:val="Hyperlink"/>
            <w:rFonts w:ascii="Times New Roman" w:eastAsia="Times New Roman" w:hAnsi="Times New Roman" w:cs="Times New Roman"/>
            <w:kern w:val="0"/>
            <w14:ligatures w14:val="none"/>
          </w:rPr>
          <w:t>https://doi.org/10.1111/j.1937-5956.2007.tb00270.x</w:t>
        </w:r>
      </w:hyperlink>
    </w:p>
    <w:p w14:paraId="22EF9BE9" w14:textId="45F185BB" w:rsidR="00946AF9" w:rsidRPr="00DB4518" w:rsidRDefault="00946AF9" w:rsidP="00946AF9">
      <w:pPr>
        <w:spacing w:after="0" w:line="480" w:lineRule="auto"/>
        <w:ind w:hanging="480"/>
        <w:rPr>
          <w:rFonts w:ascii="Times New Roman" w:eastAsia="Times New Roman" w:hAnsi="Times New Roman" w:cs="Times New Roman"/>
          <w:kern w:val="0"/>
          <w14:ligatures w14:val="none"/>
        </w:rPr>
      </w:pPr>
      <w:r w:rsidRPr="00946AF9">
        <w:rPr>
          <w:rFonts w:ascii="Times New Roman" w:eastAsia="Times New Roman" w:hAnsi="Times New Roman" w:cs="Times New Roman"/>
          <w:kern w:val="0"/>
          <w14:ligatures w14:val="none"/>
        </w:rPr>
        <w:t xml:space="preserve">De Moor, B. J., Creemers, S., &amp; Boute, R. N. (2023). Breaking truck dominance in supply chains: Proactive freight consolidation and modal split transport. </w:t>
      </w:r>
      <w:r w:rsidRPr="00946AF9">
        <w:rPr>
          <w:rFonts w:ascii="Times New Roman" w:eastAsia="Times New Roman" w:hAnsi="Times New Roman" w:cs="Times New Roman"/>
          <w:i/>
          <w:iCs/>
          <w:kern w:val="0"/>
          <w14:ligatures w14:val="none"/>
        </w:rPr>
        <w:t>International Journal of Production Economics</w:t>
      </w:r>
      <w:r w:rsidRPr="00946AF9">
        <w:rPr>
          <w:rFonts w:ascii="Times New Roman" w:eastAsia="Times New Roman" w:hAnsi="Times New Roman" w:cs="Times New Roman"/>
          <w:kern w:val="0"/>
          <w14:ligatures w14:val="none"/>
        </w:rPr>
        <w:t xml:space="preserve">, </w:t>
      </w:r>
      <w:r w:rsidRPr="00946AF9">
        <w:rPr>
          <w:rFonts w:ascii="Times New Roman" w:eastAsia="Times New Roman" w:hAnsi="Times New Roman" w:cs="Times New Roman"/>
          <w:i/>
          <w:iCs/>
          <w:kern w:val="0"/>
          <w14:ligatures w14:val="none"/>
        </w:rPr>
        <w:t>257</w:t>
      </w:r>
      <w:r w:rsidRPr="00946AF9">
        <w:rPr>
          <w:rFonts w:ascii="Times New Roman" w:eastAsia="Times New Roman" w:hAnsi="Times New Roman" w:cs="Times New Roman"/>
          <w:kern w:val="0"/>
          <w14:ligatures w14:val="none"/>
        </w:rPr>
        <w:t xml:space="preserve">, 108764. </w:t>
      </w:r>
      <w:hyperlink r:id="rId10" w:history="1">
        <w:r w:rsidRPr="00946AF9">
          <w:rPr>
            <w:rStyle w:val="Hyperlink"/>
            <w:rFonts w:ascii="Times New Roman" w:eastAsia="Times New Roman" w:hAnsi="Times New Roman" w:cs="Times New Roman"/>
            <w:kern w:val="0"/>
            <w14:ligatures w14:val="none"/>
          </w:rPr>
          <w:t>https://doi.org/10.1016/j.ijpe.2022.108764</w:t>
        </w:r>
      </w:hyperlink>
    </w:p>
    <w:p w14:paraId="688D7570"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Dickey, D. A., &amp; Fuller, W. A. (1979). Distribution of the Estimators for Autoregressive Time Series With a Unit Root. </w:t>
      </w:r>
      <w:r w:rsidRPr="00DB4518">
        <w:rPr>
          <w:rFonts w:ascii="Times New Roman" w:eastAsia="Times New Roman" w:hAnsi="Times New Roman" w:cs="Times New Roman"/>
          <w:i/>
          <w:iCs/>
          <w:kern w:val="0"/>
          <w14:ligatures w14:val="none"/>
        </w:rPr>
        <w:t>Journal of the American Statistical Association</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74</w:t>
      </w:r>
      <w:r w:rsidRPr="00DB4518">
        <w:rPr>
          <w:rFonts w:ascii="Times New Roman" w:eastAsia="Times New Roman" w:hAnsi="Times New Roman" w:cs="Times New Roman"/>
          <w:kern w:val="0"/>
          <w14:ligatures w14:val="none"/>
        </w:rPr>
        <w:t xml:space="preserve">(366), 427–431. </w:t>
      </w:r>
      <w:hyperlink r:id="rId11" w:history="1">
        <w:r w:rsidRPr="00DB4518">
          <w:rPr>
            <w:rFonts w:ascii="Times New Roman" w:eastAsia="Times New Roman" w:hAnsi="Times New Roman" w:cs="Times New Roman"/>
            <w:color w:val="0000FF"/>
            <w:kern w:val="0"/>
            <w:u w:val="single"/>
            <w14:ligatures w14:val="none"/>
          </w:rPr>
          <w:t>https://doi.org/10.2307/2286348</w:t>
        </w:r>
      </w:hyperlink>
    </w:p>
    <w:p w14:paraId="15DF263A"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Goldsby, T. J., Hoang, T. T., Stank, T. P., &amp; Bell, J. E. (2023). A Modernized Framework for Transportation Decision-Making in a Hyper-Integrated Global Supply Chain Environment. </w:t>
      </w:r>
      <w:r w:rsidRPr="00DB4518">
        <w:rPr>
          <w:rFonts w:ascii="Times New Roman" w:eastAsia="Times New Roman" w:hAnsi="Times New Roman" w:cs="Times New Roman"/>
          <w:i/>
          <w:iCs/>
          <w:kern w:val="0"/>
          <w14:ligatures w14:val="none"/>
        </w:rPr>
        <w:t>Transportation Journal</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62</w:t>
      </w:r>
      <w:r w:rsidRPr="00DB4518">
        <w:rPr>
          <w:rFonts w:ascii="Times New Roman" w:eastAsia="Times New Roman" w:hAnsi="Times New Roman" w:cs="Times New Roman"/>
          <w:kern w:val="0"/>
          <w14:ligatures w14:val="none"/>
        </w:rPr>
        <w:t xml:space="preserve">(1), 16–42. </w:t>
      </w:r>
      <w:hyperlink r:id="rId12" w:history="1">
        <w:r w:rsidRPr="00DB4518">
          <w:rPr>
            <w:rFonts w:ascii="Times New Roman" w:eastAsia="Times New Roman" w:hAnsi="Times New Roman" w:cs="Times New Roman"/>
            <w:color w:val="0000FF"/>
            <w:kern w:val="0"/>
            <w:u w:val="single"/>
            <w14:ligatures w14:val="none"/>
          </w:rPr>
          <w:t>https://doi.org/10.5325/transportationj.62.1.0016</w:t>
        </w:r>
      </w:hyperlink>
    </w:p>
    <w:p w14:paraId="7414C177" w14:textId="2CF59774" w:rsidR="00747C6F" w:rsidRDefault="00747C6F" w:rsidP="00747C6F">
      <w:pPr>
        <w:spacing w:after="0" w:line="480" w:lineRule="auto"/>
        <w:ind w:hanging="480"/>
        <w:rPr>
          <w:rFonts w:ascii="Times New Roman" w:eastAsia="Times New Roman" w:hAnsi="Times New Roman" w:cs="Times New Roman"/>
          <w:kern w:val="0"/>
          <w14:ligatures w14:val="none"/>
        </w:rPr>
      </w:pPr>
      <w:r w:rsidRPr="00747C6F">
        <w:rPr>
          <w:rFonts w:ascii="Times New Roman" w:eastAsia="Times New Roman" w:hAnsi="Times New Roman" w:cs="Times New Roman"/>
          <w:kern w:val="0"/>
          <w14:ligatures w14:val="none"/>
        </w:rPr>
        <w:t xml:space="preserve">Hannan, E. J., &amp; Quinn, B. G. (1979). The Determination of the Order of an Autoregression. </w:t>
      </w:r>
      <w:r w:rsidRPr="00747C6F">
        <w:rPr>
          <w:rFonts w:ascii="Times New Roman" w:eastAsia="Times New Roman" w:hAnsi="Times New Roman" w:cs="Times New Roman"/>
          <w:i/>
          <w:iCs/>
          <w:kern w:val="0"/>
          <w14:ligatures w14:val="none"/>
        </w:rPr>
        <w:t>Journal of the Royal Statistical Society: Series B (Methodological)</w:t>
      </w:r>
      <w:r w:rsidRPr="00747C6F">
        <w:rPr>
          <w:rFonts w:ascii="Times New Roman" w:eastAsia="Times New Roman" w:hAnsi="Times New Roman" w:cs="Times New Roman"/>
          <w:kern w:val="0"/>
          <w14:ligatures w14:val="none"/>
        </w:rPr>
        <w:t xml:space="preserve">, </w:t>
      </w:r>
      <w:r w:rsidRPr="00747C6F">
        <w:rPr>
          <w:rFonts w:ascii="Times New Roman" w:eastAsia="Times New Roman" w:hAnsi="Times New Roman" w:cs="Times New Roman"/>
          <w:i/>
          <w:iCs/>
          <w:kern w:val="0"/>
          <w14:ligatures w14:val="none"/>
        </w:rPr>
        <w:t>41</w:t>
      </w:r>
      <w:r w:rsidRPr="00747C6F">
        <w:rPr>
          <w:rFonts w:ascii="Times New Roman" w:eastAsia="Times New Roman" w:hAnsi="Times New Roman" w:cs="Times New Roman"/>
          <w:kern w:val="0"/>
          <w14:ligatures w14:val="none"/>
        </w:rPr>
        <w:t xml:space="preserve">(2), 190–195. </w:t>
      </w:r>
      <w:hyperlink r:id="rId13" w:history="1">
        <w:r w:rsidRPr="00747C6F">
          <w:rPr>
            <w:rStyle w:val="Hyperlink"/>
            <w:rFonts w:ascii="Times New Roman" w:eastAsia="Times New Roman" w:hAnsi="Times New Roman" w:cs="Times New Roman"/>
            <w:kern w:val="0"/>
            <w14:ligatures w14:val="none"/>
          </w:rPr>
          <w:t>https://doi.org/10.1111/j.2517-6161.1979.tb01072.x</w:t>
        </w:r>
      </w:hyperlink>
    </w:p>
    <w:p w14:paraId="61898013" w14:textId="16EBD399" w:rsidR="001C5C9F" w:rsidRDefault="001C5C9F" w:rsidP="001C5C9F">
      <w:pPr>
        <w:spacing w:after="0" w:line="480" w:lineRule="auto"/>
        <w:ind w:hanging="480"/>
        <w:rPr>
          <w:rFonts w:ascii="Times New Roman" w:eastAsia="Times New Roman" w:hAnsi="Times New Roman" w:cs="Times New Roman"/>
          <w:kern w:val="0"/>
          <w14:ligatures w14:val="none"/>
        </w:rPr>
      </w:pPr>
      <w:r w:rsidRPr="001C5C9F">
        <w:rPr>
          <w:rFonts w:ascii="Times New Roman" w:eastAsia="Times New Roman" w:hAnsi="Times New Roman" w:cs="Times New Roman"/>
          <w:kern w:val="0"/>
          <w14:ligatures w14:val="none"/>
        </w:rPr>
        <w:t xml:space="preserve">Jin, Y. “Henry,” Swanson, D., Waller, M., &amp; Ozment, J. (2017). To Survive and Thrive under Hypercompetition: An Exploratory Analysis of the Influence of Strategic Purity on Truckload Motor-Carrier Financial Performance. </w:t>
      </w:r>
      <w:r w:rsidRPr="001C5C9F">
        <w:rPr>
          <w:rFonts w:ascii="Times New Roman" w:eastAsia="Times New Roman" w:hAnsi="Times New Roman" w:cs="Times New Roman"/>
          <w:i/>
          <w:iCs/>
          <w:kern w:val="0"/>
          <w14:ligatures w14:val="none"/>
        </w:rPr>
        <w:t>Transportation Journal</w:t>
      </w:r>
      <w:r w:rsidRPr="001C5C9F">
        <w:rPr>
          <w:rFonts w:ascii="Times New Roman" w:eastAsia="Times New Roman" w:hAnsi="Times New Roman" w:cs="Times New Roman"/>
          <w:kern w:val="0"/>
          <w14:ligatures w14:val="none"/>
        </w:rPr>
        <w:t xml:space="preserve">, </w:t>
      </w:r>
      <w:r w:rsidRPr="001C5C9F">
        <w:rPr>
          <w:rFonts w:ascii="Times New Roman" w:eastAsia="Times New Roman" w:hAnsi="Times New Roman" w:cs="Times New Roman"/>
          <w:i/>
          <w:iCs/>
          <w:kern w:val="0"/>
          <w14:ligatures w14:val="none"/>
        </w:rPr>
        <w:t>56</w:t>
      </w:r>
      <w:r w:rsidRPr="001C5C9F">
        <w:rPr>
          <w:rFonts w:ascii="Times New Roman" w:eastAsia="Times New Roman" w:hAnsi="Times New Roman" w:cs="Times New Roman"/>
          <w:kern w:val="0"/>
          <w14:ligatures w14:val="none"/>
        </w:rPr>
        <w:t xml:space="preserve">(1), 1–34. </w:t>
      </w:r>
      <w:hyperlink r:id="rId14" w:history="1">
        <w:r w:rsidRPr="001C5C9F">
          <w:rPr>
            <w:rStyle w:val="Hyperlink"/>
            <w:rFonts w:ascii="Times New Roman" w:eastAsia="Times New Roman" w:hAnsi="Times New Roman" w:cs="Times New Roman"/>
            <w:kern w:val="0"/>
            <w14:ligatures w14:val="none"/>
          </w:rPr>
          <w:t>https://doi.org/10.5325/transportationj.56.1.0001</w:t>
        </w:r>
      </w:hyperlink>
    </w:p>
    <w:p w14:paraId="79E0A66D" w14:textId="12C9C4A4" w:rsidR="00D571E1" w:rsidRDefault="00D571E1" w:rsidP="00D571E1">
      <w:pPr>
        <w:spacing w:after="0" w:line="480" w:lineRule="auto"/>
        <w:ind w:hanging="480"/>
        <w:rPr>
          <w:rFonts w:ascii="Times New Roman" w:eastAsia="Times New Roman" w:hAnsi="Times New Roman" w:cs="Times New Roman"/>
          <w:kern w:val="0"/>
          <w14:ligatures w14:val="none"/>
        </w:rPr>
      </w:pPr>
      <w:r w:rsidRPr="00D571E1">
        <w:rPr>
          <w:rFonts w:ascii="Times New Roman" w:eastAsia="Times New Roman" w:hAnsi="Times New Roman" w:cs="Times New Roman"/>
          <w:kern w:val="0"/>
          <w14:ligatures w14:val="none"/>
        </w:rPr>
        <w:lastRenderedPageBreak/>
        <w:t xml:space="preserve">Johansen, S., Mosconi, R., &amp; Nielsen, B. (2000). Cointegration analysis in the presence of structural breaks in the deterministic trend. </w:t>
      </w:r>
      <w:r w:rsidRPr="00D571E1">
        <w:rPr>
          <w:rFonts w:ascii="Times New Roman" w:eastAsia="Times New Roman" w:hAnsi="Times New Roman" w:cs="Times New Roman"/>
          <w:i/>
          <w:iCs/>
          <w:kern w:val="0"/>
          <w14:ligatures w14:val="none"/>
        </w:rPr>
        <w:t>The Econometrics Journal</w:t>
      </w:r>
      <w:r w:rsidRPr="00D571E1">
        <w:rPr>
          <w:rFonts w:ascii="Times New Roman" w:eastAsia="Times New Roman" w:hAnsi="Times New Roman" w:cs="Times New Roman"/>
          <w:kern w:val="0"/>
          <w14:ligatures w14:val="none"/>
        </w:rPr>
        <w:t xml:space="preserve">, </w:t>
      </w:r>
      <w:r w:rsidRPr="00D571E1">
        <w:rPr>
          <w:rFonts w:ascii="Times New Roman" w:eastAsia="Times New Roman" w:hAnsi="Times New Roman" w:cs="Times New Roman"/>
          <w:i/>
          <w:iCs/>
          <w:kern w:val="0"/>
          <w14:ligatures w14:val="none"/>
        </w:rPr>
        <w:t>3</w:t>
      </w:r>
      <w:r w:rsidRPr="00D571E1">
        <w:rPr>
          <w:rFonts w:ascii="Times New Roman" w:eastAsia="Times New Roman" w:hAnsi="Times New Roman" w:cs="Times New Roman"/>
          <w:kern w:val="0"/>
          <w14:ligatures w14:val="none"/>
        </w:rPr>
        <w:t xml:space="preserve">(2), 216–249. </w:t>
      </w:r>
      <w:hyperlink r:id="rId15" w:history="1">
        <w:r w:rsidRPr="00D571E1">
          <w:rPr>
            <w:rStyle w:val="Hyperlink"/>
            <w:rFonts w:ascii="Times New Roman" w:eastAsia="Times New Roman" w:hAnsi="Times New Roman" w:cs="Times New Roman"/>
            <w:kern w:val="0"/>
            <w14:ligatures w14:val="none"/>
          </w:rPr>
          <w:t>https://doi.org/10.1111/1368-423X.00047</w:t>
        </w:r>
      </w:hyperlink>
    </w:p>
    <w:p w14:paraId="6CF598CC" w14:textId="138BEBC5" w:rsidR="00C45171" w:rsidRDefault="00C45171" w:rsidP="00C45171">
      <w:pPr>
        <w:spacing w:after="0" w:line="480" w:lineRule="auto"/>
        <w:ind w:hanging="480"/>
        <w:rPr>
          <w:rFonts w:ascii="Times New Roman" w:eastAsia="Times New Roman" w:hAnsi="Times New Roman" w:cs="Times New Roman"/>
          <w:kern w:val="0"/>
          <w14:ligatures w14:val="none"/>
        </w:rPr>
      </w:pPr>
      <w:r w:rsidRPr="00C45171">
        <w:rPr>
          <w:rFonts w:ascii="Times New Roman" w:eastAsia="Times New Roman" w:hAnsi="Times New Roman" w:cs="Times New Roman"/>
          <w:kern w:val="0"/>
          <w14:ligatures w14:val="none"/>
        </w:rPr>
        <w:t xml:space="preserve">Johansen, S. (1995). Identifying restrictions of linear equations with applications to simultaneous equations and cointegration. </w:t>
      </w:r>
      <w:r w:rsidRPr="00C45171">
        <w:rPr>
          <w:rFonts w:ascii="Times New Roman" w:eastAsia="Times New Roman" w:hAnsi="Times New Roman" w:cs="Times New Roman"/>
          <w:i/>
          <w:iCs/>
          <w:kern w:val="0"/>
          <w14:ligatures w14:val="none"/>
        </w:rPr>
        <w:t>Journal of Econometrics</w:t>
      </w:r>
      <w:r w:rsidRPr="00C45171">
        <w:rPr>
          <w:rFonts w:ascii="Times New Roman" w:eastAsia="Times New Roman" w:hAnsi="Times New Roman" w:cs="Times New Roman"/>
          <w:kern w:val="0"/>
          <w14:ligatures w14:val="none"/>
        </w:rPr>
        <w:t xml:space="preserve">, </w:t>
      </w:r>
      <w:r w:rsidRPr="00C45171">
        <w:rPr>
          <w:rFonts w:ascii="Times New Roman" w:eastAsia="Times New Roman" w:hAnsi="Times New Roman" w:cs="Times New Roman"/>
          <w:i/>
          <w:iCs/>
          <w:kern w:val="0"/>
          <w14:ligatures w14:val="none"/>
        </w:rPr>
        <w:t>69</w:t>
      </w:r>
      <w:r w:rsidRPr="00C45171">
        <w:rPr>
          <w:rFonts w:ascii="Times New Roman" w:eastAsia="Times New Roman" w:hAnsi="Times New Roman" w:cs="Times New Roman"/>
          <w:kern w:val="0"/>
          <w14:ligatures w14:val="none"/>
        </w:rPr>
        <w:t xml:space="preserve">(1), 111–132. </w:t>
      </w:r>
      <w:hyperlink r:id="rId16" w:history="1">
        <w:r w:rsidRPr="00C45171">
          <w:rPr>
            <w:rStyle w:val="Hyperlink"/>
            <w:rFonts w:ascii="Times New Roman" w:eastAsia="Times New Roman" w:hAnsi="Times New Roman" w:cs="Times New Roman"/>
            <w:kern w:val="0"/>
            <w14:ligatures w14:val="none"/>
          </w:rPr>
          <w:t>https://doi.org/10.1016/0304-4076(94)01664-L</w:t>
        </w:r>
      </w:hyperlink>
    </w:p>
    <w:p w14:paraId="248038E4" w14:textId="6BFC5C4E" w:rsidR="006A72F6" w:rsidRDefault="006A72F6" w:rsidP="006A72F6">
      <w:pPr>
        <w:spacing w:after="0" w:line="480" w:lineRule="auto"/>
        <w:ind w:hanging="480"/>
        <w:rPr>
          <w:rFonts w:ascii="Times New Roman" w:eastAsia="Times New Roman" w:hAnsi="Times New Roman" w:cs="Times New Roman"/>
          <w:kern w:val="0"/>
          <w14:ligatures w14:val="none"/>
        </w:rPr>
      </w:pPr>
      <w:r w:rsidRPr="006A72F6">
        <w:rPr>
          <w:rFonts w:ascii="Times New Roman" w:eastAsia="Times New Roman" w:hAnsi="Times New Roman" w:cs="Times New Roman"/>
          <w:kern w:val="0"/>
          <w14:ligatures w14:val="none"/>
        </w:rPr>
        <w:t>Langley Jr, C. J. (1980). The Inclusion of Transportation Costs in Inventory Models: Some Considerations</w:t>
      </w:r>
      <w:r>
        <w:rPr>
          <w:rFonts w:ascii="Times New Roman" w:eastAsia="Times New Roman" w:hAnsi="Times New Roman" w:cs="Times New Roman"/>
          <w:kern w:val="0"/>
          <w14:ligatures w14:val="none"/>
        </w:rPr>
        <w:t>.</w:t>
      </w:r>
      <w:r w:rsidRPr="006A72F6">
        <w:rPr>
          <w:rFonts w:ascii="Times New Roman" w:eastAsia="Times New Roman" w:hAnsi="Times New Roman" w:cs="Times New Roman"/>
          <w:kern w:val="0"/>
          <w14:ligatures w14:val="none"/>
        </w:rPr>
        <w:t xml:space="preserve"> </w:t>
      </w:r>
      <w:r w:rsidRPr="006A72F6">
        <w:rPr>
          <w:rFonts w:ascii="Times New Roman" w:eastAsia="Times New Roman" w:hAnsi="Times New Roman" w:cs="Times New Roman"/>
          <w:i/>
          <w:iCs/>
          <w:kern w:val="0"/>
          <w14:ligatures w14:val="none"/>
        </w:rPr>
        <w:t>Journal of Business Logistics</w:t>
      </w:r>
      <w:r w:rsidRPr="006A72F6">
        <w:rPr>
          <w:rFonts w:ascii="Times New Roman" w:eastAsia="Times New Roman" w:hAnsi="Times New Roman" w:cs="Times New Roman"/>
          <w:kern w:val="0"/>
          <w14:ligatures w14:val="none"/>
        </w:rPr>
        <w:t xml:space="preserve">, </w:t>
      </w:r>
      <w:r w:rsidRPr="006A72F6">
        <w:rPr>
          <w:rFonts w:ascii="Times New Roman" w:eastAsia="Times New Roman" w:hAnsi="Times New Roman" w:cs="Times New Roman"/>
          <w:i/>
          <w:iCs/>
          <w:kern w:val="0"/>
          <w14:ligatures w14:val="none"/>
        </w:rPr>
        <w:t>2</w:t>
      </w:r>
      <w:r w:rsidRPr="006A72F6">
        <w:rPr>
          <w:rFonts w:ascii="Times New Roman" w:eastAsia="Times New Roman" w:hAnsi="Times New Roman" w:cs="Times New Roman"/>
          <w:kern w:val="0"/>
          <w14:ligatures w14:val="none"/>
        </w:rPr>
        <w:t>(1), 106.</w:t>
      </w:r>
    </w:p>
    <w:p w14:paraId="27743AE6" w14:textId="116BA317" w:rsidR="00FE4C8E" w:rsidRDefault="00FE4C8E" w:rsidP="00FE4C8E">
      <w:pPr>
        <w:spacing w:after="0" w:line="480" w:lineRule="auto"/>
        <w:ind w:hanging="480"/>
        <w:rPr>
          <w:rFonts w:ascii="Times New Roman" w:eastAsia="Times New Roman" w:hAnsi="Times New Roman" w:cs="Times New Roman"/>
          <w:kern w:val="0"/>
          <w14:ligatures w14:val="none"/>
        </w:rPr>
      </w:pPr>
      <w:r w:rsidRPr="00FE4C8E">
        <w:rPr>
          <w:rFonts w:ascii="Times New Roman" w:eastAsia="Times New Roman" w:hAnsi="Times New Roman" w:cs="Times New Roman"/>
          <w:kern w:val="0"/>
          <w14:ligatures w14:val="none"/>
        </w:rPr>
        <w:t xml:space="preserve">Lütkepohl, H. (2005). New introduction to multiple time series analysis. </w:t>
      </w:r>
      <w:r w:rsidRPr="00FE4C8E">
        <w:rPr>
          <w:rFonts w:ascii="Times New Roman" w:eastAsia="Times New Roman" w:hAnsi="Times New Roman" w:cs="Times New Roman"/>
          <w:i/>
          <w:iCs/>
          <w:kern w:val="0"/>
          <w14:ligatures w14:val="none"/>
        </w:rPr>
        <w:t>Berlin: Springer</w:t>
      </w:r>
      <w:r w:rsidRPr="00FE4C8E">
        <w:rPr>
          <w:rFonts w:ascii="Times New Roman" w:eastAsia="Times New Roman" w:hAnsi="Times New Roman" w:cs="Times New Roman"/>
          <w:kern w:val="0"/>
          <w14:ligatures w14:val="none"/>
        </w:rPr>
        <w:t xml:space="preserve">, </w:t>
      </w:r>
      <w:r w:rsidRPr="00FE4C8E">
        <w:rPr>
          <w:rFonts w:ascii="Times New Roman" w:eastAsia="Times New Roman" w:hAnsi="Times New Roman" w:cs="Times New Roman"/>
          <w:i/>
          <w:iCs/>
          <w:kern w:val="0"/>
          <w14:ligatures w14:val="none"/>
        </w:rPr>
        <w:t>1</w:t>
      </w:r>
      <w:r w:rsidRPr="00FE4C8E">
        <w:rPr>
          <w:rFonts w:ascii="Times New Roman" w:eastAsia="Times New Roman" w:hAnsi="Times New Roman" w:cs="Times New Roman"/>
          <w:kern w:val="0"/>
          <w14:ligatures w14:val="none"/>
        </w:rPr>
        <w:t>, 1–764.</w:t>
      </w:r>
    </w:p>
    <w:p w14:paraId="77E235E1" w14:textId="69535AC9" w:rsidR="00F6367C" w:rsidRDefault="00F6367C" w:rsidP="00F6367C">
      <w:pPr>
        <w:spacing w:after="0" w:line="480" w:lineRule="auto"/>
        <w:ind w:hanging="480"/>
        <w:rPr>
          <w:rFonts w:ascii="Times New Roman" w:eastAsia="Times New Roman" w:hAnsi="Times New Roman" w:cs="Times New Roman"/>
          <w:kern w:val="0"/>
          <w14:ligatures w14:val="none"/>
        </w:rPr>
      </w:pPr>
      <w:r w:rsidRPr="00F6367C">
        <w:rPr>
          <w:rFonts w:ascii="Times New Roman" w:eastAsia="Times New Roman" w:hAnsi="Times New Roman" w:cs="Times New Roman"/>
          <w:kern w:val="0"/>
          <w14:ligatures w14:val="none"/>
        </w:rPr>
        <w:t xml:space="preserve">Hernández, S., Peeta, S., &amp; Kalafatas, G. (2011). A less-than-truckload carrier collaboration planning problem under dynamic capacities. </w:t>
      </w:r>
      <w:r w:rsidRPr="00F6367C">
        <w:rPr>
          <w:rFonts w:ascii="Times New Roman" w:eastAsia="Times New Roman" w:hAnsi="Times New Roman" w:cs="Times New Roman"/>
          <w:i/>
          <w:iCs/>
          <w:kern w:val="0"/>
          <w14:ligatures w14:val="none"/>
        </w:rPr>
        <w:t>Transportation Research Part E: Logistics and Transportation Review</w:t>
      </w:r>
      <w:r w:rsidRPr="00F6367C">
        <w:rPr>
          <w:rFonts w:ascii="Times New Roman" w:eastAsia="Times New Roman" w:hAnsi="Times New Roman" w:cs="Times New Roman"/>
          <w:kern w:val="0"/>
          <w14:ligatures w14:val="none"/>
        </w:rPr>
        <w:t xml:space="preserve">, </w:t>
      </w:r>
      <w:r w:rsidRPr="00F6367C">
        <w:rPr>
          <w:rFonts w:ascii="Times New Roman" w:eastAsia="Times New Roman" w:hAnsi="Times New Roman" w:cs="Times New Roman"/>
          <w:i/>
          <w:iCs/>
          <w:kern w:val="0"/>
          <w14:ligatures w14:val="none"/>
        </w:rPr>
        <w:t>47</w:t>
      </w:r>
      <w:r w:rsidRPr="00F6367C">
        <w:rPr>
          <w:rFonts w:ascii="Times New Roman" w:eastAsia="Times New Roman" w:hAnsi="Times New Roman" w:cs="Times New Roman"/>
          <w:kern w:val="0"/>
          <w14:ligatures w14:val="none"/>
        </w:rPr>
        <w:t xml:space="preserve">(6), 933–946. </w:t>
      </w:r>
      <w:hyperlink r:id="rId17" w:history="1">
        <w:r w:rsidRPr="00F6367C">
          <w:rPr>
            <w:rStyle w:val="Hyperlink"/>
            <w:rFonts w:ascii="Times New Roman" w:eastAsia="Times New Roman" w:hAnsi="Times New Roman" w:cs="Times New Roman"/>
            <w:kern w:val="0"/>
            <w14:ligatures w14:val="none"/>
          </w:rPr>
          <w:t>https://doi.org/10.1016/j.tre.2011.03.001</w:t>
        </w:r>
      </w:hyperlink>
    </w:p>
    <w:p w14:paraId="65E200EF" w14:textId="5C27A498"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Maysami, R. C., &amp; Koh, T. S. (2000). A vector error correction model of the Singapore stock market. </w:t>
      </w:r>
      <w:r w:rsidRPr="00DB4518">
        <w:rPr>
          <w:rFonts w:ascii="Times New Roman" w:eastAsia="Times New Roman" w:hAnsi="Times New Roman" w:cs="Times New Roman"/>
          <w:i/>
          <w:iCs/>
          <w:kern w:val="0"/>
          <w14:ligatures w14:val="none"/>
        </w:rPr>
        <w:t>International Review of Economics &amp; Finance</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9</w:t>
      </w:r>
      <w:r w:rsidRPr="00DB4518">
        <w:rPr>
          <w:rFonts w:ascii="Times New Roman" w:eastAsia="Times New Roman" w:hAnsi="Times New Roman" w:cs="Times New Roman"/>
          <w:kern w:val="0"/>
          <w14:ligatures w14:val="none"/>
        </w:rPr>
        <w:t xml:space="preserve">(1), 79–96. </w:t>
      </w:r>
      <w:hyperlink r:id="rId18" w:history="1">
        <w:r w:rsidRPr="00DB4518">
          <w:rPr>
            <w:rFonts w:ascii="Times New Roman" w:eastAsia="Times New Roman" w:hAnsi="Times New Roman" w:cs="Times New Roman"/>
            <w:color w:val="0000FF"/>
            <w:kern w:val="0"/>
            <w:u w:val="single"/>
            <w14:ligatures w14:val="none"/>
          </w:rPr>
          <w:t>https://doi.org/10.1016/S1059-0560(99)00042-8</w:t>
        </w:r>
      </w:hyperlink>
    </w:p>
    <w:p w14:paraId="58444328" w14:textId="45C2195F" w:rsidR="00980BAF" w:rsidRDefault="00980BAF" w:rsidP="00980BAF">
      <w:pPr>
        <w:spacing w:after="0" w:line="480" w:lineRule="auto"/>
        <w:ind w:hanging="480"/>
        <w:rPr>
          <w:rFonts w:ascii="Times New Roman" w:eastAsia="Times New Roman" w:hAnsi="Times New Roman" w:cs="Times New Roman"/>
          <w:kern w:val="0"/>
          <w14:ligatures w14:val="none"/>
        </w:rPr>
      </w:pPr>
      <w:r w:rsidRPr="00980BAF">
        <w:rPr>
          <w:rFonts w:ascii="Times New Roman" w:eastAsia="Times New Roman" w:hAnsi="Times New Roman" w:cs="Times New Roman"/>
          <w:kern w:val="0"/>
          <w14:ligatures w14:val="none"/>
        </w:rPr>
        <w:t xml:space="preserve">Miller, J. W. (2019). ARIMA Time Series Models for Full Truckload Transportation Prices. </w:t>
      </w:r>
      <w:r w:rsidRPr="00980BAF">
        <w:rPr>
          <w:rFonts w:ascii="Times New Roman" w:eastAsia="Times New Roman" w:hAnsi="Times New Roman" w:cs="Times New Roman"/>
          <w:i/>
          <w:iCs/>
          <w:kern w:val="0"/>
          <w14:ligatures w14:val="none"/>
        </w:rPr>
        <w:t>Forecasting</w:t>
      </w:r>
      <w:r w:rsidRPr="00980BAF">
        <w:rPr>
          <w:rFonts w:ascii="Times New Roman" w:eastAsia="Times New Roman" w:hAnsi="Times New Roman" w:cs="Times New Roman"/>
          <w:kern w:val="0"/>
          <w14:ligatures w14:val="none"/>
        </w:rPr>
        <w:t xml:space="preserve">, </w:t>
      </w:r>
      <w:r w:rsidRPr="00980BAF">
        <w:rPr>
          <w:rFonts w:ascii="Times New Roman" w:eastAsia="Times New Roman" w:hAnsi="Times New Roman" w:cs="Times New Roman"/>
          <w:i/>
          <w:iCs/>
          <w:kern w:val="0"/>
          <w14:ligatures w14:val="none"/>
        </w:rPr>
        <w:t>1</w:t>
      </w:r>
      <w:r w:rsidRPr="00980BAF">
        <w:rPr>
          <w:rFonts w:ascii="Times New Roman" w:eastAsia="Times New Roman" w:hAnsi="Times New Roman" w:cs="Times New Roman"/>
          <w:kern w:val="0"/>
          <w14:ligatures w14:val="none"/>
        </w:rPr>
        <w:t xml:space="preserve">(1), 121–134. </w:t>
      </w:r>
      <w:hyperlink r:id="rId19" w:history="1">
        <w:r w:rsidRPr="00980BAF">
          <w:rPr>
            <w:rStyle w:val="Hyperlink"/>
            <w:rFonts w:ascii="Times New Roman" w:eastAsia="Times New Roman" w:hAnsi="Times New Roman" w:cs="Times New Roman"/>
            <w:kern w:val="0"/>
            <w14:ligatures w14:val="none"/>
          </w:rPr>
          <w:t>https://doi.org/10.3390/forecast1010009</w:t>
        </w:r>
      </w:hyperlink>
    </w:p>
    <w:p w14:paraId="0DC9EA33" w14:textId="4B6E0F0D"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Miller, J. W., Darby, J. L., &amp; Scott, A. (2022). The Moderating Effect of COVID-19 on the Relationship between Spot Market Prices and Capital Investment in the Motor-Carrier Sector. </w:t>
      </w:r>
      <w:r w:rsidRPr="00DB4518">
        <w:rPr>
          <w:rFonts w:ascii="Times New Roman" w:eastAsia="Times New Roman" w:hAnsi="Times New Roman" w:cs="Times New Roman"/>
          <w:i/>
          <w:iCs/>
          <w:kern w:val="0"/>
          <w14:ligatures w14:val="none"/>
        </w:rPr>
        <w:t>Transportation Journal</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61</w:t>
      </w:r>
      <w:r w:rsidRPr="00DB4518">
        <w:rPr>
          <w:rFonts w:ascii="Times New Roman" w:eastAsia="Times New Roman" w:hAnsi="Times New Roman" w:cs="Times New Roman"/>
          <w:kern w:val="0"/>
          <w14:ligatures w14:val="none"/>
        </w:rPr>
        <w:t xml:space="preserve">(2), 151–194. </w:t>
      </w:r>
      <w:hyperlink r:id="rId20" w:history="1">
        <w:r w:rsidRPr="00DB4518">
          <w:rPr>
            <w:rFonts w:ascii="Times New Roman" w:eastAsia="Times New Roman" w:hAnsi="Times New Roman" w:cs="Times New Roman"/>
            <w:color w:val="0000FF"/>
            <w:kern w:val="0"/>
            <w:u w:val="single"/>
            <w14:ligatures w14:val="none"/>
          </w:rPr>
          <w:t>https://doi.org/10.5325/transportationj.61.2.0151</w:t>
        </w:r>
      </w:hyperlink>
    </w:p>
    <w:p w14:paraId="162A659F"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Miller, J. W., Phares, J., &amp; Burks, S. V. (2024). Job gain and job loss dynamics in the truck transportation industry. </w:t>
      </w:r>
      <w:r w:rsidRPr="00DB4518">
        <w:rPr>
          <w:rFonts w:ascii="Times New Roman" w:eastAsia="Times New Roman" w:hAnsi="Times New Roman" w:cs="Times New Roman"/>
          <w:i/>
          <w:iCs/>
          <w:kern w:val="0"/>
          <w14:ligatures w14:val="none"/>
        </w:rPr>
        <w:t>Journal of Business Logistics</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45</w:t>
      </w:r>
      <w:r w:rsidRPr="00DB4518">
        <w:rPr>
          <w:rFonts w:ascii="Times New Roman" w:eastAsia="Times New Roman" w:hAnsi="Times New Roman" w:cs="Times New Roman"/>
          <w:kern w:val="0"/>
          <w14:ligatures w14:val="none"/>
        </w:rPr>
        <w:t xml:space="preserve">(3), e12391. </w:t>
      </w:r>
      <w:hyperlink r:id="rId21" w:history="1">
        <w:r w:rsidRPr="00DB4518">
          <w:rPr>
            <w:rFonts w:ascii="Times New Roman" w:eastAsia="Times New Roman" w:hAnsi="Times New Roman" w:cs="Times New Roman"/>
            <w:color w:val="0000FF"/>
            <w:kern w:val="0"/>
            <w:u w:val="single"/>
            <w14:ligatures w14:val="none"/>
          </w:rPr>
          <w:t>https://doi.org/10.1111/jbl.12391</w:t>
        </w:r>
      </w:hyperlink>
    </w:p>
    <w:p w14:paraId="738935FD"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lastRenderedPageBreak/>
        <w:t xml:space="preserve">Miller, J. W., Phares, J., &amp; Burks, S. V. (2026). Bring Out the Bulls: Employment Dynamics of Incumbent Trucking Firms During Highly Expansive Market Conditions. </w:t>
      </w:r>
      <w:r w:rsidRPr="00DB4518">
        <w:rPr>
          <w:rFonts w:ascii="Times New Roman" w:eastAsia="Times New Roman" w:hAnsi="Times New Roman" w:cs="Times New Roman"/>
          <w:i/>
          <w:iCs/>
          <w:kern w:val="0"/>
          <w14:ligatures w14:val="none"/>
        </w:rPr>
        <w:t>Transportation Journal</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65</w:t>
      </w:r>
      <w:r w:rsidRPr="00DB4518">
        <w:rPr>
          <w:rFonts w:ascii="Times New Roman" w:eastAsia="Times New Roman" w:hAnsi="Times New Roman" w:cs="Times New Roman"/>
          <w:kern w:val="0"/>
          <w14:ligatures w14:val="none"/>
        </w:rPr>
        <w:t xml:space="preserve">(4), e70034. </w:t>
      </w:r>
      <w:hyperlink r:id="rId22" w:history="1">
        <w:r w:rsidRPr="00DB4518">
          <w:rPr>
            <w:rFonts w:ascii="Times New Roman" w:eastAsia="Times New Roman" w:hAnsi="Times New Roman" w:cs="Times New Roman"/>
            <w:color w:val="0000FF"/>
            <w:kern w:val="0"/>
            <w:u w:val="single"/>
            <w14:ligatures w14:val="none"/>
          </w:rPr>
          <w:t>https://doi.org/10.1002/tjo3.70034</w:t>
        </w:r>
      </w:hyperlink>
    </w:p>
    <w:p w14:paraId="71E911B6"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Miller, J. W., Scott, A., &amp; Williams, B. D. (2021). Pricing Dynamics in the Truckload Sector: The Moderating Role of the Electronic Logging Device Mandate. </w:t>
      </w:r>
      <w:r w:rsidRPr="00DB4518">
        <w:rPr>
          <w:rFonts w:ascii="Times New Roman" w:eastAsia="Times New Roman" w:hAnsi="Times New Roman" w:cs="Times New Roman"/>
          <w:i/>
          <w:iCs/>
          <w:kern w:val="0"/>
          <w14:ligatures w14:val="none"/>
        </w:rPr>
        <w:t>Journal of Business Logistics</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42</w:t>
      </w:r>
      <w:r w:rsidRPr="00DB4518">
        <w:rPr>
          <w:rFonts w:ascii="Times New Roman" w:eastAsia="Times New Roman" w:hAnsi="Times New Roman" w:cs="Times New Roman"/>
          <w:kern w:val="0"/>
          <w14:ligatures w14:val="none"/>
        </w:rPr>
        <w:t xml:space="preserve">(4), 388–405. </w:t>
      </w:r>
      <w:hyperlink r:id="rId23" w:history="1">
        <w:r w:rsidRPr="00DB4518">
          <w:rPr>
            <w:rFonts w:ascii="Times New Roman" w:eastAsia="Times New Roman" w:hAnsi="Times New Roman" w:cs="Times New Roman"/>
            <w:color w:val="0000FF"/>
            <w:kern w:val="0"/>
            <w:u w:val="single"/>
            <w14:ligatures w14:val="none"/>
          </w:rPr>
          <w:t>https://doi.org/10.1111/jbl.12256</w:t>
        </w:r>
      </w:hyperlink>
    </w:p>
    <w:p w14:paraId="1559550D" w14:textId="77777777"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Pfaff, B. (Ed.). (2008). Multiple-Equation Methods. In </w:t>
      </w:r>
      <w:r w:rsidRPr="00DB4518">
        <w:rPr>
          <w:rFonts w:ascii="Times New Roman" w:eastAsia="Times New Roman" w:hAnsi="Times New Roman" w:cs="Times New Roman"/>
          <w:i/>
          <w:iCs/>
          <w:kern w:val="0"/>
          <w14:ligatures w14:val="none"/>
        </w:rPr>
        <w:t>Analysis of Integrated and Cointegrated Time Series with R</w:t>
      </w:r>
      <w:r w:rsidRPr="00DB4518">
        <w:rPr>
          <w:rFonts w:ascii="Times New Roman" w:eastAsia="Times New Roman" w:hAnsi="Times New Roman" w:cs="Times New Roman"/>
          <w:kern w:val="0"/>
          <w14:ligatures w14:val="none"/>
        </w:rPr>
        <w:t xml:space="preserve"> (pp. 129–159). Springer. </w:t>
      </w:r>
      <w:hyperlink r:id="rId24" w:history="1">
        <w:r w:rsidRPr="00DB4518">
          <w:rPr>
            <w:rFonts w:ascii="Times New Roman" w:eastAsia="Times New Roman" w:hAnsi="Times New Roman" w:cs="Times New Roman"/>
            <w:color w:val="0000FF"/>
            <w:kern w:val="0"/>
            <w:u w:val="single"/>
            <w14:ligatures w14:val="none"/>
          </w:rPr>
          <w:t>https://doi.org/10.1007/978-0-387-75967-8_8</w:t>
        </w:r>
      </w:hyperlink>
    </w:p>
    <w:p w14:paraId="1761CE46" w14:textId="79173E9B" w:rsidR="00827322" w:rsidRDefault="00827322" w:rsidP="00827322">
      <w:pPr>
        <w:spacing w:after="0" w:line="480" w:lineRule="auto"/>
        <w:ind w:hanging="480"/>
        <w:rPr>
          <w:rFonts w:ascii="Times New Roman" w:eastAsia="Times New Roman" w:hAnsi="Times New Roman" w:cs="Times New Roman"/>
          <w:kern w:val="0"/>
          <w14:ligatures w14:val="none"/>
        </w:rPr>
      </w:pPr>
      <w:r w:rsidRPr="00827322">
        <w:rPr>
          <w:rFonts w:ascii="Times New Roman" w:eastAsia="Times New Roman" w:hAnsi="Times New Roman" w:cs="Times New Roman"/>
          <w:kern w:val="0"/>
          <w14:ligatures w14:val="none"/>
        </w:rPr>
        <w:t xml:space="preserve">Rakowski, J. P. (1988). Marketing Economies and the Results of Trucking Deregulation in the Less-Than-Truckload Sector. </w:t>
      </w:r>
      <w:r w:rsidRPr="00827322">
        <w:rPr>
          <w:rFonts w:ascii="Times New Roman" w:eastAsia="Times New Roman" w:hAnsi="Times New Roman" w:cs="Times New Roman"/>
          <w:i/>
          <w:iCs/>
          <w:kern w:val="0"/>
          <w14:ligatures w14:val="none"/>
        </w:rPr>
        <w:t>Transportation Journal</w:t>
      </w:r>
      <w:r w:rsidRPr="00827322">
        <w:rPr>
          <w:rFonts w:ascii="Times New Roman" w:eastAsia="Times New Roman" w:hAnsi="Times New Roman" w:cs="Times New Roman"/>
          <w:kern w:val="0"/>
          <w14:ligatures w14:val="none"/>
        </w:rPr>
        <w:t xml:space="preserve">, </w:t>
      </w:r>
      <w:r w:rsidRPr="00827322">
        <w:rPr>
          <w:rFonts w:ascii="Times New Roman" w:eastAsia="Times New Roman" w:hAnsi="Times New Roman" w:cs="Times New Roman"/>
          <w:i/>
          <w:iCs/>
          <w:kern w:val="0"/>
          <w14:ligatures w14:val="none"/>
        </w:rPr>
        <w:t>27</w:t>
      </w:r>
      <w:r w:rsidRPr="00827322">
        <w:rPr>
          <w:rFonts w:ascii="Times New Roman" w:eastAsia="Times New Roman" w:hAnsi="Times New Roman" w:cs="Times New Roman"/>
          <w:kern w:val="0"/>
          <w14:ligatures w14:val="none"/>
        </w:rPr>
        <w:t>(3), 11–22.</w:t>
      </w:r>
    </w:p>
    <w:p w14:paraId="22EE275F" w14:textId="34FADFA0" w:rsidR="00295D6A" w:rsidRDefault="00295D6A" w:rsidP="00295D6A">
      <w:pPr>
        <w:spacing w:after="0" w:line="480" w:lineRule="auto"/>
        <w:ind w:hanging="480"/>
        <w:rPr>
          <w:rFonts w:ascii="Times New Roman" w:eastAsia="Times New Roman" w:hAnsi="Times New Roman" w:cs="Times New Roman"/>
          <w:kern w:val="0"/>
          <w14:ligatures w14:val="none"/>
        </w:rPr>
      </w:pPr>
      <w:r w:rsidRPr="00295D6A">
        <w:rPr>
          <w:rFonts w:ascii="Times New Roman" w:eastAsia="Times New Roman" w:hAnsi="Times New Roman" w:cs="Times New Roman"/>
          <w:kern w:val="0"/>
          <w14:ligatures w14:val="none"/>
        </w:rPr>
        <w:t xml:space="preserve">Scott Hacker, R., &amp; Hatemi-J, A. (2008). Optimal lag-length choice in stable and unstable VAR models under situations of homoscedasticity and ARCH. </w:t>
      </w:r>
      <w:r w:rsidRPr="00295D6A">
        <w:rPr>
          <w:rFonts w:ascii="Times New Roman" w:eastAsia="Times New Roman" w:hAnsi="Times New Roman" w:cs="Times New Roman"/>
          <w:i/>
          <w:iCs/>
          <w:kern w:val="0"/>
          <w14:ligatures w14:val="none"/>
        </w:rPr>
        <w:t>Journal of Applied Statistics</w:t>
      </w:r>
      <w:r w:rsidRPr="00295D6A">
        <w:rPr>
          <w:rFonts w:ascii="Times New Roman" w:eastAsia="Times New Roman" w:hAnsi="Times New Roman" w:cs="Times New Roman"/>
          <w:kern w:val="0"/>
          <w14:ligatures w14:val="none"/>
        </w:rPr>
        <w:t xml:space="preserve">, </w:t>
      </w:r>
      <w:r w:rsidRPr="00295D6A">
        <w:rPr>
          <w:rFonts w:ascii="Times New Roman" w:eastAsia="Times New Roman" w:hAnsi="Times New Roman" w:cs="Times New Roman"/>
          <w:i/>
          <w:iCs/>
          <w:kern w:val="0"/>
          <w14:ligatures w14:val="none"/>
        </w:rPr>
        <w:t>35</w:t>
      </w:r>
      <w:r w:rsidRPr="00295D6A">
        <w:rPr>
          <w:rFonts w:ascii="Times New Roman" w:eastAsia="Times New Roman" w:hAnsi="Times New Roman" w:cs="Times New Roman"/>
          <w:kern w:val="0"/>
          <w14:ligatures w14:val="none"/>
        </w:rPr>
        <w:t xml:space="preserve">(6), 601–615. </w:t>
      </w:r>
      <w:hyperlink r:id="rId25" w:history="1">
        <w:r w:rsidRPr="00295D6A">
          <w:rPr>
            <w:rStyle w:val="Hyperlink"/>
            <w:rFonts w:ascii="Times New Roman" w:eastAsia="Times New Roman" w:hAnsi="Times New Roman" w:cs="Times New Roman"/>
            <w:kern w:val="0"/>
            <w14:ligatures w14:val="none"/>
          </w:rPr>
          <w:t>https://doi.org/10.1080/02664760801920473</w:t>
        </w:r>
      </w:hyperlink>
    </w:p>
    <w:p w14:paraId="1F2096C9" w14:textId="06A27EFB"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Shackman, J., Dai, Q., Schumacher-Dowell, B., &amp; Tobin, J. (2021). The interrelationship between ocean, rail, truck and air freight rates. </w:t>
      </w:r>
      <w:r w:rsidRPr="00DB4518">
        <w:rPr>
          <w:rFonts w:ascii="Times New Roman" w:eastAsia="Times New Roman" w:hAnsi="Times New Roman" w:cs="Times New Roman"/>
          <w:i/>
          <w:iCs/>
          <w:kern w:val="0"/>
          <w14:ligatures w14:val="none"/>
        </w:rPr>
        <w:t>Maritime Business Review</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6</w:t>
      </w:r>
      <w:r w:rsidRPr="00DB4518">
        <w:rPr>
          <w:rFonts w:ascii="Times New Roman" w:eastAsia="Times New Roman" w:hAnsi="Times New Roman" w:cs="Times New Roman"/>
          <w:kern w:val="0"/>
          <w14:ligatures w14:val="none"/>
        </w:rPr>
        <w:t xml:space="preserve">(3), 256–267. </w:t>
      </w:r>
      <w:hyperlink r:id="rId26" w:history="1">
        <w:r w:rsidRPr="00DB4518">
          <w:rPr>
            <w:rFonts w:ascii="Times New Roman" w:eastAsia="Times New Roman" w:hAnsi="Times New Roman" w:cs="Times New Roman"/>
            <w:color w:val="0000FF"/>
            <w:kern w:val="0"/>
            <w:u w:val="single"/>
            <w14:ligatures w14:val="none"/>
          </w:rPr>
          <w:t>https://doi.org/10.1108/MABR-08-2020-0047</w:t>
        </w:r>
      </w:hyperlink>
    </w:p>
    <w:p w14:paraId="38FA94D9" w14:textId="14D05F3A" w:rsidR="003F266B" w:rsidRDefault="003F266B" w:rsidP="003F266B">
      <w:pPr>
        <w:spacing w:after="0" w:line="480" w:lineRule="auto"/>
        <w:ind w:hanging="480"/>
        <w:rPr>
          <w:rFonts w:ascii="Times New Roman" w:eastAsia="Times New Roman" w:hAnsi="Times New Roman" w:cs="Times New Roman"/>
          <w:kern w:val="0"/>
          <w14:ligatures w14:val="none"/>
        </w:rPr>
      </w:pPr>
      <w:r w:rsidRPr="003F266B">
        <w:rPr>
          <w:rFonts w:ascii="Times New Roman" w:eastAsia="Times New Roman" w:hAnsi="Times New Roman" w:cs="Times New Roman"/>
          <w:kern w:val="0"/>
          <w14:ligatures w14:val="none"/>
        </w:rPr>
        <w:t xml:space="preserve">Swanson, D., Jin, Y. “Henry,” &amp; Ashenbaum, B. (2022). How Much Did That Cost? A Call for Improved Transportation Cost Transparency. </w:t>
      </w:r>
      <w:r w:rsidRPr="003F266B">
        <w:rPr>
          <w:rFonts w:ascii="Times New Roman" w:eastAsia="Times New Roman" w:hAnsi="Times New Roman" w:cs="Times New Roman"/>
          <w:i/>
          <w:iCs/>
          <w:kern w:val="0"/>
          <w14:ligatures w14:val="none"/>
        </w:rPr>
        <w:t>Transportation Journal</w:t>
      </w:r>
      <w:r w:rsidRPr="003F266B">
        <w:rPr>
          <w:rFonts w:ascii="Times New Roman" w:eastAsia="Times New Roman" w:hAnsi="Times New Roman" w:cs="Times New Roman"/>
          <w:kern w:val="0"/>
          <w14:ligatures w14:val="none"/>
        </w:rPr>
        <w:t xml:space="preserve">, </w:t>
      </w:r>
      <w:r w:rsidRPr="003F266B">
        <w:rPr>
          <w:rFonts w:ascii="Times New Roman" w:eastAsia="Times New Roman" w:hAnsi="Times New Roman" w:cs="Times New Roman"/>
          <w:i/>
          <w:iCs/>
          <w:kern w:val="0"/>
          <w14:ligatures w14:val="none"/>
        </w:rPr>
        <w:t>61</w:t>
      </w:r>
      <w:r w:rsidRPr="003F266B">
        <w:rPr>
          <w:rFonts w:ascii="Times New Roman" w:eastAsia="Times New Roman" w:hAnsi="Times New Roman" w:cs="Times New Roman"/>
          <w:kern w:val="0"/>
          <w14:ligatures w14:val="none"/>
        </w:rPr>
        <w:t xml:space="preserve">(4), 315–330. </w:t>
      </w:r>
      <w:hyperlink r:id="rId27" w:history="1">
        <w:r w:rsidRPr="003F266B">
          <w:rPr>
            <w:rStyle w:val="Hyperlink"/>
            <w:rFonts w:ascii="Times New Roman" w:eastAsia="Times New Roman" w:hAnsi="Times New Roman" w:cs="Times New Roman"/>
            <w:kern w:val="0"/>
            <w14:ligatures w14:val="none"/>
          </w:rPr>
          <w:t>https://doi.org/10.5325/transportationj.61.4.0315</w:t>
        </w:r>
      </w:hyperlink>
    </w:p>
    <w:p w14:paraId="4045664D" w14:textId="4A083C35" w:rsidR="00DB4518" w:rsidRPr="00DB4518" w:rsidRDefault="00DB4518" w:rsidP="00DB4518">
      <w:pPr>
        <w:spacing w:after="0" w:line="480" w:lineRule="auto"/>
        <w:ind w:hanging="480"/>
        <w:rPr>
          <w:rFonts w:ascii="Times New Roman" w:eastAsia="Times New Roman" w:hAnsi="Times New Roman" w:cs="Times New Roman"/>
          <w:kern w:val="0"/>
          <w14:ligatures w14:val="none"/>
        </w:rPr>
      </w:pPr>
      <w:r w:rsidRPr="00DB4518">
        <w:rPr>
          <w:rFonts w:ascii="Times New Roman" w:eastAsia="Times New Roman" w:hAnsi="Times New Roman" w:cs="Times New Roman"/>
          <w:kern w:val="0"/>
          <w14:ligatures w14:val="none"/>
        </w:rPr>
        <w:t xml:space="preserve">Swanson, D., Williams, B. D., Gu, J., &amp; Waller, M. A. (2016). Full Steam Ahead: Firms in the US Economy Adjust Inventory for Changes in Transportation Costs But Not the Reverse. </w:t>
      </w:r>
      <w:r w:rsidRPr="00DB4518">
        <w:rPr>
          <w:rFonts w:ascii="Times New Roman" w:eastAsia="Times New Roman" w:hAnsi="Times New Roman" w:cs="Times New Roman"/>
          <w:i/>
          <w:iCs/>
          <w:kern w:val="0"/>
          <w14:ligatures w14:val="none"/>
        </w:rPr>
        <w:t>Transportation Journal</w:t>
      </w:r>
      <w:r w:rsidRPr="00DB4518">
        <w:rPr>
          <w:rFonts w:ascii="Times New Roman" w:eastAsia="Times New Roman" w:hAnsi="Times New Roman" w:cs="Times New Roman"/>
          <w:kern w:val="0"/>
          <w14:ligatures w14:val="none"/>
        </w:rPr>
        <w:t xml:space="preserve">, </w:t>
      </w:r>
      <w:r w:rsidRPr="00DB4518">
        <w:rPr>
          <w:rFonts w:ascii="Times New Roman" w:eastAsia="Times New Roman" w:hAnsi="Times New Roman" w:cs="Times New Roman"/>
          <w:i/>
          <w:iCs/>
          <w:kern w:val="0"/>
          <w14:ligatures w14:val="none"/>
        </w:rPr>
        <w:t>55</w:t>
      </w:r>
      <w:r w:rsidRPr="00DB4518">
        <w:rPr>
          <w:rFonts w:ascii="Times New Roman" w:eastAsia="Times New Roman" w:hAnsi="Times New Roman" w:cs="Times New Roman"/>
          <w:kern w:val="0"/>
          <w14:ligatures w14:val="none"/>
        </w:rPr>
        <w:t xml:space="preserve">(3), 282–295. </w:t>
      </w:r>
      <w:hyperlink r:id="rId28" w:history="1">
        <w:r w:rsidRPr="00DB4518">
          <w:rPr>
            <w:rFonts w:ascii="Times New Roman" w:eastAsia="Times New Roman" w:hAnsi="Times New Roman" w:cs="Times New Roman"/>
            <w:color w:val="0000FF"/>
            <w:kern w:val="0"/>
            <w:u w:val="single"/>
            <w14:ligatures w14:val="none"/>
          </w:rPr>
          <w:t>https://doi.org/10.5325/transportationj.55.3.0282</w:t>
        </w:r>
      </w:hyperlink>
    </w:p>
    <w:p w14:paraId="4D7049A5" w14:textId="77777777" w:rsidR="001966C3" w:rsidRPr="000C3710" w:rsidRDefault="001966C3" w:rsidP="000C3710">
      <w:pPr>
        <w:spacing w:line="360" w:lineRule="auto"/>
        <w:jc w:val="both"/>
        <w:rPr>
          <w:rFonts w:ascii="Times New Roman" w:hAnsi="Times New Roman" w:cs="Times New Roman"/>
        </w:rPr>
      </w:pPr>
    </w:p>
    <w:sectPr w:rsidR="001966C3" w:rsidRPr="000C37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13B54" w14:textId="77777777" w:rsidR="007B1335" w:rsidRDefault="007B1335" w:rsidP="006B7981">
      <w:pPr>
        <w:spacing w:after="0" w:line="240" w:lineRule="auto"/>
      </w:pPr>
      <w:r>
        <w:separator/>
      </w:r>
    </w:p>
  </w:endnote>
  <w:endnote w:type="continuationSeparator" w:id="0">
    <w:p w14:paraId="66ACE7A3" w14:textId="77777777" w:rsidR="007B1335" w:rsidRDefault="007B1335" w:rsidP="006B7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B1B6" w14:textId="77777777" w:rsidR="007B1335" w:rsidRDefault="007B1335" w:rsidP="006B7981">
      <w:pPr>
        <w:spacing w:after="0" w:line="240" w:lineRule="auto"/>
      </w:pPr>
      <w:r>
        <w:separator/>
      </w:r>
    </w:p>
  </w:footnote>
  <w:footnote w:type="continuationSeparator" w:id="0">
    <w:p w14:paraId="4ABB139B" w14:textId="77777777" w:rsidR="007B1335" w:rsidRDefault="007B1335" w:rsidP="006B7981">
      <w:pPr>
        <w:spacing w:after="0" w:line="240" w:lineRule="auto"/>
      </w:pPr>
      <w:r>
        <w:continuationSeparator/>
      </w:r>
    </w:p>
  </w:footnote>
  <w:footnote w:id="1">
    <w:p w14:paraId="09DC1533" w14:textId="6C312233" w:rsidR="00322C2A" w:rsidRPr="00FA27F6" w:rsidRDefault="00322C2A">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Lag orders are selected by </w:t>
      </w:r>
      <w:r w:rsidR="00295D6A">
        <w:rPr>
          <w:rFonts w:ascii="Times New Roman" w:hAnsi="Times New Roman" w:cs="Times New Roman"/>
        </w:rPr>
        <w:t>select</w:t>
      </w:r>
      <w:r w:rsidR="00F628AD">
        <w:rPr>
          <w:rFonts w:ascii="Times New Roman" w:hAnsi="Times New Roman" w:cs="Times New Roman"/>
        </w:rPr>
        <w:t xml:space="preserve">ed through </w:t>
      </w:r>
      <w:r w:rsidR="00295D6A">
        <w:rPr>
          <w:rFonts w:ascii="Times New Roman" w:hAnsi="Times New Roman" w:cs="Times New Roman"/>
        </w:rPr>
        <w:t xml:space="preserve">the </w:t>
      </w:r>
      <w:r w:rsidRPr="00322C2A">
        <w:rPr>
          <w:rFonts w:ascii="Times New Roman" w:hAnsi="Times New Roman" w:cs="Times New Roman"/>
        </w:rPr>
        <w:t>Schwarz Bayesian Criterion</w:t>
      </w:r>
      <w:r w:rsidR="00295D6A">
        <w:rPr>
          <w:rFonts w:ascii="Times New Roman" w:hAnsi="Times New Roman" w:cs="Times New Roman"/>
        </w:rPr>
        <w:t xml:space="preserve"> </w:t>
      </w:r>
      <w:r w:rsidR="00B402F0">
        <w:rPr>
          <w:rFonts w:ascii="Times New Roman" w:hAnsi="Times New Roman" w:cs="Times New Roman"/>
        </w:rPr>
        <w:t xml:space="preserve">(SBC) </w:t>
      </w:r>
      <w:r w:rsidR="00295D6A">
        <w:rPr>
          <w:rFonts w:ascii="Times New Roman" w:hAnsi="Times New Roman" w:cs="Times New Roman"/>
        </w:rPr>
        <w:t xml:space="preserve">and the </w:t>
      </w:r>
      <w:r>
        <w:rPr>
          <w:rFonts w:ascii="Times New Roman" w:hAnsi="Times New Roman" w:cs="Times New Roman"/>
        </w:rPr>
        <w:t>Hannan-Quinn Information Criterion</w:t>
      </w:r>
      <w:r w:rsidR="00B402F0">
        <w:rPr>
          <w:rFonts w:ascii="Times New Roman" w:hAnsi="Times New Roman" w:cs="Times New Roman"/>
        </w:rPr>
        <w:t xml:space="preserve"> (HQ)</w:t>
      </w:r>
      <w:r w:rsidR="00295D6A">
        <w:rPr>
          <w:rFonts w:ascii="Times New Roman" w:hAnsi="Times New Roman" w:cs="Times New Roman"/>
        </w:rPr>
        <w:t xml:space="preserve"> </w:t>
      </w:r>
      <w:r w:rsidR="00F628AD" w:rsidRPr="00F628AD">
        <w:rPr>
          <w:rFonts w:ascii="Times New Roman" w:hAnsi="Times New Roman" w:cs="Times New Roman"/>
        </w:rPr>
        <w:t>(Hannan &amp; Quinn, 1979</w:t>
      </w:r>
      <w:r w:rsidR="00F628AD">
        <w:rPr>
          <w:rFonts w:ascii="Times New Roman" w:hAnsi="Times New Roman" w:cs="Times New Roman"/>
        </w:rPr>
        <w:t xml:space="preserve">; </w:t>
      </w:r>
      <w:r w:rsidR="00CA3E61" w:rsidRPr="00CA3E61">
        <w:rPr>
          <w:rFonts w:ascii="Times New Roman" w:hAnsi="Times New Roman" w:cs="Times New Roman"/>
        </w:rPr>
        <w:t>Lütkepohl, 2005</w:t>
      </w:r>
      <w:r w:rsidR="00CA3E61">
        <w:rPr>
          <w:rFonts w:ascii="Times New Roman" w:hAnsi="Times New Roman" w:cs="Times New Roman"/>
        </w:rPr>
        <w:t xml:space="preserve">; </w:t>
      </w:r>
      <w:r w:rsidR="00FE4C8E" w:rsidRPr="00FE4C8E">
        <w:rPr>
          <w:rFonts w:ascii="Times New Roman" w:hAnsi="Times New Roman" w:cs="Times New Roman"/>
        </w:rPr>
        <w:t>Scott Hacker &amp; Hatemi-J, 2008)</w:t>
      </w:r>
      <w:r w:rsidR="00FE4C8E">
        <w:rPr>
          <w:rFonts w:ascii="Times New Roman" w:hAnsi="Times New Roman" w:cs="Times New Roman"/>
        </w:rPr>
        <w:t xml:space="preserve">. </w:t>
      </w:r>
      <w:r w:rsidR="008256E6">
        <w:rPr>
          <w:rFonts w:ascii="Times New Roman" w:hAnsi="Times New Roman" w:cs="Times New Roman"/>
        </w:rPr>
        <w:t xml:space="preserve">When </w:t>
      </w:r>
      <w:r w:rsidR="00B402F0">
        <w:rPr>
          <w:rFonts w:ascii="Times New Roman" w:hAnsi="Times New Roman" w:cs="Times New Roman"/>
        </w:rPr>
        <w:t>SBC</w:t>
      </w:r>
      <w:r w:rsidR="008256E6">
        <w:rPr>
          <w:rFonts w:ascii="Times New Roman" w:hAnsi="Times New Roman" w:cs="Times New Roman"/>
        </w:rPr>
        <w:t xml:space="preserve"> recommends K=1, we </w:t>
      </w:r>
      <w:r w:rsidR="00B402F0">
        <w:rPr>
          <w:rFonts w:ascii="Times New Roman" w:hAnsi="Times New Roman" w:cs="Times New Roman"/>
        </w:rPr>
        <w:t>default to HQ</w:t>
      </w:r>
      <w:r w:rsidR="008256E6">
        <w:rPr>
          <w:rFonts w:ascii="Times New Roman" w:hAnsi="Times New Roman" w:cs="Times New Roman"/>
        </w:rPr>
        <w:t xml:space="preserve">, as </w:t>
      </w:r>
      <w:r w:rsidR="00FA27F6">
        <w:rPr>
          <w:rFonts w:ascii="Times New Roman" w:hAnsi="Times New Roman" w:cs="Times New Roman"/>
        </w:rPr>
        <w:t xml:space="preserve">the </w:t>
      </w:r>
      <w:r w:rsidR="00F829ED">
        <w:rPr>
          <w:rFonts w:ascii="Times New Roman" w:hAnsi="Times New Roman" w:cs="Times New Roman"/>
          <w:i/>
          <w:iCs/>
        </w:rPr>
        <w:t>ca.jo</w:t>
      </w:r>
      <w:r w:rsidR="00FA27F6">
        <w:rPr>
          <w:rFonts w:ascii="Times New Roman" w:hAnsi="Times New Roman" w:cs="Times New Roman"/>
          <w:i/>
          <w:iCs/>
        </w:rPr>
        <w:t xml:space="preserve"> </w:t>
      </w:r>
      <w:r w:rsidR="00FA27F6">
        <w:rPr>
          <w:rFonts w:ascii="Times New Roman" w:hAnsi="Times New Roman" w:cs="Times New Roman"/>
        </w:rPr>
        <w:t>in R sets a floor of K=2.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E23E2"/>
    <w:multiLevelType w:val="hybridMultilevel"/>
    <w:tmpl w:val="64824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53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23"/>
    <w:rsid w:val="00001100"/>
    <w:rsid w:val="000016DE"/>
    <w:rsid w:val="00026CD6"/>
    <w:rsid w:val="00043723"/>
    <w:rsid w:val="00047901"/>
    <w:rsid w:val="0005117E"/>
    <w:rsid w:val="00063838"/>
    <w:rsid w:val="00064E52"/>
    <w:rsid w:val="00071318"/>
    <w:rsid w:val="0007716F"/>
    <w:rsid w:val="00081AB7"/>
    <w:rsid w:val="000C0FA1"/>
    <w:rsid w:val="000C27CB"/>
    <w:rsid w:val="000C3710"/>
    <w:rsid w:val="000C5F47"/>
    <w:rsid w:val="000D0E04"/>
    <w:rsid w:val="000D2377"/>
    <w:rsid w:val="000E4B71"/>
    <w:rsid w:val="000E5986"/>
    <w:rsid w:val="00120C0F"/>
    <w:rsid w:val="001221D6"/>
    <w:rsid w:val="001414FC"/>
    <w:rsid w:val="00153FF5"/>
    <w:rsid w:val="001644F5"/>
    <w:rsid w:val="0017673D"/>
    <w:rsid w:val="001966C3"/>
    <w:rsid w:val="001A1788"/>
    <w:rsid w:val="001A3958"/>
    <w:rsid w:val="001B0B28"/>
    <w:rsid w:val="001B61ED"/>
    <w:rsid w:val="001C2022"/>
    <w:rsid w:val="001C5C9F"/>
    <w:rsid w:val="001D03C8"/>
    <w:rsid w:val="001E0360"/>
    <w:rsid w:val="001E346E"/>
    <w:rsid w:val="001F509B"/>
    <w:rsid w:val="001F6A7F"/>
    <w:rsid w:val="001F74FD"/>
    <w:rsid w:val="002022EB"/>
    <w:rsid w:val="00212DFB"/>
    <w:rsid w:val="0022272E"/>
    <w:rsid w:val="002446A5"/>
    <w:rsid w:val="00247A9F"/>
    <w:rsid w:val="00263AA7"/>
    <w:rsid w:val="00294AD9"/>
    <w:rsid w:val="00295D6A"/>
    <w:rsid w:val="002D72D4"/>
    <w:rsid w:val="002E6BAC"/>
    <w:rsid w:val="00300B09"/>
    <w:rsid w:val="003139C4"/>
    <w:rsid w:val="00322C2A"/>
    <w:rsid w:val="00330D91"/>
    <w:rsid w:val="003417CD"/>
    <w:rsid w:val="00346A49"/>
    <w:rsid w:val="00347010"/>
    <w:rsid w:val="00352063"/>
    <w:rsid w:val="0035721C"/>
    <w:rsid w:val="0038030D"/>
    <w:rsid w:val="00382F5F"/>
    <w:rsid w:val="00385917"/>
    <w:rsid w:val="003A375D"/>
    <w:rsid w:val="003A50F3"/>
    <w:rsid w:val="003B2976"/>
    <w:rsid w:val="003C637E"/>
    <w:rsid w:val="003D4A18"/>
    <w:rsid w:val="003E1CED"/>
    <w:rsid w:val="003F266B"/>
    <w:rsid w:val="004116F5"/>
    <w:rsid w:val="004130ED"/>
    <w:rsid w:val="00420FB9"/>
    <w:rsid w:val="004326DC"/>
    <w:rsid w:val="00452A0A"/>
    <w:rsid w:val="00481B32"/>
    <w:rsid w:val="004877F2"/>
    <w:rsid w:val="004A179F"/>
    <w:rsid w:val="004A7DDC"/>
    <w:rsid w:val="004D2A65"/>
    <w:rsid w:val="004D6C62"/>
    <w:rsid w:val="00534B4B"/>
    <w:rsid w:val="00535933"/>
    <w:rsid w:val="005377FA"/>
    <w:rsid w:val="00543EF8"/>
    <w:rsid w:val="00546703"/>
    <w:rsid w:val="00561015"/>
    <w:rsid w:val="00561DED"/>
    <w:rsid w:val="00572FC3"/>
    <w:rsid w:val="005820EC"/>
    <w:rsid w:val="00593305"/>
    <w:rsid w:val="005A40F7"/>
    <w:rsid w:val="005B6118"/>
    <w:rsid w:val="005B6157"/>
    <w:rsid w:val="005C50DC"/>
    <w:rsid w:val="00615318"/>
    <w:rsid w:val="006615C8"/>
    <w:rsid w:val="00663A01"/>
    <w:rsid w:val="00670DE9"/>
    <w:rsid w:val="00676ECA"/>
    <w:rsid w:val="00682D66"/>
    <w:rsid w:val="006A72F6"/>
    <w:rsid w:val="006B37B7"/>
    <w:rsid w:val="006B7981"/>
    <w:rsid w:val="006D5583"/>
    <w:rsid w:val="006E51D8"/>
    <w:rsid w:val="00705CE3"/>
    <w:rsid w:val="00711F8E"/>
    <w:rsid w:val="00715FAB"/>
    <w:rsid w:val="00717D43"/>
    <w:rsid w:val="00726BBF"/>
    <w:rsid w:val="00745EF8"/>
    <w:rsid w:val="00747C6F"/>
    <w:rsid w:val="00750EE6"/>
    <w:rsid w:val="007909BB"/>
    <w:rsid w:val="00792EB6"/>
    <w:rsid w:val="007A2017"/>
    <w:rsid w:val="007A375C"/>
    <w:rsid w:val="007A59EF"/>
    <w:rsid w:val="007B1335"/>
    <w:rsid w:val="007C0FAD"/>
    <w:rsid w:val="007F1A24"/>
    <w:rsid w:val="007F3277"/>
    <w:rsid w:val="00800465"/>
    <w:rsid w:val="00823A77"/>
    <w:rsid w:val="008256E6"/>
    <w:rsid w:val="00827322"/>
    <w:rsid w:val="00832E05"/>
    <w:rsid w:val="0083650A"/>
    <w:rsid w:val="008503C2"/>
    <w:rsid w:val="00851873"/>
    <w:rsid w:val="008520F2"/>
    <w:rsid w:val="008537A0"/>
    <w:rsid w:val="00863EF5"/>
    <w:rsid w:val="00864510"/>
    <w:rsid w:val="00881708"/>
    <w:rsid w:val="00887F83"/>
    <w:rsid w:val="00895E09"/>
    <w:rsid w:val="008A7AC7"/>
    <w:rsid w:val="008C3DD8"/>
    <w:rsid w:val="00903B2E"/>
    <w:rsid w:val="00930F6E"/>
    <w:rsid w:val="00946AF9"/>
    <w:rsid w:val="00954376"/>
    <w:rsid w:val="0096302A"/>
    <w:rsid w:val="00964E63"/>
    <w:rsid w:val="009717CF"/>
    <w:rsid w:val="00980BAF"/>
    <w:rsid w:val="009C2698"/>
    <w:rsid w:val="009C2A95"/>
    <w:rsid w:val="009C542C"/>
    <w:rsid w:val="009D7951"/>
    <w:rsid w:val="009E1747"/>
    <w:rsid w:val="009F166A"/>
    <w:rsid w:val="009F1837"/>
    <w:rsid w:val="00A15635"/>
    <w:rsid w:val="00A35187"/>
    <w:rsid w:val="00A355D4"/>
    <w:rsid w:val="00A42C58"/>
    <w:rsid w:val="00A54507"/>
    <w:rsid w:val="00A63D5F"/>
    <w:rsid w:val="00A768E6"/>
    <w:rsid w:val="00A81625"/>
    <w:rsid w:val="00A86606"/>
    <w:rsid w:val="00A905C2"/>
    <w:rsid w:val="00A92C4F"/>
    <w:rsid w:val="00AA4CC7"/>
    <w:rsid w:val="00AB108D"/>
    <w:rsid w:val="00AC5824"/>
    <w:rsid w:val="00AD1338"/>
    <w:rsid w:val="00AE2667"/>
    <w:rsid w:val="00AF2A88"/>
    <w:rsid w:val="00B04986"/>
    <w:rsid w:val="00B04CE3"/>
    <w:rsid w:val="00B33167"/>
    <w:rsid w:val="00B402F0"/>
    <w:rsid w:val="00B430F7"/>
    <w:rsid w:val="00B60A7A"/>
    <w:rsid w:val="00B6794B"/>
    <w:rsid w:val="00B846F2"/>
    <w:rsid w:val="00BA6927"/>
    <w:rsid w:val="00BC2BF5"/>
    <w:rsid w:val="00BD2C61"/>
    <w:rsid w:val="00BD46E0"/>
    <w:rsid w:val="00BE3E57"/>
    <w:rsid w:val="00BF754F"/>
    <w:rsid w:val="00C32D53"/>
    <w:rsid w:val="00C45171"/>
    <w:rsid w:val="00C547DD"/>
    <w:rsid w:val="00C74293"/>
    <w:rsid w:val="00C77F3F"/>
    <w:rsid w:val="00C845D1"/>
    <w:rsid w:val="00C95852"/>
    <w:rsid w:val="00CA3E61"/>
    <w:rsid w:val="00CA5F5E"/>
    <w:rsid w:val="00CB379E"/>
    <w:rsid w:val="00CB3980"/>
    <w:rsid w:val="00CB47ED"/>
    <w:rsid w:val="00CB51D3"/>
    <w:rsid w:val="00CD4C67"/>
    <w:rsid w:val="00CE165C"/>
    <w:rsid w:val="00CF474E"/>
    <w:rsid w:val="00D070DA"/>
    <w:rsid w:val="00D074AE"/>
    <w:rsid w:val="00D102E1"/>
    <w:rsid w:val="00D16152"/>
    <w:rsid w:val="00D16679"/>
    <w:rsid w:val="00D402C9"/>
    <w:rsid w:val="00D4398E"/>
    <w:rsid w:val="00D50437"/>
    <w:rsid w:val="00D54394"/>
    <w:rsid w:val="00D571E1"/>
    <w:rsid w:val="00D57F00"/>
    <w:rsid w:val="00D773AE"/>
    <w:rsid w:val="00D77854"/>
    <w:rsid w:val="00D85A10"/>
    <w:rsid w:val="00DA5FB4"/>
    <w:rsid w:val="00DB4518"/>
    <w:rsid w:val="00DC540C"/>
    <w:rsid w:val="00DC6662"/>
    <w:rsid w:val="00DD6089"/>
    <w:rsid w:val="00DE24C6"/>
    <w:rsid w:val="00DE6388"/>
    <w:rsid w:val="00DF4D31"/>
    <w:rsid w:val="00E10E81"/>
    <w:rsid w:val="00E165C6"/>
    <w:rsid w:val="00E3533C"/>
    <w:rsid w:val="00E42B96"/>
    <w:rsid w:val="00E659EC"/>
    <w:rsid w:val="00E736B5"/>
    <w:rsid w:val="00E90BC6"/>
    <w:rsid w:val="00E97AB5"/>
    <w:rsid w:val="00ED3CD6"/>
    <w:rsid w:val="00EF0136"/>
    <w:rsid w:val="00F171D7"/>
    <w:rsid w:val="00F23A0D"/>
    <w:rsid w:val="00F31E1A"/>
    <w:rsid w:val="00F33EA1"/>
    <w:rsid w:val="00F51E5C"/>
    <w:rsid w:val="00F621A9"/>
    <w:rsid w:val="00F628AD"/>
    <w:rsid w:val="00F6367C"/>
    <w:rsid w:val="00F807F1"/>
    <w:rsid w:val="00F81AA4"/>
    <w:rsid w:val="00F829ED"/>
    <w:rsid w:val="00FA27F6"/>
    <w:rsid w:val="00FB112A"/>
    <w:rsid w:val="00FB45F5"/>
    <w:rsid w:val="00FB5246"/>
    <w:rsid w:val="00FD1C27"/>
    <w:rsid w:val="00FE4C8E"/>
    <w:rsid w:val="00FF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597"/>
  <w15:chartTrackingRefBased/>
  <w15:docId w15:val="{CF2AAB8A-1713-48C7-8776-3766620C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723"/>
    <w:rPr>
      <w:rFonts w:eastAsiaTheme="majorEastAsia" w:cstheme="majorBidi"/>
      <w:color w:val="272727" w:themeColor="text1" w:themeTint="D8"/>
    </w:rPr>
  </w:style>
  <w:style w:type="paragraph" w:styleId="Title">
    <w:name w:val="Title"/>
    <w:basedOn w:val="Normal"/>
    <w:next w:val="Normal"/>
    <w:link w:val="TitleChar"/>
    <w:uiPriority w:val="10"/>
    <w:qFormat/>
    <w:rsid w:val="00043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723"/>
    <w:pPr>
      <w:spacing w:before="160"/>
      <w:jc w:val="center"/>
    </w:pPr>
    <w:rPr>
      <w:i/>
      <w:iCs/>
      <w:color w:val="404040" w:themeColor="text1" w:themeTint="BF"/>
    </w:rPr>
  </w:style>
  <w:style w:type="character" w:customStyle="1" w:styleId="QuoteChar">
    <w:name w:val="Quote Char"/>
    <w:basedOn w:val="DefaultParagraphFont"/>
    <w:link w:val="Quote"/>
    <w:uiPriority w:val="29"/>
    <w:rsid w:val="00043723"/>
    <w:rPr>
      <w:i/>
      <w:iCs/>
      <w:color w:val="404040" w:themeColor="text1" w:themeTint="BF"/>
    </w:rPr>
  </w:style>
  <w:style w:type="paragraph" w:styleId="ListParagraph">
    <w:name w:val="List Paragraph"/>
    <w:basedOn w:val="Normal"/>
    <w:uiPriority w:val="34"/>
    <w:qFormat/>
    <w:rsid w:val="00043723"/>
    <w:pPr>
      <w:ind w:left="720"/>
      <w:contextualSpacing/>
    </w:pPr>
  </w:style>
  <w:style w:type="character" w:styleId="IntenseEmphasis">
    <w:name w:val="Intense Emphasis"/>
    <w:basedOn w:val="DefaultParagraphFont"/>
    <w:uiPriority w:val="21"/>
    <w:qFormat/>
    <w:rsid w:val="00043723"/>
    <w:rPr>
      <w:i/>
      <w:iCs/>
      <w:color w:val="0F4761" w:themeColor="accent1" w:themeShade="BF"/>
    </w:rPr>
  </w:style>
  <w:style w:type="paragraph" w:styleId="IntenseQuote">
    <w:name w:val="Intense Quote"/>
    <w:basedOn w:val="Normal"/>
    <w:next w:val="Normal"/>
    <w:link w:val="IntenseQuoteChar"/>
    <w:uiPriority w:val="30"/>
    <w:qFormat/>
    <w:rsid w:val="00043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723"/>
    <w:rPr>
      <w:i/>
      <w:iCs/>
      <w:color w:val="0F4761" w:themeColor="accent1" w:themeShade="BF"/>
    </w:rPr>
  </w:style>
  <w:style w:type="character" w:styleId="IntenseReference">
    <w:name w:val="Intense Reference"/>
    <w:basedOn w:val="DefaultParagraphFont"/>
    <w:uiPriority w:val="32"/>
    <w:qFormat/>
    <w:rsid w:val="00043723"/>
    <w:rPr>
      <w:b/>
      <w:bCs/>
      <w:smallCaps/>
      <w:color w:val="0F4761" w:themeColor="accent1" w:themeShade="BF"/>
      <w:spacing w:val="5"/>
    </w:rPr>
  </w:style>
  <w:style w:type="character" w:styleId="Hyperlink">
    <w:name w:val="Hyperlink"/>
    <w:basedOn w:val="DefaultParagraphFont"/>
    <w:uiPriority w:val="99"/>
    <w:unhideWhenUsed/>
    <w:rsid w:val="001C2022"/>
    <w:rPr>
      <w:color w:val="467886" w:themeColor="hyperlink"/>
      <w:u w:val="single"/>
    </w:rPr>
  </w:style>
  <w:style w:type="character" w:styleId="UnresolvedMention">
    <w:name w:val="Unresolved Mention"/>
    <w:basedOn w:val="DefaultParagraphFont"/>
    <w:uiPriority w:val="99"/>
    <w:semiHidden/>
    <w:unhideWhenUsed/>
    <w:rsid w:val="001C2022"/>
    <w:rPr>
      <w:color w:val="605E5C"/>
      <w:shd w:val="clear" w:color="auto" w:fill="E1DFDD"/>
    </w:rPr>
  </w:style>
  <w:style w:type="character" w:styleId="CommentReference">
    <w:name w:val="annotation reference"/>
    <w:basedOn w:val="DefaultParagraphFont"/>
    <w:uiPriority w:val="99"/>
    <w:semiHidden/>
    <w:unhideWhenUsed/>
    <w:rsid w:val="008520F2"/>
    <w:rPr>
      <w:sz w:val="16"/>
      <w:szCs w:val="16"/>
    </w:rPr>
  </w:style>
  <w:style w:type="paragraph" w:styleId="CommentText">
    <w:name w:val="annotation text"/>
    <w:basedOn w:val="Normal"/>
    <w:link w:val="CommentTextChar"/>
    <w:uiPriority w:val="99"/>
    <w:unhideWhenUsed/>
    <w:rsid w:val="008520F2"/>
    <w:pPr>
      <w:spacing w:line="240" w:lineRule="auto"/>
    </w:pPr>
    <w:rPr>
      <w:sz w:val="20"/>
      <w:szCs w:val="20"/>
    </w:rPr>
  </w:style>
  <w:style w:type="character" w:customStyle="1" w:styleId="CommentTextChar">
    <w:name w:val="Comment Text Char"/>
    <w:basedOn w:val="DefaultParagraphFont"/>
    <w:link w:val="CommentText"/>
    <w:uiPriority w:val="99"/>
    <w:rsid w:val="008520F2"/>
    <w:rPr>
      <w:sz w:val="20"/>
      <w:szCs w:val="20"/>
    </w:rPr>
  </w:style>
  <w:style w:type="paragraph" w:styleId="CommentSubject">
    <w:name w:val="annotation subject"/>
    <w:basedOn w:val="CommentText"/>
    <w:next w:val="CommentText"/>
    <w:link w:val="CommentSubjectChar"/>
    <w:uiPriority w:val="99"/>
    <w:semiHidden/>
    <w:unhideWhenUsed/>
    <w:rsid w:val="008520F2"/>
    <w:rPr>
      <w:b/>
      <w:bCs/>
    </w:rPr>
  </w:style>
  <w:style w:type="character" w:customStyle="1" w:styleId="CommentSubjectChar">
    <w:name w:val="Comment Subject Char"/>
    <w:basedOn w:val="CommentTextChar"/>
    <w:link w:val="CommentSubject"/>
    <w:uiPriority w:val="99"/>
    <w:semiHidden/>
    <w:rsid w:val="008520F2"/>
    <w:rPr>
      <w:b/>
      <w:bCs/>
      <w:sz w:val="20"/>
      <w:szCs w:val="20"/>
    </w:rPr>
  </w:style>
  <w:style w:type="table" w:styleId="TableGrid">
    <w:name w:val="Table Grid"/>
    <w:basedOn w:val="TableNormal"/>
    <w:uiPriority w:val="39"/>
    <w:rsid w:val="00B33167"/>
    <w:pPr>
      <w:spacing w:after="0" w:line="240" w:lineRule="auto"/>
    </w:pPr>
    <w:rPr>
      <w:rFonts w:ascii="Arial" w:eastAsia="Arial" w:hAnsi="Arial" w:cs="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B79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981"/>
    <w:rPr>
      <w:sz w:val="20"/>
      <w:szCs w:val="20"/>
    </w:rPr>
  </w:style>
  <w:style w:type="character" w:styleId="FootnoteReference">
    <w:name w:val="footnote reference"/>
    <w:basedOn w:val="DefaultParagraphFont"/>
    <w:uiPriority w:val="99"/>
    <w:semiHidden/>
    <w:unhideWhenUsed/>
    <w:rsid w:val="006B7981"/>
    <w:rPr>
      <w:vertAlign w:val="superscript"/>
    </w:rPr>
  </w:style>
  <w:style w:type="table" w:styleId="TableGridLight">
    <w:name w:val="Grid Table Light"/>
    <w:basedOn w:val="TableNormal"/>
    <w:uiPriority w:val="40"/>
    <w:rsid w:val="00346A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46A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C2BF5"/>
    <w:rPr>
      <w:color w:val="666666"/>
    </w:rPr>
  </w:style>
  <w:style w:type="paragraph" w:styleId="NormalWeb">
    <w:name w:val="Normal (Web)"/>
    <w:basedOn w:val="Normal"/>
    <w:uiPriority w:val="99"/>
    <w:semiHidden/>
    <w:unhideWhenUsed/>
    <w:rsid w:val="000479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87/mnsc.16.7.413" TargetMode="External"/><Relationship Id="rId13" Type="http://schemas.openxmlformats.org/officeDocument/2006/relationships/hyperlink" Target="https://doi.org/10.1111/j.2517-6161.1979.tb01072.x" TargetMode="External"/><Relationship Id="rId18" Type="http://schemas.openxmlformats.org/officeDocument/2006/relationships/hyperlink" Target="https://doi.org/10.1016/S1059-0560(99)00042-8" TargetMode="External"/><Relationship Id="rId26" Type="http://schemas.openxmlformats.org/officeDocument/2006/relationships/hyperlink" Target="https://doi.org/10.1108/MABR-08-2020-0047" TargetMode="External"/><Relationship Id="rId3" Type="http://schemas.openxmlformats.org/officeDocument/2006/relationships/styles" Target="styles.xml"/><Relationship Id="rId21" Type="http://schemas.openxmlformats.org/officeDocument/2006/relationships/hyperlink" Target="https://doi.org/10.1111/jbl.12391" TargetMode="External"/><Relationship Id="rId7" Type="http://schemas.openxmlformats.org/officeDocument/2006/relationships/endnotes" Target="endnotes.xml"/><Relationship Id="rId12" Type="http://schemas.openxmlformats.org/officeDocument/2006/relationships/hyperlink" Target="https://doi.org/10.5325/transportationj.62.1.0016" TargetMode="External"/><Relationship Id="rId17" Type="http://schemas.openxmlformats.org/officeDocument/2006/relationships/hyperlink" Target="https://doi.org/10.1016/j.tre.2011.03.001" TargetMode="External"/><Relationship Id="rId25" Type="http://schemas.openxmlformats.org/officeDocument/2006/relationships/hyperlink" Target="https://doi.org/10.1080/02664760801920473" TargetMode="External"/><Relationship Id="rId2" Type="http://schemas.openxmlformats.org/officeDocument/2006/relationships/numbering" Target="numbering.xml"/><Relationship Id="rId16" Type="http://schemas.openxmlformats.org/officeDocument/2006/relationships/hyperlink" Target="https://doi.org/10.1016/0304-4076(94)01664-L" TargetMode="External"/><Relationship Id="rId20" Type="http://schemas.openxmlformats.org/officeDocument/2006/relationships/hyperlink" Target="https://doi.org/10.5325/transportationj.61.2.015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307/2286348" TargetMode="External"/><Relationship Id="rId24" Type="http://schemas.openxmlformats.org/officeDocument/2006/relationships/hyperlink" Target="https://doi.org/10.1007/978-0-387-75967-8_8" TargetMode="External"/><Relationship Id="rId5" Type="http://schemas.openxmlformats.org/officeDocument/2006/relationships/webSettings" Target="webSettings.xml"/><Relationship Id="rId15" Type="http://schemas.openxmlformats.org/officeDocument/2006/relationships/hyperlink" Target="https://doi.org/10.1111/1368-423X.00047" TargetMode="External"/><Relationship Id="rId23" Type="http://schemas.openxmlformats.org/officeDocument/2006/relationships/hyperlink" Target="https://doi.org/10.1111/jbl.12256" TargetMode="External"/><Relationship Id="rId28" Type="http://schemas.openxmlformats.org/officeDocument/2006/relationships/hyperlink" Target="https://doi.org/10.5325/transportationj.55.3.0282" TargetMode="External"/><Relationship Id="rId10" Type="http://schemas.openxmlformats.org/officeDocument/2006/relationships/hyperlink" Target="https://doi.org/10.1016/j.ijpe.2022.108764" TargetMode="External"/><Relationship Id="rId19" Type="http://schemas.openxmlformats.org/officeDocument/2006/relationships/hyperlink" Target="https://doi.org/10.3390/forecast1010009" TargetMode="External"/><Relationship Id="rId4" Type="http://schemas.openxmlformats.org/officeDocument/2006/relationships/settings" Target="settings.xml"/><Relationship Id="rId9" Type="http://schemas.openxmlformats.org/officeDocument/2006/relationships/hyperlink" Target="https://doi.org/10.1111/j.1937-5956.2007.tb00270.x" TargetMode="External"/><Relationship Id="rId14" Type="http://schemas.openxmlformats.org/officeDocument/2006/relationships/hyperlink" Target="https://doi.org/10.5325/transportationj.56.1.0001" TargetMode="External"/><Relationship Id="rId22" Type="http://schemas.openxmlformats.org/officeDocument/2006/relationships/hyperlink" Target="https://doi.org/10.1002/tjo3.70034" TargetMode="External"/><Relationship Id="rId27" Type="http://schemas.openxmlformats.org/officeDocument/2006/relationships/hyperlink" Target="https://doi.org/10.5325/transportationj.61.4.031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7AB7C-CC52-4333-94DB-821304C49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3204</Words>
  <Characters>18265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Sinha</dc:creator>
  <cp:keywords/>
  <dc:description/>
  <cp:lastModifiedBy>Sparsh Sinha</cp:lastModifiedBy>
  <cp:revision>21</cp:revision>
  <dcterms:created xsi:type="dcterms:W3CDTF">2026-09-20T23:02:00Z</dcterms:created>
  <dcterms:modified xsi:type="dcterms:W3CDTF">2026-09-20T23:13:00Z</dcterms:modified>
</cp:coreProperties>
</file>