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left"/>
      </w:pPr>
      <w:r>
        <w:rPr>
          <w:rFonts w:ascii="Carlito" w:hAnsi="Carlito"/>
          <w:b/>
          <w:color w:val="1B7F7A"/>
          <w:sz w:val="36"/>
        </w:rPr>
        <w:t>NORDIC B2B SAAS</w:t>
      </w:r>
    </w:p>
    <w:p>
      <w:pPr>
        <w:pStyle w:val="Title"/>
        <w:spacing w:after="100"/>
      </w:pPr>
      <w:r>
        <w:rPr>
          <w:rFonts w:ascii="Carlito" w:hAnsi="Carlito"/>
          <w:b/>
          <w:color w:val="17324D"/>
          <w:sz w:val="60"/>
        </w:rPr>
        <w:t>Outbound Prospecting Playbook</w:t>
      </w:r>
    </w:p>
    <w:p>
      <w:pPr>
        <w:pStyle w:val="Subtitle"/>
      </w:pPr>
      <w:r>
        <w:rPr>
          <w:rFonts w:ascii="Carlito" w:hAnsi="Carlito"/>
          <w:b/>
          <w:color w:val="1B7F7A"/>
          <w:sz w:val="30"/>
        </w:rPr>
        <w:t>Freshservice | Device42 | FireHydrant</w:t>
      </w:r>
    </w:p>
    <w:tbl>
      <w:tblPr>
        <w:tblW w:type="auto" w:w="0"/>
        <w:jc w:val="left"/>
        <w:tblLook w:firstColumn="1" w:firstRow="1" w:lastColumn="0" w:lastRow="0" w:noHBand="0" w:noVBand="1" w:val="04A0"/>
      </w:tblPr>
      <w:tblGrid>
        <w:gridCol w:w="9835"/>
      </w:tblGrid>
      <w:tr>
        <w:tc>
          <w:tcPr>
            <w:tcW w:type="dxa" w:w="3168"/>
            <w:shd w:fill="1B7F7A"/>
            <w:tcMar>
              <w:top w:w="15" w:type="dxa"/>
              <w:start w:w="0" w:type="dxa"/>
              <w:bottom w:w="15" w:type="dxa"/>
              <w:end w:w="0" w:type="dxa"/>
            </w:tcMar>
          </w:tcPr>
          <w:p>
            <w:r/>
          </w:p>
        </w:tc>
      </w:tr>
    </w:tbl>
    <w:p>
      <w:pPr>
        <w:spacing w:after="40" w:before="360" w:line="259" w:lineRule="auto"/>
      </w:pPr>
      <w:r>
        <w:rPr>
          <w:rFonts w:ascii="Carlito" w:hAnsi="Carlito"/>
          <w:color w:val="17324D"/>
          <w:sz w:val="24"/>
        </w:rPr>
        <w:t>Prepared for Moe Salimi Tari</w:t>
      </w:r>
    </w:p>
    <w:p>
      <w:pPr>
        <w:spacing w:after="40" w:before="0" w:line="259" w:lineRule="auto"/>
      </w:pPr>
      <w:r>
        <w:rPr>
          <w:rFonts w:ascii="Carlito" w:hAnsi="Carlito"/>
          <w:color w:val="6B7785"/>
          <w:sz w:val="21"/>
        </w:rPr>
        <w:t>Lead Account Executive, Freshworks</w:t>
      </w:r>
    </w:p>
    <w:p>
      <w:pPr>
        <w:spacing w:after="480" w:before="0" w:line="259" w:lineRule="auto"/>
      </w:pPr>
      <w:r>
        <w:rPr>
          <w:rFonts w:ascii="Carlito" w:hAnsi="Carlito"/>
          <w:color w:val="6B7785"/>
          <w:sz w:val="21"/>
        </w:rPr>
        <w:t>Version 1.0 | July 2026</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Purpose</w:t>
            </w:r>
          </w:p>
          <w:p>
            <w:pPr>
              <w:spacing w:after="0" w:line="259" w:lineRule="auto"/>
            </w:pPr>
            <w:r>
              <w:rPr>
                <w:rFonts w:ascii="Carlito" w:hAnsi="Carlito"/>
                <w:color w:val="1E2A35"/>
                <w:sz w:val="20"/>
              </w:rPr>
              <w:t>A practical, evidence-informed operating system for selecting Nordic accounts, prioritising triggers, mapping buying groups, sequencing multichannel outreach, drafting relevant messages, and governing automation. It is designed for human-approved outbound rather than autonomous sending.</w:t>
            </w:r>
          </w:p>
        </w:tc>
      </w:tr>
    </w:tbl>
    <w:p>
      <w:pPr>
        <w:spacing w:after="0"/>
      </w:pPr>
    </w:p>
    <w:p>
      <w:pPr>
        <w:spacing w:before="1000"/>
      </w:pPr>
      <w:r>
        <w:rPr>
          <w:rFonts w:ascii="Carlito" w:hAnsi="Carlito"/>
          <w:i/>
          <w:color w:val="6B7785"/>
          <w:sz w:val="18"/>
        </w:rPr>
        <w:t>Scope: Sweden and Finland (official); Norway and Denmark (temporary outbound coverage); Iceland only when assigned; Netherlands inbound-only and excluded from active outbound.</w:t>
      </w:r>
    </w:p>
    <w:p>
      <w:r>
        <w:br w:type="page"/>
      </w:r>
    </w:p>
    <w:p>
      <w:pPr>
        <w:pStyle w:val="Heading1"/>
        <w:spacing w:before="200" w:after="100"/>
        <w:keepNext/>
      </w:pPr>
      <w:r>
        <w:t>Contents</w:t>
      </w:r>
    </w:p>
    <w:p>
      <w:pPr>
        <w:spacing w:after="60" w:before="0" w:line="259" w:lineRule="auto"/>
      </w:pPr>
      <w:r>
        <w:rPr>
          <w:rFonts w:ascii="Carlito" w:hAnsi="Carlito"/>
          <w:color w:val="17324D"/>
          <w:sz w:val="21"/>
        </w:rPr>
        <w:t>1. Executive operating model</w:t>
      </w:r>
    </w:p>
    <w:p>
      <w:pPr>
        <w:spacing w:after="60" w:before="0" w:line="259" w:lineRule="auto"/>
      </w:pPr>
      <w:r>
        <w:rPr>
          <w:rFonts w:ascii="Carlito" w:hAnsi="Carlito"/>
          <w:color w:val="17324D"/>
          <w:sz w:val="21"/>
        </w:rPr>
        <w:t>2. Scope, assumptions and evidence quality</w:t>
      </w:r>
    </w:p>
    <w:p>
      <w:pPr>
        <w:spacing w:after="60" w:before="0" w:line="259" w:lineRule="auto"/>
      </w:pPr>
      <w:r>
        <w:rPr>
          <w:rFonts w:ascii="Carlito" w:hAnsi="Carlito"/>
          <w:color w:val="17324D"/>
          <w:sz w:val="21"/>
        </w:rPr>
        <w:t>3. Core principles</w:t>
      </w:r>
    </w:p>
    <w:p>
      <w:pPr>
        <w:spacing w:after="60" w:before="0" w:line="259" w:lineRule="auto"/>
      </w:pPr>
      <w:r>
        <w:rPr>
          <w:rFonts w:ascii="Carlito" w:hAnsi="Carlito"/>
          <w:color w:val="17324D"/>
          <w:sz w:val="21"/>
        </w:rPr>
        <w:t>4. Territory, language and telephone configuration</w:t>
      </w:r>
    </w:p>
    <w:p>
      <w:pPr>
        <w:spacing w:after="60" w:before="0" w:line="259" w:lineRule="auto"/>
      </w:pPr>
      <w:r>
        <w:rPr>
          <w:rFonts w:ascii="Carlito" w:hAnsi="Carlito"/>
          <w:color w:val="17324D"/>
          <w:sz w:val="21"/>
        </w:rPr>
        <w:t>5. Account selection, triggers and prioritisation</w:t>
      </w:r>
    </w:p>
    <w:p>
      <w:pPr>
        <w:spacing w:after="60" w:before="0" w:line="259" w:lineRule="auto"/>
      </w:pPr>
      <w:r>
        <w:rPr>
          <w:rFonts w:ascii="Carlito" w:hAnsi="Carlito"/>
          <w:color w:val="17324D"/>
          <w:sz w:val="21"/>
        </w:rPr>
        <w:t>6. Buying-group strategy</w:t>
      </w:r>
    </w:p>
    <w:p>
      <w:pPr>
        <w:spacing w:after="60" w:before="0" w:line="259" w:lineRule="auto"/>
      </w:pPr>
      <w:r>
        <w:rPr>
          <w:rFonts w:ascii="Carlito" w:hAnsi="Carlito"/>
          <w:color w:val="17324D"/>
          <w:sz w:val="21"/>
        </w:rPr>
        <w:t>7. Cadence architecture by account state</w:t>
      </w:r>
    </w:p>
    <w:p>
      <w:pPr>
        <w:spacing w:after="60" w:before="0" w:line="259" w:lineRule="auto"/>
      </w:pPr>
      <w:r>
        <w:rPr>
          <w:rFonts w:ascii="Carlito" w:hAnsi="Carlito"/>
          <w:color w:val="17324D"/>
          <w:sz w:val="21"/>
        </w:rPr>
        <w:t>8. Messaging system and touch progression</w:t>
      </w:r>
    </w:p>
    <w:p>
      <w:pPr>
        <w:spacing w:after="60" w:before="0" w:line="259" w:lineRule="auto"/>
      </w:pPr>
      <w:r>
        <w:rPr>
          <w:rFonts w:ascii="Carlito" w:hAnsi="Carlito"/>
          <w:color w:val="17324D"/>
          <w:sz w:val="21"/>
        </w:rPr>
        <w:t>9. Channel playbooks: email, phone and LinkedIn</w:t>
      </w:r>
    </w:p>
    <w:p>
      <w:pPr>
        <w:spacing w:after="60" w:before="0" w:line="259" w:lineRule="auto"/>
      </w:pPr>
      <w:r>
        <w:rPr>
          <w:rFonts w:ascii="Carlito" w:hAnsi="Carlito"/>
          <w:color w:val="17324D"/>
          <w:sz w:val="21"/>
        </w:rPr>
        <w:t>10. Product playbooks: Freshservice, Device42 and FireHydrant</w:t>
      </w:r>
    </w:p>
    <w:p>
      <w:pPr>
        <w:spacing w:after="60" w:before="0" w:line="259" w:lineRule="auto"/>
      </w:pPr>
      <w:r>
        <w:rPr>
          <w:rFonts w:ascii="Carlito" w:hAnsi="Carlito"/>
          <w:color w:val="17324D"/>
          <w:sz w:val="21"/>
        </w:rPr>
        <w:t>11. Governance, compliance and stop conditions</w:t>
      </w:r>
    </w:p>
    <w:p>
      <w:pPr>
        <w:spacing w:after="60" w:before="0" w:line="259" w:lineRule="auto"/>
      </w:pPr>
      <w:r>
        <w:rPr>
          <w:rFonts w:ascii="Carlito" w:hAnsi="Carlito"/>
          <w:color w:val="17324D"/>
          <w:sz w:val="21"/>
        </w:rPr>
        <w:t>12. Measurement and experimentation</w:t>
      </w:r>
    </w:p>
    <w:p>
      <w:pPr>
        <w:spacing w:after="60" w:before="0" w:line="259" w:lineRule="auto"/>
      </w:pPr>
      <w:r>
        <w:rPr>
          <w:rFonts w:ascii="Carlito" w:hAnsi="Carlito"/>
          <w:color w:val="17324D"/>
          <w:sz w:val="21"/>
        </w:rPr>
        <w:t>13. Weekly operating rhythm and automation readiness</w:t>
      </w:r>
    </w:p>
    <w:p>
      <w:pPr>
        <w:spacing w:after="60" w:before="0" w:line="259" w:lineRule="auto"/>
      </w:pPr>
      <w:r>
        <w:rPr>
          <w:rFonts w:ascii="Carlito" w:hAnsi="Carlito"/>
          <w:color w:val="17324D"/>
          <w:sz w:val="21"/>
        </w:rPr>
        <w:t>14. Quick-reference checklists</w:t>
      </w:r>
    </w:p>
    <w:p>
      <w:pPr>
        <w:spacing w:after="60" w:before="0" w:line="259" w:lineRule="auto"/>
      </w:pPr>
      <w:r>
        <w:rPr>
          <w:rFonts w:ascii="Carlito" w:hAnsi="Carlito"/>
          <w:color w:val="17324D"/>
          <w:sz w:val="21"/>
        </w:rPr>
        <w:t>Appendix A. Source register</w:t>
      </w:r>
    </w:p>
    <w:p>
      <w:pPr>
        <w:spacing w:after="60" w:before="0" w:line="259" w:lineRule="auto"/>
      </w:pPr>
      <w:r>
        <w:rPr>
          <w:rFonts w:ascii="Carlito" w:hAnsi="Carlito"/>
          <w:color w:val="17324D"/>
          <w:sz w:val="21"/>
        </w:rPr>
        <w:t>Appendix B. Open hypotheses and decision log</w:t>
      </w:r>
    </w:p>
    <w:tbl>
      <w:tblPr>
        <w:tblW w:type="auto" w:w="0"/>
        <w:jc w:val="center"/>
        <w:tblLayout w:type="autofit"/>
        <w:tblLook w:firstColumn="1" w:firstRow="1" w:lastColumn="0" w:lastRow="0" w:noHBand="0" w:noVBand="1" w:val="04A0"/>
      </w:tblPr>
      <w:tblGrid>
        <w:gridCol w:w="9835"/>
      </w:tblGrid>
      <w:tr>
        <w:trPr>
          <w:cantSplit/>
        </w:trPr>
        <w:tc>
          <w:tcPr>
            <w:tcW w:type="dxa" w:w="9835"/>
            <w:shd w:fill="EAF1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How to use this playbook</w:t>
            </w:r>
          </w:p>
          <w:p>
            <w:pPr>
              <w:spacing w:after="0" w:line="259" w:lineRule="auto"/>
            </w:pPr>
            <w:r>
              <w:rPr>
                <w:rFonts w:ascii="Carlito" w:hAnsi="Carlito"/>
                <w:color w:val="1E2A35"/>
                <w:sz w:val="20"/>
              </w:rPr>
              <w:t>Use the quick-reference tables to run weekly prospecting. Use the evidence and principles sections when deciding whether to modify the sequence. Use the product playbooks to draft account narratives. Use the automation section as the future specification for ChatGPT Work and Codex.</w:t>
            </w:r>
          </w:p>
        </w:tc>
      </w:tr>
    </w:tbl>
    <w:p>
      <w:pPr>
        <w:spacing w:after="0"/>
      </w:pPr>
    </w:p>
    <w:p>
      <w:pPr>
        <w:pStyle w:val="Heading1"/>
        <w:spacing w:before="200" w:after="100"/>
        <w:keepNext/>
      </w:pPr>
      <w:r>
        <w:t>1. Executive operating model</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Playbook thesis</w:t>
            </w:r>
          </w:p>
          <w:p>
            <w:pPr>
              <w:spacing w:after="0" w:line="259" w:lineRule="auto"/>
            </w:pPr>
            <w:r>
              <w:rPr>
                <w:rFonts w:ascii="Carlito" w:hAnsi="Carlito"/>
                <w:color w:val="1E2A35"/>
                <w:sz w:val="20"/>
              </w:rPr>
              <w:t>Build a signal-led, account-based outbound system with approximately seven meaningful touches as the centre of gravity, fewer touches for speculative accounts and up to nine for genuinely high-signal accounts. Use one organisational problem narrative across the buying group, adapted through role-relevant evidence and diagnostic questions. Vary call timing according to signal strength and local-number availability. Require Moe’s approval before every message or external action.</w:t>
            </w:r>
          </w:p>
        </w:tc>
      </w:tr>
    </w:tbl>
    <w:p>
      <w:pPr>
        <w:spacing w:after="0"/>
      </w:pPr>
    </w:p>
    <w:p>
      <w:pPr>
        <w:pStyle w:val="Heading2"/>
        <w:spacing w:before="140" w:after="100"/>
        <w:keepNext/>
      </w:pPr>
      <w:r>
        <w:t>The operating hierarchy</w:t>
      </w:r>
    </w:p>
    <w:p>
      <w:pPr>
        <w:spacing w:after="60" w:before="0" w:line="259" w:lineRule="auto"/>
      </w:pPr>
      <w:r>
        <w:rPr>
          <w:rFonts w:ascii="Carlito" w:hAnsi="Carlito"/>
          <w:color w:val="1E2A35"/>
          <w:sz w:val="20"/>
        </w:rPr>
        <w:t>1. Trigger quality and freshness</w:t>
      </w:r>
    </w:p>
    <w:p>
      <w:pPr>
        <w:spacing w:after="60" w:before="0" w:line="259" w:lineRule="auto"/>
      </w:pPr>
      <w:r>
        <w:rPr>
          <w:rFonts w:ascii="Carlito" w:hAnsi="Carlito"/>
          <w:color w:val="1E2A35"/>
          <w:sz w:val="20"/>
        </w:rPr>
        <w:t>2. Account fit and operational complexity</w:t>
      </w:r>
    </w:p>
    <w:p>
      <w:pPr>
        <w:spacing w:after="60" w:before="0" w:line="259" w:lineRule="auto"/>
      </w:pPr>
      <w:r>
        <w:rPr>
          <w:rFonts w:ascii="Carlito" w:hAnsi="Carlito"/>
          <w:color w:val="1E2A35"/>
          <w:sz w:val="20"/>
        </w:rPr>
        <w:t>3. Problem relevance and product-play fit</w:t>
      </w:r>
    </w:p>
    <w:p>
      <w:pPr>
        <w:spacing w:after="60" w:before="0" w:line="259" w:lineRule="auto"/>
      </w:pPr>
      <w:r>
        <w:rPr>
          <w:rFonts w:ascii="Carlito" w:hAnsi="Carlito"/>
          <w:color w:val="1E2A35"/>
          <w:sz w:val="20"/>
        </w:rPr>
        <w:t>4. Buying-group selection and contact confidence</w:t>
      </w:r>
    </w:p>
    <w:p>
      <w:pPr>
        <w:spacing w:after="60" w:before="0" w:line="259" w:lineRule="auto"/>
      </w:pPr>
      <w:r>
        <w:rPr>
          <w:rFonts w:ascii="Carlito" w:hAnsi="Carlito"/>
          <w:color w:val="1E2A35"/>
          <w:sz w:val="20"/>
        </w:rPr>
        <w:t>5. Message quality and account narrative coherence</w:t>
      </w:r>
    </w:p>
    <w:p>
      <w:pPr>
        <w:spacing w:after="60" w:before="0" w:line="259" w:lineRule="auto"/>
      </w:pPr>
      <w:r>
        <w:rPr>
          <w:rFonts w:ascii="Carlito" w:hAnsi="Carlito"/>
          <w:color w:val="1E2A35"/>
          <w:sz w:val="20"/>
        </w:rPr>
        <w:t>6. Channel and cadence mechanics</w:t>
      </w:r>
    </w:p>
    <w:p>
      <w:pPr>
        <w:spacing w:after="120" w:before="0" w:line="259" w:lineRule="auto"/>
      </w:pPr>
      <w:r>
        <w:rPr>
          <w:rFonts w:ascii="Carlito" w:hAnsi="Carlito"/>
        </w:rPr>
        <w:t>A well-spaced sequence cannot compensate for a weak account, stale trigger, incorrect stakeholder or generic message. Conversely, a credible trigger and useful problem hypothesis can generate a response on the first touch.</w:t>
      </w:r>
    </w:p>
    <w:p>
      <w:pPr>
        <w:pStyle w:val="Heading2"/>
        <w:spacing w:before="140" w:after="100"/>
        <w:keepNext/>
      </w:pPr>
      <w:r>
        <w:t>Playbook defaults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8"/>
              </w:rPr>
              <w:t>Area</w:t>
            </w:r>
          </w:p>
        </w:tc>
        <w:tc>
          <w:tcPr>
            <w:tcW w:type="dxa" w:w="79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8"/>
              </w:rPr>
              <w:t>Default</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Account model</w:t>
            </w:r>
          </w:p>
        </w:tc>
        <w:tc>
          <w:tcPr>
            <w:tcW w:type="dxa" w:w="79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Account-based, signal-led; contacts are selected as a buying-group triangle rather than treated as isolated leads.</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Normal sequence</w:t>
            </w:r>
          </w:p>
        </w:tc>
        <w:tc>
          <w:tcPr>
            <w:tcW w:type="dxa" w:w="79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Approximately 7 useful active touches; 4-5 for Tier C; 7-8 for Tier B; up to 9 for high-conviction Tier A.</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Channels</w:t>
            </w:r>
          </w:p>
        </w:tc>
        <w:tc>
          <w:tcPr>
            <w:tcW w:type="dxa" w:w="79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Email, phone and LinkedIn. Use three channels where appropriate; do not force every channel into every account.</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Messaging</w:t>
            </w:r>
          </w:p>
        </w:tc>
        <w:tc>
          <w:tcPr>
            <w:tcW w:type="dxa" w:w="79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One organisational problem narrative; role-specific evidence and diagnostic questions; no conflicting value stories.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First CTA</w:t>
            </w:r>
          </w:p>
        </w:tc>
        <w:tc>
          <w:tcPr>
            <w:tcW w:type="dxa" w:w="79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Interest- or relevance-based CTA, not an immediate 30-minute meeting request.</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Approval</w:t>
            </w:r>
          </w:p>
        </w:tc>
        <w:tc>
          <w:tcPr>
            <w:tcW w:type="dxa" w:w="79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8"/>
              </w:rPr>
              <w:t>Human approval is mandatory for account selection, contact selection, message copy and call talk tracks.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Automation</w:t>
            </w:r>
          </w:p>
        </w:tc>
        <w:tc>
          <w:tcPr>
            <w:tcW w:type="dxa" w:w="79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8"/>
              </w:rPr>
              <w:t>Automate research, prioritisation, drafting, scheduling and state management. Do not automate external sending in Version 1.</w:t>
            </w:r>
          </w:p>
        </w:tc>
      </w:tr>
    </w:tbl>
    <w:p>
      <w:pPr>
        <w:spacing w:after="0"/>
      </w:pPr>
    </w:p>
    <w:p>
      <w:pPr>
        <w:pStyle w:val="Heading1"/>
        <w:spacing w:before="200" w:after="100"/>
        <w:keepNext/>
      </w:pPr>
      <w:r>
        <w:t>2. Scope, assumptions and evidence quality</w:t>
      </w:r>
    </w:p>
    <w:p>
      <w:pPr>
        <w:pStyle w:val="Heading2"/>
        <w:spacing w:before="140" w:after="100"/>
        <w:keepNext/>
      </w:pPr>
      <w:r>
        <w:t>Territory scope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44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Market</w:t>
            </w:r>
          </w:p>
        </w:tc>
        <w:tc>
          <w:tcPr>
            <w:tcW w:type="dxa" w:w="23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Status</w:t>
            </w:r>
          </w:p>
        </w:tc>
        <w:tc>
          <w:tcPr>
            <w:tcW w:type="dxa" w:w="633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Operating rule</w:t>
            </w:r>
          </w:p>
        </w:tc>
      </w:tr>
      <w:tr>
        <w:trPr>
          <w:cantSplit/>
        </w:trPr>
        <w:tc>
          <w:tcPr>
            <w:tcW w:type="dxa" w:w="14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Sweden</w:t>
            </w:r>
          </w:p>
        </w:tc>
        <w:tc>
          <w:tcPr>
            <w:tcW w:type="dxa" w:w="23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Official outbound territory</w:t>
            </w:r>
          </w:p>
        </w:tc>
        <w:tc>
          <w:tcPr>
            <w:tcW w:type="dxa" w:w="63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Active outbound; Swedish or English based on account context and test results.</w:t>
            </w:r>
          </w:p>
        </w:tc>
      </w:tr>
      <w:tr>
        <w:trPr>
          <w:cantSplit/>
        </w:trPr>
        <w:tc>
          <w:tcPr>
            <w:tcW w:type="dxa" w:w="14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Finland</w:t>
            </w:r>
          </w:p>
        </w:tc>
        <w:tc>
          <w:tcPr>
            <w:tcW w:type="dxa" w:w="23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Official outbound territory</w:t>
            </w:r>
          </w:p>
        </w:tc>
        <w:tc>
          <w:tcPr>
            <w:tcW w:type="dxa" w:w="63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Active outbound; English default unless Finnish copy receives native-quality review.</w:t>
            </w:r>
          </w:p>
        </w:tc>
      </w:tr>
      <w:tr>
        <w:trPr>
          <w:cantSplit/>
        </w:trPr>
        <w:tc>
          <w:tcPr>
            <w:tcW w:type="dxa" w:w="14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Norway</w:t>
            </w:r>
          </w:p>
        </w:tc>
        <w:tc>
          <w:tcPr>
            <w:tcW w:type="dxa" w:w="23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Temporary coverage</w:t>
            </w:r>
          </w:p>
        </w:tc>
        <w:tc>
          <w:tcPr>
            <w:tcW w:type="dxa" w:w="63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Active outbound while assigned; use country-specific evidence and local working hours.</w:t>
            </w:r>
          </w:p>
        </w:tc>
      </w:tr>
      <w:tr>
        <w:trPr>
          <w:cantSplit/>
        </w:trPr>
        <w:tc>
          <w:tcPr>
            <w:tcW w:type="dxa" w:w="14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Denmark</w:t>
            </w:r>
          </w:p>
        </w:tc>
        <w:tc>
          <w:tcPr>
            <w:tcW w:type="dxa" w:w="23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Temporary coverage</w:t>
            </w:r>
          </w:p>
        </w:tc>
        <w:tc>
          <w:tcPr>
            <w:tcW w:type="dxa" w:w="63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Active outbound while assigned; use country-specific evidence and local working hours.</w:t>
            </w:r>
          </w:p>
        </w:tc>
      </w:tr>
      <w:tr>
        <w:trPr>
          <w:cantSplit/>
        </w:trPr>
        <w:tc>
          <w:tcPr>
            <w:tcW w:type="dxa" w:w="14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Iceland</w:t>
            </w:r>
          </w:p>
        </w:tc>
        <w:tc>
          <w:tcPr>
            <w:tcW w:type="dxa" w:w="23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Conditional</w:t>
            </w:r>
          </w:p>
        </w:tc>
        <w:tc>
          <w:tcPr>
            <w:tcW w:type="dxa" w:w="63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Include only when ownership is explicitly confirmed.</w:t>
            </w:r>
          </w:p>
        </w:tc>
      </w:tr>
      <w:tr>
        <w:trPr>
          <w:cantSplit/>
        </w:trPr>
        <w:tc>
          <w:tcPr>
            <w:tcW w:type="dxa" w:w="14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Netherlands</w:t>
            </w:r>
          </w:p>
        </w:tc>
        <w:tc>
          <w:tcPr>
            <w:tcW w:type="dxa" w:w="23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Inbound-only support</w:t>
            </w:r>
          </w:p>
        </w:tc>
        <w:tc>
          <w:tcPr>
            <w:tcW w:type="dxa" w:w="63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Exclude from active outbound account discovery and scheduled prospecting.</w:t>
            </w:r>
          </w:p>
        </w:tc>
      </w:tr>
    </w:tbl>
    <w:p>
      <w:pPr>
        <w:spacing w:after="0"/>
      </w:pPr>
    </w:p>
    <w:p>
      <w:pPr>
        <w:pStyle w:val="Heading2"/>
        <w:spacing w:before="140" w:after="100"/>
        <w:keepNext/>
      </w:pPr>
      <w:r>
        <w:t>Evidence hierarchy</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22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6"/>
              </w:rPr>
              <w:t>Grade</w:t>
            </w:r>
          </w:p>
        </w:tc>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6"/>
              </w:rPr>
              <w:t>Source type</w:t>
            </w:r>
          </w:p>
        </w:tc>
        <w:tc>
          <w:tcPr>
            <w:tcW w:type="dxa" w:w="403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6"/>
              </w:rPr>
              <w:t>Use</w:t>
            </w:r>
          </w:p>
        </w:tc>
        <w:tc>
          <w:tcPr>
            <w:tcW w:type="dxa" w:w="273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6"/>
              </w:rPr>
              <w:t>Limitation</w:t>
            </w:r>
          </w:p>
        </w:tc>
      </w:tr>
      <w:tr>
        <w:trPr>
          <w:cantSplit/>
        </w:trPr>
        <w:tc>
          <w:tcPr>
            <w:tcW w:type="dxa" w:w="12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A - Buyer research</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Gartner and Forrester buyer surveys</w:t>
            </w:r>
          </w:p>
        </w:tc>
        <w:tc>
          <w:tcPr>
            <w:tcW w:type="dxa" w:w="403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Buyer preferences, buying-group dynamics, decision confidence and where sellers add value.</w:t>
            </w:r>
          </w:p>
        </w:tc>
        <w:tc>
          <w:tcPr>
            <w:tcW w:type="dxa" w:w="27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Strong direction; global samples, not Nordic-specific.</w:t>
            </w:r>
          </w:p>
        </w:tc>
      </w:tr>
      <w:tr>
        <w:trPr>
          <w:cantSplit/>
        </w:trPr>
        <w:tc>
          <w:tcPr>
            <w:tcW w:type="dxa" w:w="12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B - Platform telemetry</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Gong, Yesware, Cognism, XANT</w:t>
            </w:r>
          </w:p>
        </w:tc>
        <w:tc>
          <w:tcPr>
            <w:tcW w:type="dxa" w:w="403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Email length, CTA type, call persistence, voicemail and cadence hypotheses.</w:t>
            </w:r>
          </w:p>
        </w:tc>
        <w:tc>
          <w:tcPr>
            <w:tcW w:type="dxa" w:w="27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Large observational datasets; vendor/user-base bias; causality is limited.</w:t>
            </w:r>
          </w:p>
        </w:tc>
      </w:tr>
      <w:tr>
        <w:trPr>
          <w:cantSplit/>
        </w:trPr>
        <w:tc>
          <w:tcPr>
            <w:tcW w:type="dxa" w:w="12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C - Internal inference</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This playbook and territory logic</w:t>
            </w:r>
          </w:p>
        </w:tc>
        <w:tc>
          <w:tcPr>
            <w:tcW w:type="dxa" w:w="403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Tier rules, timing branches, language choices and automation guardrails.</w:t>
            </w:r>
          </w:p>
        </w:tc>
        <w:tc>
          <w:tcPr>
            <w:tcW w:type="dxa" w:w="27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6"/>
              </w:rPr>
              <w:t>Must be validated using Moe’s own outcomes.</w:t>
            </w:r>
          </w:p>
        </w:tc>
      </w:tr>
      <w:tr>
        <w:trPr>
          <w:cantSplit/>
        </w:trPr>
        <w:tc>
          <w:tcPr>
            <w:tcW w:type="dxa" w:w="12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D - Local operating data</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Freshworks CRM, intent, sequence and call outcomes</w:t>
            </w:r>
          </w:p>
        </w:tc>
        <w:tc>
          <w:tcPr>
            <w:tcW w:type="dxa" w:w="403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Country/persona/product conversion and final calibration.</w:t>
            </w:r>
          </w:p>
        </w:tc>
        <w:tc>
          <w:tcPr>
            <w:tcW w:type="dxa" w:w="27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6"/>
              </w:rPr>
              <w:t>Should become the highest-priority source after sufficient sample size.</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FF5D9"/>
            <w:tcMar>
              <w:top w:w="130" w:type="dxa"/>
              <w:start w:w="150" w:type="dxa"/>
              <w:bottom w:w="130" w:type="dxa"/>
              <w:end w:w="150" w:type="dxa"/>
            </w:tcMar>
            <w:tcBorders>
              <w:top w:val="single" w:sz="8" w:space="0" w:color="B87900"/>
              <w:left w:val="single" w:sz="8" w:space="0" w:color="B87900"/>
              <w:bottom w:val="single" w:sz="8" w:space="0" w:color="B87900"/>
              <w:right w:val="single" w:sz="8" w:space="0" w:color="B87900"/>
            </w:tcBorders>
          </w:tcPr>
          <w:p>
            <w:pPr>
              <w:spacing w:after="80"/>
            </w:pPr>
            <w:r>
              <w:rPr>
                <w:rFonts w:ascii="Carlito" w:hAnsi="Carlito"/>
                <w:b/>
                <w:color w:val="B87900"/>
                <w:sz w:val="22"/>
              </w:rPr>
              <w:t>Important evidence limitation</w:t>
            </w:r>
          </w:p>
          <w:p>
            <w:pPr>
              <w:spacing w:after="0" w:line="259" w:lineRule="auto"/>
            </w:pPr>
            <w:r>
              <w:rPr>
                <w:rFonts w:ascii="Carlito" w:hAnsi="Carlito"/>
                <w:color w:val="1E2A35"/>
                <w:sz w:val="20"/>
              </w:rPr>
              <w:t>No public research identified a scientifically proven universal Nordic cadence. Gartner and Forrester do not publish precise touch spacing. Cadence mechanics therefore remain testable operating hypotheses informed by platform telemetry and constrained by buyer research.</w:t>
            </w:r>
          </w:p>
        </w:tc>
      </w:tr>
    </w:tbl>
    <w:p>
      <w:pPr>
        <w:spacing w:after="0"/>
      </w:pPr>
    </w:p>
    <w:p>
      <w:pPr>
        <w:pStyle w:val="Heading2"/>
        <w:spacing w:before="140" w:after="100"/>
        <w:keepNext/>
      </w:pPr>
      <w:r>
        <w:t>Research findings that materially shape the playbook</w:t>
      </w:r>
    </w:p>
    <w:p>
      <w:pPr>
        <w:spacing w:after="80" w:before="0" w:line="259" w:lineRule="auto"/>
      </w:pPr>
      <w:r>
        <w:rPr>
          <w:rFonts w:ascii="Carlito" w:hAnsi="Carlito"/>
        </w:rPr>
      </w:r>
      <w:r>
        <w:rPr>
          <w:rFonts w:ascii="Carlito" w:hAnsi="Carlito"/>
          <w:b/>
          <w:color w:val="17324D"/>
        </w:rPr>
        <w:t xml:space="preserve">Irrelevant outreach has negative value: </w:t>
      </w:r>
      <w:r>
        <w:rPr>
          <w:rFonts w:ascii="Carlito" w:hAnsi="Carlito"/>
          <w:color w:val="1E2A35"/>
        </w:rPr>
        <w:t>Gartner found that 73% of surveyed B2B buyers actively avoid suppliers that send irrelevant outreach. [G1]</w:t>
      </w:r>
    </w:p>
    <w:p>
      <w:pPr>
        <w:spacing w:after="80" w:before="0" w:line="259" w:lineRule="auto"/>
      </w:pPr>
      <w:r>
        <w:rPr>
          <w:rFonts w:ascii="Carlito" w:hAnsi="Carlito"/>
        </w:rPr>
      </w:r>
      <w:r>
        <w:rPr>
          <w:rFonts w:ascii="Carlito" w:hAnsi="Carlito"/>
          <w:b/>
          <w:color w:val="17324D"/>
        </w:rPr>
        <w:t xml:space="preserve">Buyers value contextual judgement: </w:t>
      </w:r>
      <w:r>
        <w:rPr>
          <w:rFonts w:ascii="Carlito" w:hAnsi="Carlito"/>
          <w:color w:val="1E2A35"/>
        </w:rPr>
        <w:t>Buyers prefer self-service for general information but seller input for contextual questions such as whether a product fits their organisation. [G1]</w:t>
      </w:r>
    </w:p>
    <w:p>
      <w:pPr>
        <w:spacing w:after="80" w:before="0" w:line="259" w:lineRule="auto"/>
      </w:pPr>
      <w:r>
        <w:rPr>
          <w:rFonts w:ascii="Carlito" w:hAnsi="Carlito"/>
        </w:rPr>
      </w:r>
      <w:r>
        <w:rPr>
          <w:rFonts w:ascii="Carlito" w:hAnsi="Carlito"/>
          <w:b/>
          <w:color w:val="17324D"/>
        </w:rPr>
        <w:t xml:space="preserve">Buying-group coherence matters: </w:t>
      </w:r>
      <w:r>
        <w:rPr>
          <w:rFonts w:ascii="Carlito" w:hAnsi="Carlito"/>
          <w:color w:val="1E2A35"/>
        </w:rPr>
        <w:t>Buying-group relevance improved consensus by 20%, while individual-level relevance had a reported 59% negative impact on consensus. [G2]</w:t>
      </w:r>
    </w:p>
    <w:p>
      <w:pPr>
        <w:spacing w:after="80" w:before="0" w:line="259" w:lineRule="auto"/>
      </w:pPr>
      <w:r>
        <w:rPr>
          <w:rFonts w:ascii="Carlito" w:hAnsi="Carlito"/>
        </w:rPr>
      </w:r>
      <w:r>
        <w:rPr>
          <w:rFonts w:ascii="Carlito" w:hAnsi="Carlito"/>
          <w:b/>
          <w:color w:val="17324D"/>
        </w:rPr>
        <w:t xml:space="preserve">Buying groups are large: </w:t>
      </w:r>
      <w:r>
        <w:rPr>
          <w:rFonts w:ascii="Carlito" w:hAnsi="Carlito"/>
          <w:color w:val="1E2A35"/>
        </w:rPr>
        <w:t>Forrester reports an average of 13 internal stakeholders and nine external participants; 73% of purchases involve three or more departments. [F1][F2]</w:t>
      </w:r>
    </w:p>
    <w:p>
      <w:pPr>
        <w:spacing w:after="80" w:before="0" w:line="259" w:lineRule="auto"/>
      </w:pPr>
      <w:r>
        <w:rPr>
          <w:rFonts w:ascii="Carlito" w:hAnsi="Carlito"/>
        </w:rPr>
      </w:r>
      <w:r>
        <w:rPr>
          <w:rFonts w:ascii="Carlito" w:hAnsi="Carlito"/>
          <w:b/>
          <w:color w:val="17324D"/>
        </w:rPr>
        <w:t xml:space="preserve">Preferences form early: </w:t>
      </w:r>
      <w:r>
        <w:rPr>
          <w:rFonts w:ascii="Carlito" w:hAnsi="Carlito"/>
          <w:color w:val="1E2A35"/>
        </w:rPr>
        <w:t>Forrester reports that 68% begin with a front-runner and the front-runner wins 80% of the time. [F3]</w:t>
      </w:r>
    </w:p>
    <w:p>
      <w:pPr>
        <w:spacing w:after="80" w:before="0" w:line="259" w:lineRule="auto"/>
      </w:pPr>
      <w:r>
        <w:rPr>
          <w:rFonts w:ascii="Carlito" w:hAnsi="Carlito"/>
        </w:rPr>
      </w:r>
      <w:r>
        <w:rPr>
          <w:rFonts w:ascii="Carlito" w:hAnsi="Carlito"/>
          <w:b/>
          <w:color w:val="17324D"/>
        </w:rPr>
        <w:t xml:space="preserve">Concise, low-friction cold email performs better: </w:t>
      </w:r>
      <w:r>
        <w:rPr>
          <w:rFonts w:ascii="Carlito" w:hAnsi="Carlito"/>
          <w:color w:val="1E2A35"/>
        </w:rPr>
        <w:t>Gong reports that pitching can reduce replies, shorter messages outperform long ones, and interest-based CTAs outperform meeting asks in cold outreach. [GO1][GO2]</w:t>
      </w:r>
    </w:p>
    <w:p>
      <w:pPr>
        <w:spacing w:after="80" w:before="0" w:line="259" w:lineRule="auto"/>
      </w:pPr>
      <w:r>
        <w:rPr>
          <w:rFonts w:ascii="Carlito" w:hAnsi="Carlito"/>
        </w:rPr>
      </w:r>
      <w:r>
        <w:rPr>
          <w:rFonts w:ascii="Carlito" w:hAnsi="Carlito"/>
          <w:b/>
          <w:color w:val="17324D"/>
        </w:rPr>
        <w:t xml:space="preserve">Persistence has diminishing returns: </w:t>
      </w:r>
      <w:r>
        <w:rPr>
          <w:rFonts w:ascii="Carlito" w:hAnsi="Carlito"/>
          <w:color w:val="1E2A35"/>
        </w:rPr>
        <w:t>XANT found an optimum around seven attempts in its older outbound data; Cognism found 93% of call conversations occurred by Call 3 and 98.6% by Call 5. [X1][C1]</w:t>
      </w:r>
    </w:p>
    <w:p>
      <w:pPr>
        <w:pStyle w:val="Heading1"/>
        <w:spacing w:before="200" w:after="100"/>
        <w:keepNext/>
      </w:pPr>
      <w:r>
        <w:t>3. Core principles</w:t>
      </w: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1. Relevance is a gate, not a writing technique</w:t>
            </w:r>
          </w:p>
          <w:p>
            <w:pPr>
              <w:spacing w:after="0" w:line="259" w:lineRule="auto"/>
            </w:pPr>
            <w:r>
              <w:rPr>
                <w:rFonts w:ascii="Carlito" w:hAnsi="Carlito"/>
                <w:color w:val="1E2A35"/>
                <w:sz w:val="20"/>
              </w:rPr>
              <w:t>An account enters an active sequence only when there is enough evidence to form a credible organisational hypothesis. Personalisation cannot rescue a weak reason to contact.</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2. Treat the account as the unit of strategy</w:t>
            </w:r>
          </w:p>
          <w:p>
            <w:pPr>
              <w:spacing w:after="0" w:line="259" w:lineRule="auto"/>
            </w:pPr>
            <w:r>
              <w:rPr>
                <w:rFonts w:ascii="Carlito" w:hAnsi="Carlito"/>
                <w:color w:val="1E2A35"/>
                <w:sz w:val="20"/>
              </w:rPr>
              <w:t>Measure, prioritise and learn at account level. Contacts are members of a potential buying group, not independent records to be worked in isolation.</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3. Use one account narrative</w:t>
            </w:r>
          </w:p>
          <w:p>
            <w:pPr>
              <w:spacing w:after="0" w:line="259" w:lineRule="auto"/>
            </w:pPr>
            <w:r>
              <w:rPr>
                <w:rFonts w:ascii="Carlito" w:hAnsi="Carlito"/>
                <w:color w:val="1E2A35"/>
                <w:sz w:val="20"/>
              </w:rPr>
              <w:t>Every stakeholder should encounter the same organisational issue, reason for attention and intended outcome. Adapt evidence and questions to the stakeholder, not the fundamental problem story.</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4. Practise Sense Making</w:t>
            </w:r>
          </w:p>
          <w:p>
            <w:pPr>
              <w:spacing w:after="0" w:line="259" w:lineRule="auto"/>
            </w:pPr>
            <w:r>
              <w:rPr>
                <w:rFonts w:ascii="Carlito" w:hAnsi="Carlito"/>
                <w:color w:val="1E2A35"/>
                <w:sz w:val="20"/>
              </w:rPr>
              <w:t>Help buyers distinguish symptoms from root causes, identify the right evaluation questions, reconcile information and determine whether a solution is relevant. Do not add generic information to an already crowded journey.</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5. Every touch must advance the conversation</w:t>
            </w:r>
          </w:p>
          <w:p>
            <w:pPr>
              <w:spacing w:after="0" w:line="259" w:lineRule="auto"/>
            </w:pPr>
            <w:r>
              <w:rPr>
                <w:rFonts w:ascii="Carlito" w:hAnsi="Carlito"/>
                <w:color w:val="1E2A35"/>
                <w:sz w:val="20"/>
              </w:rPr>
              <w:t>A follow-up must introduce a new diagnostic, consequence, proof point, decision aid, ownership question or referral path.</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6. Cadence intensity follows evidence strength</w:t>
            </w:r>
          </w:p>
          <w:p>
            <w:pPr>
              <w:spacing w:after="0" w:line="259" w:lineRule="auto"/>
            </w:pPr>
            <w:r>
              <w:rPr>
                <w:rFonts w:ascii="Carlito" w:hAnsi="Carlito"/>
                <w:color w:val="1E2A35"/>
                <w:sz w:val="20"/>
              </w:rPr>
              <w:t>Fresh triggers justify faster, denser outreach. Fit-only accounts require slower, lower-frequency sequences. Weak accounts should be monitored rather than forced into cadence.</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7. Transparency beats gimmicks</w:t>
            </w:r>
          </w:p>
          <w:p>
            <w:pPr>
              <w:spacing w:after="0" w:line="259" w:lineRule="auto"/>
            </w:pPr>
            <w:r>
              <w:rPr>
                <w:rFonts w:ascii="Carlito" w:hAnsi="Carlito"/>
                <w:color w:val="1E2A35"/>
                <w:sz w:val="20"/>
              </w:rPr>
              <w:t>Use a clear reason for the call and honest cold-outreach framing. Do not imply a prior relationship or use artificial familiarity merely because a benchmark suggests it may create a pattern interrupt.</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8. Human judgement remains the release control</w:t>
            </w:r>
          </w:p>
          <w:p>
            <w:pPr>
              <w:spacing w:after="0" w:line="259" w:lineRule="auto"/>
            </w:pPr>
            <w:r>
              <w:rPr>
                <w:rFonts w:ascii="Carlito" w:hAnsi="Carlito"/>
                <w:color w:val="1E2A35"/>
                <w:sz w:val="20"/>
              </w:rPr>
              <w:t>Automation prepares, organises and drafts. Moe decides whether the account, contact, narrative and wording are suitable before anything is sent.</w:t>
            </w:r>
          </w:p>
        </w:tc>
      </w:tr>
    </w:tbl>
    <w:p>
      <w:pPr>
        <w:spacing w:after="0"/>
      </w:pPr>
    </w:p>
    <w:p>
      <w:pPr>
        <w:pStyle w:val="Heading1"/>
        <w:spacing w:before="200" w:after="100"/>
        <w:keepNext/>
      </w:pPr>
      <w:r>
        <w:t>4. Territory, language and telephone configuration</w:t>
      </w:r>
    </w:p>
    <w:p>
      <w:pPr>
        <w:pStyle w:val="Heading2"/>
        <w:spacing w:before="140" w:after="100"/>
        <w:keepNext/>
      </w:pPr>
      <w:r>
        <w:t>Language policy</w:t>
      </w:r>
    </w:p>
    <w:p>
      <w:pPr>
        <w:pStyle w:val="ListBullet"/>
        <w:spacing w:after="40" w:line="247" w:lineRule="auto"/>
      </w:pPr>
      <w:r>
        <w:rPr>
          <w:rFonts w:ascii="Carlito" w:hAnsi="Carlito"/>
          <w:sz w:val="20"/>
        </w:rPr>
        <w:t>Sweden: use Swedish when the account, stakeholder and evidence support authentic local-language communication; otherwise use English. Treat language choice as an experiment, not a fact-based universal rule.</w:t>
      </w:r>
    </w:p>
    <w:p>
      <w:pPr>
        <w:pStyle w:val="ListBullet"/>
        <w:spacing w:after="40" w:line="247" w:lineRule="auto"/>
      </w:pPr>
      <w:r>
        <w:rPr>
          <w:rFonts w:ascii="Carlito" w:hAnsi="Carlito"/>
          <w:sz w:val="20"/>
        </w:rPr>
        <w:t>Finland: English is the default unless Finnish copy has native-level review. Do not use machine-translated Finnish for outbound.</w:t>
      </w:r>
    </w:p>
    <w:p>
      <w:pPr>
        <w:pStyle w:val="ListBullet"/>
        <w:spacing w:after="40" w:line="247" w:lineRule="auto"/>
      </w:pPr>
      <w:r>
        <w:rPr>
          <w:rFonts w:ascii="Carlito" w:hAnsi="Carlito"/>
          <w:sz w:val="20"/>
        </w:rPr>
        <w:t>Norway and Denmark: use English initially unless strong local-language capability or approved copy is available.</w:t>
      </w:r>
    </w:p>
    <w:p>
      <w:pPr>
        <w:pStyle w:val="ListBullet"/>
        <w:spacing w:after="40" w:line="247" w:lineRule="auto"/>
      </w:pPr>
      <w:r>
        <w:rPr>
          <w:rFonts w:ascii="Carlito" w:hAnsi="Carlito"/>
          <w:sz w:val="20"/>
        </w:rPr>
        <w:t>Use the prospect’s public language, company operating language and previous correspondence as evidence.</w:t>
      </w:r>
    </w:p>
    <w:p>
      <w:pPr>
        <w:pStyle w:val="ListBullet"/>
        <w:spacing w:after="40" w:line="247" w:lineRule="auto"/>
      </w:pPr>
      <w:r>
        <w:rPr>
          <w:rFonts w:ascii="Carlito" w:hAnsi="Carlito"/>
          <w:sz w:val="20"/>
        </w:rPr>
        <w:t>Do not claim a fixed response-rate uplift for local language; no robust Nordic benchmark was identified.</w:t>
      </w:r>
    </w:p>
    <w:p>
      <w:pPr>
        <w:pStyle w:val="Heading2"/>
        <w:spacing w:before="140" w:after="100"/>
        <w:keepNext/>
      </w:pPr>
      <w:r>
        <w:t>Telephone policy: current and target state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02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Configuration</w:t>
            </w:r>
          </w:p>
        </w:tc>
        <w:tc>
          <w:tcPr>
            <w:tcW w:type="dxa" w:w="151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Account state</w:t>
            </w:r>
          </w:p>
        </w:tc>
        <w:tc>
          <w:tcPr>
            <w:tcW w:type="dxa" w:w="56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Default</w:t>
            </w:r>
          </w:p>
        </w:tc>
      </w:tr>
      <w:tr>
        <w:trPr>
          <w:cantSplit/>
        </w:trPr>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Current: no Swedish/Finnish local numbers</w:t>
            </w:r>
          </w:p>
        </w:tc>
        <w:tc>
          <w:tcPr>
            <w:tcW w:type="dxa" w:w="151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Tier A</w:t>
            </w:r>
          </w:p>
        </w:tc>
        <w:tc>
          <w:tcPr>
            <w:tcW w:type="dxa" w:w="56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Day 1; LinkedIn or second email creates exposure; first call usually Touch 2-3 unless the trigger is exceptionally urgent.</w:t>
            </w:r>
          </w:p>
        </w:tc>
      </w:tr>
      <w:tr>
        <w:trPr>
          <w:cantSplit/>
        </w:trPr>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Current: no Swedish/Finnish local numbers</w:t>
            </w:r>
          </w:p>
        </w:tc>
        <w:tc>
          <w:tcPr>
            <w:tcW w:type="dxa" w:w="151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Tier B</w:t>
            </w:r>
          </w:p>
        </w:tc>
        <w:tc>
          <w:tcPr>
            <w:tcW w:type="dxa" w:w="56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Email/LinkedIn first; call around Touch 3. Avoid repeated unfamiliar international-number attempts.</w:t>
            </w:r>
          </w:p>
        </w:tc>
      </w:tr>
      <w:tr>
        <w:trPr>
          <w:cantSplit/>
        </w:trPr>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Target: local numbers active</w:t>
            </w:r>
          </w:p>
        </w:tc>
        <w:tc>
          <w:tcPr>
            <w:tcW w:type="dxa" w:w="151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Tier A</w:t>
            </w:r>
          </w:p>
        </w:tc>
        <w:tc>
          <w:tcPr>
            <w:tcW w:type="dxa" w:w="56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Permit Day-1 email plus Day-1 call when the trigger is explicit, current and role-relevant.</w:t>
            </w:r>
          </w:p>
        </w:tc>
      </w:tr>
      <w:tr>
        <w:trPr>
          <w:cantSplit/>
        </w:trPr>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Target: local numbers active</w:t>
            </w:r>
          </w:p>
        </w:tc>
        <w:tc>
          <w:tcPr>
            <w:tcW w:type="dxa" w:w="151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Tier B</w:t>
            </w:r>
          </w:p>
        </w:tc>
        <w:tc>
          <w:tcPr>
            <w:tcW w:type="dxa" w:w="56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A/B test Day-1 call against call-after-email. Do not assume one order works across all personas.</w:t>
            </w:r>
          </w:p>
        </w:tc>
      </w:tr>
      <w:tr>
        <w:trPr>
          <w:cantSplit/>
        </w:trPr>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Any state</w:t>
            </w:r>
          </w:p>
        </w:tc>
        <w:tc>
          <w:tcPr>
            <w:tcW w:type="dxa" w:w="151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Engineering/SRE</w:t>
            </w:r>
          </w:p>
        </w:tc>
        <w:tc>
          <w:tcPr>
            <w:tcW w:type="dxa" w:w="56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Use more technical evidence and default to research-led outreach; phone timing remains a separate experiment.</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Phone-order decision rule</w:t>
            </w:r>
          </w:p>
          <w:p>
            <w:pPr>
              <w:spacing w:after="0" w:line="259" w:lineRule="auto"/>
            </w:pPr>
            <w:r>
              <w:rPr>
                <w:rFonts w:ascii="Carlito" w:hAnsi="Carlito"/>
                <w:color w:val="1E2A35"/>
                <w:sz w:val="20"/>
              </w:rPr>
              <w:t>Call early when there is a fresh, explicit trigger, a verified direct dial and a clear reason for contacting that stakeholder. Create prior exposure when the account is fit-led, the hypothesis is speculative, the number is non-local or the audience is highly technical.</w:t>
            </w:r>
          </w:p>
        </w:tc>
      </w:tr>
    </w:tbl>
    <w:p>
      <w:pPr>
        <w:spacing w:after="0"/>
      </w:pPr>
    </w:p>
    <w:p>
      <w:pPr>
        <w:pStyle w:val="Heading1"/>
        <w:spacing w:before="200" w:after="100"/>
        <w:keepNext/>
      </w:pPr>
      <w:r>
        <w:t>5. Account selection, triggers and prioritisation</w:t>
      </w:r>
    </w:p>
    <w:p>
      <w:pPr>
        <w:pStyle w:val="Heading2"/>
        <w:spacing w:before="140" w:after="100"/>
        <w:keepNext/>
      </w:pPr>
      <w:r>
        <w:t>Data-source hierarchy</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7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Order</w:t>
            </w:r>
          </w:p>
        </w:tc>
        <w:tc>
          <w:tcPr>
            <w:tcW w:type="dxa" w:w="25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Source</w:t>
            </w:r>
          </w:p>
        </w:tc>
        <w:tc>
          <w:tcPr>
            <w:tcW w:type="dxa" w:w="684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Use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w:t>
            </w:r>
          </w:p>
        </w:tc>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CRM and existing Freshworks data</w:t>
            </w:r>
          </w:p>
        </w:tc>
        <w:tc>
          <w:tcPr>
            <w:tcW w:type="dxa" w:w="68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Ownership, activity, opportunity history, incumbent, closed-lost reason, customer/partner conflicts.</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w:t>
            </w:r>
          </w:p>
        </w:tc>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First-party behaviour</w:t>
            </w:r>
          </w:p>
        </w:tc>
        <w:tc>
          <w:tcPr>
            <w:tcW w:type="dxa" w:w="68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Relevant website activity, event engagement, demo/pricing activity, repeat account engagement.</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w:t>
            </w:r>
          </w:p>
        </w:tc>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ZoomInfo and Lusha</w:t>
            </w:r>
          </w:p>
        </w:tc>
        <w:tc>
          <w:tcPr>
            <w:tcW w:type="dxa" w:w="68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Firmographics, contacts, direct dials, technology and intent signals where licensed and approved.</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w:t>
            </w:r>
          </w:p>
        </w:tc>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Primary public sources</w:t>
            </w:r>
          </w:p>
        </w:tc>
        <w:tc>
          <w:tcPr>
            <w:tcW w:type="dxa" w:w="68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Company site, annual reports, regulatory filings, press releases, job postings, status pages, engineering blogs.</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5</w:t>
            </w:r>
          </w:p>
        </w:tc>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Secondary public sources</w:t>
            </w:r>
          </w:p>
        </w:tc>
        <w:tc>
          <w:tcPr>
            <w:tcW w:type="dxa" w:w="684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Reputable news and industry publications; use to discover, then verify using a primary source where possible.</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6</w:t>
            </w:r>
          </w:p>
        </w:tc>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LinkedIn</w:t>
            </w:r>
          </w:p>
        </w:tc>
        <w:tc>
          <w:tcPr>
            <w:tcW w:type="dxa" w:w="684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Role changes, public posts, mutual connections and profile validation; do not treat connection acceptance as intent.</w:t>
            </w:r>
          </w:p>
        </w:tc>
      </w:tr>
    </w:tbl>
    <w:p>
      <w:pPr>
        <w:spacing w:after="0"/>
      </w:pPr>
    </w:p>
    <w:p>
      <w:pPr>
        <w:pStyle w:val="Heading2"/>
        <w:spacing w:before="140" w:after="100"/>
        <w:keepNext/>
      </w:pPr>
      <w:r>
        <w:t>P1/P2/P3 prioritisation</w:t>
      </w:r>
    </w:p>
    <w:p>
      <w:pPr>
        <w:spacing w:after="80" w:before="0" w:line="259" w:lineRule="auto"/>
      </w:pPr>
      <w:r>
        <w:rPr>
          <w:rFonts w:ascii="Carlito" w:hAnsi="Carlito"/>
        </w:rPr>
        <w:t>Use the existing Freshworks/territory P1/P2/P3 model as the primary scoring method. Do not replace it with an invented 100-point model. Add the following operating overlays:</w:t>
      </w:r>
    </w:p>
    <w:p>
      <w:pPr>
        <w:pStyle w:val="ListBullet"/>
        <w:spacing w:after="40" w:line="247" w:lineRule="auto"/>
      </w:pPr>
      <w:r>
        <w:rPr>
          <w:rFonts w:ascii="Carlito" w:hAnsi="Carlito"/>
          <w:sz w:val="20"/>
        </w:rPr>
        <w:t>Signal freshness: a current trigger outranks an old one; stale signals should decay rather than remain permanent priority labels.</w:t>
      </w:r>
    </w:p>
    <w:p>
      <w:pPr>
        <w:pStyle w:val="ListBullet"/>
        <w:spacing w:after="40" w:line="247" w:lineRule="auto"/>
      </w:pPr>
      <w:r>
        <w:rPr>
          <w:rFonts w:ascii="Carlito" w:hAnsi="Carlito"/>
          <w:sz w:val="20"/>
        </w:rPr>
        <w:t>Signal convergence: multiple independent signals are stronger than a single anonymous visit, broad intent surge or one content interaction.</w:t>
      </w:r>
    </w:p>
    <w:p>
      <w:pPr>
        <w:pStyle w:val="ListBullet"/>
        <w:spacing w:after="40" w:line="247" w:lineRule="auto"/>
      </w:pPr>
      <w:r>
        <w:rPr>
          <w:rFonts w:ascii="Carlito" w:hAnsi="Carlito"/>
          <w:sz w:val="20"/>
        </w:rPr>
        <w:t>Negative evidence: recent incumbent renewal, active opportunity ownership, insufficient complexity, incorrect role, duplicate contact or explicit non-priority should lower or remove the account.</w:t>
      </w:r>
    </w:p>
    <w:p>
      <w:pPr>
        <w:pStyle w:val="ListBullet"/>
        <w:spacing w:after="40" w:line="247" w:lineRule="auto"/>
      </w:pPr>
      <w:r>
        <w:rPr>
          <w:rFonts w:ascii="Carlito" w:hAnsi="Carlito"/>
          <w:sz w:val="20"/>
        </w:rPr>
        <w:t>Contact confidence: verified role, tenure, direct dial and relevance to the organisational problem improve sequence readiness.</w:t>
      </w:r>
    </w:p>
    <w:p>
      <w:pPr>
        <w:pStyle w:val="ListBullet"/>
        <w:spacing w:after="40" w:line="247" w:lineRule="auto"/>
      </w:pPr>
      <w:r>
        <w:rPr>
          <w:rFonts w:ascii="Carlito" w:hAnsi="Carlito"/>
          <w:sz w:val="20"/>
        </w:rPr>
        <w:t>Sequence history: a completed sequence without engagement returns to monitoring; it does not automatically receive another touch.</w:t>
      </w:r>
    </w:p>
    <w:p>
      <w:pPr>
        <w:pStyle w:val="Heading2"/>
        <w:spacing w:before="140" w:after="100"/>
        <w:keepNext/>
      </w:pPr>
      <w:r>
        <w:t>Account entry criteria</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58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State</w:t>
            </w:r>
          </w:p>
        </w:tc>
        <w:tc>
          <w:tcPr>
            <w:tcW w:type="dxa" w:w="633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Definition</w:t>
            </w:r>
          </w:p>
        </w:tc>
        <w:tc>
          <w:tcPr>
            <w:tcW w:type="dxa" w:w="23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Action</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Tier A / P1</w:t>
            </w:r>
          </w:p>
        </w:tc>
        <w:tc>
          <w:tcPr>
            <w:tcW w:type="dxa" w:w="63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Strong fit plus a fresh explicit trigger, converging intent, current opportunity signal or credible re-engagement reason.</w:t>
            </w:r>
          </w:p>
        </w:tc>
        <w:tc>
          <w:tcPr>
            <w:tcW w:type="dxa" w:w="23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Active sequence now.</w:t>
            </w:r>
          </w:p>
        </w:tc>
      </w:tr>
      <w:tr>
        <w:trPr>
          <w:cantSplit/>
        </w:trPr>
        <w:tc>
          <w:tcPr>
            <w:tcW w:type="dxa" w:w="158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Tier B / P2</w:t>
            </w:r>
          </w:p>
        </w:tc>
        <w:tc>
          <w:tcPr>
            <w:tcW w:type="dxa" w:w="63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Strong fit plus a defensible organisational hypothesis, but no clear evidence of active evaluation.</w:t>
            </w:r>
          </w:p>
        </w:tc>
        <w:tc>
          <w:tcPr>
            <w:tcW w:type="dxa" w:w="23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Slower active sequence.</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Tier C / P3</w:t>
            </w:r>
          </w:p>
        </w:tc>
        <w:tc>
          <w:tcPr>
            <w:tcW w:type="dxa" w:w="633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Good fit but weak timing evidence or low confidence in ownership/problem relevance.</w:t>
            </w:r>
          </w:p>
        </w:tc>
        <w:tc>
          <w:tcPr>
            <w:tcW w:type="dxa" w:w="23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Light sequence or monitor.</w:t>
            </w:r>
          </w:p>
        </w:tc>
      </w:tr>
      <w:tr>
        <w:trPr>
          <w:cantSplit/>
        </w:trPr>
        <w:tc>
          <w:tcPr>
            <w:tcW w:type="dxa" w:w="158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Hold</w:t>
            </w:r>
          </w:p>
        </w:tc>
        <w:tc>
          <w:tcPr>
            <w:tcW w:type="dxa" w:w="633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Insufficient fit, stale trigger, wrong territory, current conflict, recent renewal or compliance/data concern.</w:t>
            </w:r>
          </w:p>
        </w:tc>
        <w:tc>
          <w:tcPr>
            <w:tcW w:type="dxa" w:w="23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No active outreach.</w:t>
            </w:r>
          </w:p>
        </w:tc>
      </w:tr>
    </w:tbl>
    <w:p>
      <w:pPr>
        <w:spacing w:after="0"/>
      </w:pPr>
    </w:p>
    <w:p>
      <w:pPr>
        <w:pStyle w:val="Heading2"/>
        <w:spacing w:before="140" w:after="100"/>
        <w:keepNext/>
      </w:pPr>
      <w:r>
        <w:t>Cross-product trigger framework</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72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Trigger family</w:t>
            </w:r>
          </w:p>
        </w:tc>
        <w:tc>
          <w:tcPr>
            <w:tcW w:type="dxa" w:w="446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Examples</w:t>
            </w:r>
          </w:p>
        </w:tc>
        <w:tc>
          <w:tcPr>
            <w:tcW w:type="dxa" w:w="403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Why it matters</w:t>
            </w:r>
          </w:p>
        </w:tc>
      </w:tr>
      <w:tr>
        <w:trPr>
          <w:cantSplit/>
        </w:trPr>
        <w:tc>
          <w:tcPr>
            <w:tcW w:type="dxa" w:w="172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Leadership</w:t>
            </w:r>
          </w:p>
        </w:tc>
        <w:tc>
          <w:tcPr>
            <w:tcW w:type="dxa" w:w="446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New CIO, CTO, VP Engineering, Head of ITSM, Head of SRE or transformation leader</w:t>
            </w:r>
          </w:p>
        </w:tc>
        <w:tc>
          <w:tcPr>
            <w:tcW w:type="dxa" w:w="403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Fresh leadership often reviews operating models, platforms and team priorities.</w:t>
            </w:r>
          </w:p>
        </w:tc>
      </w:tr>
      <w:tr>
        <w:trPr>
          <w:cantSplit/>
        </w:trPr>
        <w:tc>
          <w:tcPr>
            <w:tcW w:type="dxa" w:w="172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Transformation</w:t>
            </w:r>
          </w:p>
        </w:tc>
        <w:tc>
          <w:tcPr>
            <w:tcW w:type="dxa" w:w="446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Cloud migration, data-centre exit, shared services, M&amp;A, digital workplace, application modernisation</w:t>
            </w:r>
          </w:p>
        </w:tc>
        <w:tc>
          <w:tcPr>
            <w:tcW w:type="dxa" w:w="403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Creates discovery, dependency, workflow, service and reliability pressure.</w:t>
            </w:r>
          </w:p>
        </w:tc>
      </w:tr>
      <w:tr>
        <w:trPr>
          <w:cantSplit/>
        </w:trPr>
        <w:tc>
          <w:tcPr>
            <w:tcW w:type="dxa" w:w="172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Commercial</w:t>
            </w:r>
          </w:p>
        </w:tc>
        <w:tc>
          <w:tcPr>
            <w:tcW w:type="dxa" w:w="446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Incumbent renewal, procurement review, cost programme, platform rationalisation</w:t>
            </w:r>
          </w:p>
        </w:tc>
        <w:tc>
          <w:tcPr>
            <w:tcW w:type="dxa" w:w="403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Creates a time-bound evaluation window.</w:t>
            </w:r>
          </w:p>
        </w:tc>
      </w:tr>
      <w:tr>
        <w:trPr>
          <w:cantSplit/>
        </w:trPr>
        <w:tc>
          <w:tcPr>
            <w:tcW w:type="dxa" w:w="172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Operational</w:t>
            </w:r>
          </w:p>
        </w:tc>
        <w:tc>
          <w:tcPr>
            <w:tcW w:type="dxa" w:w="446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Public incident, reliability programme, service backlog, integration complexity, CMDB remediation</w:t>
            </w:r>
          </w:p>
        </w:tc>
        <w:tc>
          <w:tcPr>
            <w:tcW w:type="dxa" w:w="403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Creates tangible consequence and urgency.</w:t>
            </w:r>
          </w:p>
        </w:tc>
      </w:tr>
      <w:tr>
        <w:trPr>
          <w:cantSplit/>
        </w:trPr>
        <w:tc>
          <w:tcPr>
            <w:tcW w:type="dxa" w:w="172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People</w:t>
            </w:r>
          </w:p>
        </w:tc>
        <w:tc>
          <w:tcPr>
            <w:tcW w:type="dxa" w:w="446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Relevant hiring surge, new SRE/ITSM/asset roles, restructuring or regional expansion</w:t>
            </w:r>
          </w:p>
        </w:tc>
        <w:tc>
          <w:tcPr>
            <w:tcW w:type="dxa" w:w="403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Signals capacity, capability or operating-model change.</w:t>
            </w:r>
          </w:p>
        </w:tc>
      </w:tr>
      <w:tr>
        <w:trPr>
          <w:cantSplit/>
        </w:trPr>
        <w:tc>
          <w:tcPr>
            <w:tcW w:type="dxa" w:w="172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Behavioural</w:t>
            </w:r>
          </w:p>
        </w:tc>
        <w:tc>
          <w:tcPr>
            <w:tcW w:type="dxa" w:w="446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Multiple relevant visitors, pricing/comparison activity, category research, event engagement</w:t>
            </w:r>
          </w:p>
        </w:tc>
        <w:tc>
          <w:tcPr>
            <w:tcW w:type="dxa" w:w="403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More useful when repeated, recent and combined with firmographic or public evidence.</w:t>
            </w:r>
          </w:p>
        </w:tc>
      </w:tr>
    </w:tbl>
    <w:p>
      <w:pPr>
        <w:spacing w:after="0"/>
      </w:pPr>
    </w:p>
    <w:p>
      <w:pPr>
        <w:pStyle w:val="Heading2"/>
        <w:spacing w:before="140" w:after="100"/>
        <w:keepNext/>
      </w:pPr>
      <w:r>
        <w:t>Deprioritisation and recycling</w:t>
      </w:r>
    </w:p>
    <w:p>
      <w:pPr>
        <w:pStyle w:val="ListBullet"/>
        <w:spacing w:after="40" w:line="247" w:lineRule="auto"/>
      </w:pPr>
      <w:r>
        <w:rPr>
          <w:rFonts w:ascii="Carlito" w:hAnsi="Carlito"/>
          <w:sz w:val="20"/>
        </w:rPr>
        <w:t>Stop the active sequence when all planned meaningful touches have been exhausted; do not add filler follow-ups.</w:t>
      </w:r>
    </w:p>
    <w:p>
      <w:pPr>
        <w:pStyle w:val="ListBullet"/>
        <w:spacing w:after="40" w:line="247" w:lineRule="auto"/>
      </w:pPr>
      <w:r>
        <w:rPr>
          <w:rFonts w:ascii="Carlito" w:hAnsi="Carlito"/>
          <w:sz w:val="20"/>
        </w:rPr>
        <w:t>Recycle only when a new trigger, stakeholder, hypothesis, event or materially different message play exists.</w:t>
      </w:r>
    </w:p>
    <w:p>
      <w:pPr>
        <w:pStyle w:val="ListBullet"/>
        <w:spacing w:after="40" w:line="247" w:lineRule="auto"/>
      </w:pPr>
      <w:r>
        <w:rPr>
          <w:rFonts w:ascii="Carlito" w:hAnsi="Carlito"/>
          <w:sz w:val="20"/>
        </w:rPr>
        <w:t>Suppress immediately on opt-out, complaint, invalid data, duplicate ownership or explicit disqualification.</w:t>
      </w:r>
    </w:p>
    <w:p>
      <w:pPr>
        <w:pStyle w:val="ListBullet"/>
        <w:spacing w:after="40" w:line="247" w:lineRule="auto"/>
      </w:pPr>
      <w:r>
        <w:rPr>
          <w:rFonts w:ascii="Carlito" w:hAnsi="Carlito"/>
          <w:sz w:val="20"/>
        </w:rPr>
        <w:t>If an account has recently renewed an incumbent and there is no dissatisfaction or transformation trigger, move it to renewal-window monitoring.</w:t>
      </w:r>
    </w:p>
    <w:p>
      <w:pPr>
        <w:pStyle w:val="ListBullet"/>
        <w:spacing w:after="40" w:line="247" w:lineRule="auto"/>
      </w:pPr>
      <w:r>
        <w:rPr>
          <w:rFonts w:ascii="Carlito" w:hAnsi="Carlito"/>
          <w:sz w:val="20"/>
        </w:rPr>
        <w:t>A single email open is not intent. Open tracking may be distorted by privacy systems, scanners and client behaviour.</w:t>
      </w:r>
    </w:p>
    <w:p>
      <w:pPr>
        <w:pStyle w:val="Heading1"/>
        <w:spacing w:before="200" w:after="100"/>
        <w:keepNext/>
      </w:pPr>
      <w:r>
        <w:t>6. Buying-group strategy</w:t>
      </w:r>
    </w:p>
    <w:p>
      <w:pPr>
        <w:pStyle w:val="Heading2"/>
        <w:spacing w:before="140" w:after="100"/>
        <w:keepNext/>
      </w:pPr>
      <w:r>
        <w:t>Initial buying-group triangle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Seat</w:t>
            </w:r>
          </w:p>
        </w:tc>
        <w:tc>
          <w:tcPr>
            <w:tcW w:type="dxa" w:w="345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Typical roles</w:t>
            </w:r>
          </w:p>
        </w:tc>
        <w:tc>
          <w:tcPr>
            <w:tcW w:type="dxa" w:w="482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What this seat helps establish</w:t>
            </w:r>
          </w:p>
        </w:tc>
      </w:tr>
      <w:tr>
        <w:trPr>
          <w:cantSplit/>
        </w:trPr>
        <w:tc>
          <w:tcPr>
            <w:tcW w:type="dxa" w:w="194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Strategic stakeholder</w:t>
            </w:r>
          </w:p>
        </w:tc>
        <w:tc>
          <w:tcPr>
            <w:tcW w:type="dxa" w:w="345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CIO, CTO, VP IT, VP Engineering or transformation sponsor</w:t>
            </w:r>
          </w:p>
        </w:tc>
        <w:tc>
          <w:tcPr>
            <w:tcW w:type="dxa" w:w="48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Business priority, risk, resource allocation and whether the issue deserves organisational attention.</w:t>
            </w:r>
          </w:p>
        </w:tc>
      </w:tr>
      <w:tr>
        <w:trPr>
          <w:cantSplit/>
        </w:trPr>
        <w:tc>
          <w:tcPr>
            <w:tcW w:type="dxa" w:w="194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Operational owner</w:t>
            </w:r>
          </w:p>
        </w:tc>
        <w:tc>
          <w:tcPr>
            <w:tcW w:type="dxa" w:w="345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Head of ITSM, Service Management, Infrastructure, Cloud, SRE or Platform</w:t>
            </w:r>
          </w:p>
        </w:tc>
        <w:tc>
          <w:tcPr>
            <w:tcW w:type="dxa" w:w="48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Current operating model, ownership, friction, process and evaluation activity.</w:t>
            </w:r>
          </w:p>
        </w:tc>
      </w:tr>
      <w:tr>
        <w:trPr>
          <w:cantSplit/>
        </w:trPr>
        <w:tc>
          <w:tcPr>
            <w:tcW w:type="dxa" w:w="194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Technical evaluator/practitioner</w:t>
            </w:r>
          </w:p>
        </w:tc>
        <w:tc>
          <w:tcPr>
            <w:tcW w:type="dxa" w:w="345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CMDB owner, enterprise architect, service desk, incident manager, engineering operations</w:t>
            </w:r>
          </w:p>
        </w:tc>
        <w:tc>
          <w:tcPr>
            <w:tcW w:type="dxa" w:w="48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Technical evidence, workflow reality, integrations, data quality and implementation constraints.</w:t>
            </w:r>
          </w:p>
        </w:tc>
      </w:tr>
    </w:tbl>
    <w:p>
      <w:pPr>
        <w:spacing w:after="0"/>
      </w:pPr>
    </w:p>
    <w:p>
      <w:pPr>
        <w:pStyle w:val="Heading2"/>
        <w:spacing w:before="140" w:after="100"/>
        <w:keepNext/>
      </w:pPr>
      <w:r>
        <w:t>One narrative, different evidence</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Shared narrative rule</w:t>
            </w:r>
          </w:p>
          <w:p>
            <w:pPr>
              <w:spacing w:after="0" w:line="259" w:lineRule="auto"/>
            </w:pPr>
            <w:r>
              <w:rPr>
                <w:rFonts w:ascii="Carlito" w:hAnsi="Carlito"/>
                <w:color w:val="1E2A35"/>
                <w:sz w:val="20"/>
              </w:rPr>
              <w:t>The organisation has one hypothesised operating problem, one reason it may matter now and one set of intended outcomes. Each contact receives evidence and questions appropriate to their responsibilities, but not a contradictory explanation of the problem.</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Layer</w:t>
            </w:r>
          </w:p>
        </w:tc>
        <w:tc>
          <w:tcPr>
            <w:tcW w:type="dxa" w:w="784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Example</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Shared account problem</w:t>
            </w:r>
          </w:p>
        </w:tc>
        <w:tc>
          <w:tcPr>
            <w:tcW w:type="dxa" w:w="784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The service-management operating model may be creating unnecessary administration, fragmented operational visibility and slower change.</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CIO evidence/question</w:t>
            </w:r>
          </w:p>
        </w:tc>
        <w:tc>
          <w:tcPr>
            <w:tcW w:type="dxa" w:w="784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Strategic resource pressure and simplification: Is the current operating model absorbing enough specialist capacity or cost to justify review?</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ITSM evidence/question</w:t>
            </w:r>
          </w:p>
        </w:tc>
        <w:tc>
          <w:tcPr>
            <w:tcW w:type="dxa" w:w="784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Administration and change: Where does the platform effort sit today, and what makes workflow or service expansion difficult?</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Infrastructure evidence/question</w:t>
            </w:r>
          </w:p>
        </w:tc>
        <w:tc>
          <w:tcPr>
            <w:tcW w:type="dxa" w:w="784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Operational data: How reliable is the asset and dependency information used for service and change decisions?</w:t>
            </w:r>
          </w:p>
        </w:tc>
      </w:tr>
    </w:tbl>
    <w:p>
      <w:pPr>
        <w:spacing w:after="0"/>
      </w:pPr>
    </w:p>
    <w:p>
      <w:pPr>
        <w:pStyle w:val="Heading2"/>
        <w:spacing w:before="140" w:after="100"/>
        <w:keepNext/>
      </w:pPr>
      <w:r>
        <w:t>Contact sequencing</w:t>
      </w:r>
    </w:p>
    <w:p>
      <w:pPr>
        <w:pStyle w:val="ListBullet"/>
        <w:spacing w:after="40" w:line="247" w:lineRule="auto"/>
      </w:pPr>
      <w:r>
        <w:rPr>
          <w:rFonts w:ascii="Carlito" w:hAnsi="Carlito"/>
          <w:sz w:val="20"/>
        </w:rPr>
        <w:t>Start with up to three well-chosen contacts. Functional diversity is more valuable than simply moving up or down one reporting line.</w:t>
      </w:r>
    </w:p>
    <w:p>
      <w:pPr>
        <w:pStyle w:val="ListBullet"/>
        <w:spacing w:after="40" w:line="247" w:lineRule="auto"/>
      </w:pPr>
      <w:r>
        <w:rPr>
          <w:rFonts w:ascii="Carlito" w:hAnsi="Carlito"/>
          <w:sz w:val="20"/>
        </w:rPr>
        <w:t>Default to staggered multithreading by 2-3 business days so that learning from Contact 1 can improve Contact 2. Use parallel outreach only for urgent Tier A triggers or an active evaluation window.</w:t>
      </w:r>
    </w:p>
    <w:p>
      <w:pPr>
        <w:pStyle w:val="ListBullet"/>
        <w:spacing w:after="40" w:line="247" w:lineRule="auto"/>
      </w:pPr>
      <w:r>
        <w:rPr>
          <w:rFonts w:ascii="Carlito" w:hAnsi="Carlito"/>
          <w:sz w:val="20"/>
        </w:rPr>
        <w:t>Pause or modify other contacts when someone replies, refers ownership or confirms an active project.</w:t>
      </w:r>
    </w:p>
    <w:p>
      <w:pPr>
        <w:pStyle w:val="ListBullet"/>
        <w:spacing w:after="40" w:line="247" w:lineRule="auto"/>
      </w:pPr>
      <w:r>
        <w:rPr>
          <w:rFonts w:ascii="Carlito" w:hAnsi="Carlito"/>
          <w:sz w:val="20"/>
        </w:rPr>
        <w:t>Expand beyond the initial triangle only when evidence reveals additional influence, procurement involvement or cross-functional impact.</w:t>
      </w:r>
    </w:p>
    <w:p>
      <w:pPr>
        <w:pStyle w:val="ListBullet"/>
        <w:spacing w:after="40" w:line="247" w:lineRule="auto"/>
      </w:pPr>
      <w:r>
        <w:rPr>
          <w:rFonts w:ascii="Carlito" w:hAnsi="Carlito"/>
          <w:sz w:val="20"/>
        </w:rPr>
        <w:t>Never send identical automated copy to many people in the same account at the same time.</w:t>
      </w:r>
    </w:p>
    <w:p>
      <w:pPr>
        <w:pStyle w:val="Heading1"/>
        <w:spacing w:before="200" w:after="100"/>
        <w:keepNext/>
      </w:pPr>
      <w:r>
        <w:t>7. Cadence architecture by account state</w:t>
      </w:r>
    </w:p>
    <w:p>
      <w:pPr>
        <w:spacing w:after="80" w:before="0" w:line="259" w:lineRule="auto"/>
      </w:pPr>
      <w:r>
        <w:rPr>
          <w:rFonts w:ascii="Carlito" w:hAnsi="Carlito"/>
        </w:rPr>
        <w:t>All days below are business days. These are starting hypotheses, not universal scientific rules. Shift around national holidays, company shutdowns and major Nordic summer/Christmas periods.</w:t>
      </w:r>
    </w:p>
    <w:p>
      <w:pPr>
        <w:pStyle w:val="Heading2"/>
        <w:spacing w:before="140" w:after="100"/>
        <w:keepNext/>
      </w:pPr>
      <w:r>
        <w:t>Tier A: fresh trigger or converging intent</w:t>
      </w:r>
    </w:p>
    <w:p>
      <w:pPr>
        <w:spacing w:after="80" w:before="0" w:line="259" w:lineRule="auto"/>
      </w:pPr>
      <w:r>
        <w:rPr>
          <w:rFonts w:ascii="Carlito" w:hAnsi="Carlito"/>
        </w:rPr>
        <w:t>Use when the account has a current renewal, public incident, migration, leadership change, RFP, multi-signal intent or credible re-engagement event.</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7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Day</w:t>
            </w:r>
          </w:p>
        </w:tc>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Channel</w:t>
            </w:r>
          </w:p>
        </w:tc>
        <w:tc>
          <w:tcPr>
            <w:tcW w:type="dxa" w:w="72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Purpose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1</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Trigger + organisational hypothesis + diagnostic question</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1</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Call 1</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Allowed when local number/direct dial and trigger are strong; test relevance, do not pitch</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LinkedIn</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Profile validation/follow; concise contextual connection if appropriate</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5</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Email 2</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Reframe the issue or distinguish symptom from root cause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8</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Call 2</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Test ownership, timing and problem relevance</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12</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LinkedIn value touch</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Relevant comment, short observation or ungated decision aid</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16</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3</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Evidence, evaluation criteria or relevant customer pattern</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21</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Call 3 / voicemail</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Final direct attempt; voicemail only if justified</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26</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Close loop</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Classify timing, ownership or hypothesis; then recycle to monitoring</w:t>
            </w:r>
          </w:p>
        </w:tc>
      </w:tr>
    </w:tbl>
    <w:p>
      <w:pPr>
        <w:spacing w:after="0"/>
      </w:pPr>
    </w:p>
    <w:p>
      <w:pPr>
        <w:pStyle w:val="SmallNote"/>
        <w:spacing w:after="80" w:before="0" w:line="259" w:lineRule="auto"/>
      </w:pPr>
      <w:r>
        <w:rPr>
          <w:rFonts w:ascii="Carlito" w:hAnsi="Carlito"/>
        </w:rPr>
        <w:t>Without local numbers, move Call 1 to approximately Day 5-7 after email/LinkedIn exposure. Keep the remaining spacing broadly similar.</w:t>
      </w:r>
    </w:p>
    <w:p>
      <w:pPr>
        <w:pStyle w:val="Heading2"/>
        <w:spacing w:before="140" w:after="100"/>
        <w:keepNext/>
      </w:pPr>
      <w:r>
        <w:t>Tier B: strong fit, credible hypothesis, no active signal</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7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Day</w:t>
            </w:r>
          </w:p>
        </w:tc>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Channel</w:t>
            </w:r>
          </w:p>
        </w:tc>
        <w:tc>
          <w:tcPr>
            <w:tcW w:type="dxa" w:w="72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Purpose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1</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Organisational hypothesis and low-friction relevance CTA</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LinkedIn</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Profile exposure or concise connection request</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7</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Call 1</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Test relevance and ownership</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12</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Email 2</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New diagnostic angle or consequence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18</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Call 2</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Clarify priority, timing and correct stakeholder</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25</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LinkedIn value touch</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Relevant insight or public-context engagement</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32</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3</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Decision framework, peer pattern or proof</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40</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Close loop</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Professional classification and exit</w:t>
            </w:r>
          </w:p>
        </w:tc>
      </w:tr>
    </w:tbl>
    <w:p>
      <w:pPr>
        <w:spacing w:after="0"/>
      </w:pPr>
    </w:p>
    <w:p>
      <w:pPr>
        <w:pStyle w:val="Heading2"/>
        <w:spacing w:before="140" w:after="100"/>
        <w:keepNext/>
      </w:pPr>
      <w:r>
        <w:t>Tier C: good fit, speculative timing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7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Day</w:t>
            </w:r>
          </w:p>
        </w:tc>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Channel</w:t>
            </w:r>
          </w:p>
        </w:tc>
        <w:tc>
          <w:tcPr>
            <w:tcW w:type="dxa" w:w="72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Purpose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1</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Fit-led hypothesis; no overclaiming</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7</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LinkedIn</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Connection/profile validation</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14</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Call</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Ownership and relevance test</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25</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Email 2</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One useful new diagnostic or decision aid</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40</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Close loop</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Exit and move to trigger monitoring</w:t>
            </w:r>
          </w:p>
        </w:tc>
      </w:tr>
    </w:tbl>
    <w:p>
      <w:pPr>
        <w:spacing w:after="0"/>
      </w:pPr>
    </w:p>
    <w:p>
      <w:pPr>
        <w:pStyle w:val="Heading2"/>
        <w:spacing w:before="140" w:after="100"/>
        <w:keepNext/>
      </w:pPr>
      <w:r>
        <w:t>Closed-lost / re-engagement</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7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Day</w:t>
            </w:r>
          </w:p>
        </w:tc>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Channel</w:t>
            </w:r>
          </w:p>
        </w:tc>
        <w:tc>
          <w:tcPr>
            <w:tcW w:type="dxa" w:w="72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Purpose</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1</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Reference the previous evaluation and the specific change that may alter the prior conclusion</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Call</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Test whether the original blocker still holds</w:t>
            </w:r>
          </w:p>
        </w:tc>
      </w:tr>
      <w:tr>
        <w:trPr>
          <w:cantSplit/>
        </w:trPr>
        <w:tc>
          <w:tcPr>
            <w:tcW w:type="dxa" w:w="7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10</w:t>
            </w:r>
          </w:p>
        </w:tc>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2</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Provide evidence related to the changed condition; do not restart generic discovery</w:t>
            </w:r>
          </w:p>
        </w:tc>
      </w:tr>
      <w:tr>
        <w:trPr>
          <w:cantSplit/>
        </w:trPr>
        <w:tc>
          <w:tcPr>
            <w:tcW w:type="dxa" w:w="7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17</w:t>
            </w:r>
          </w:p>
        </w:tc>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Referral / close</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Confirm ownership, timing or continued hold</w:t>
            </w:r>
          </w:p>
        </w:tc>
      </w:tr>
    </w:tbl>
    <w:p>
      <w:pPr>
        <w:spacing w:after="0"/>
      </w:pPr>
    </w:p>
    <w:p>
      <w:pPr>
        <w:pStyle w:val="Heading2"/>
        <w:spacing w:before="140" w:after="100"/>
        <w:keepNext/>
      </w:pPr>
      <w:r>
        <w:t>Cadence guardrails</w:t>
      </w:r>
    </w:p>
    <w:p>
      <w:pPr>
        <w:pStyle w:val="ListBullet"/>
        <w:spacing w:after="40" w:line="247" w:lineRule="auto"/>
      </w:pPr>
      <w:r>
        <w:rPr>
          <w:rFonts w:ascii="Carlito" w:hAnsi="Carlito"/>
          <w:sz w:val="20"/>
        </w:rPr>
        <w:t>Seven meaningful active touches is the normal centre of gravity; anything beyond nine requires explicit rationale.</w:t>
      </w:r>
    </w:p>
    <w:p>
      <w:pPr>
        <w:pStyle w:val="ListBullet"/>
        <w:spacing w:after="40" w:line="247" w:lineRule="auto"/>
      </w:pPr>
      <w:r>
        <w:rPr>
          <w:rFonts w:ascii="Carlito" w:hAnsi="Carlito"/>
          <w:sz w:val="20"/>
        </w:rPr>
        <w:t>Use two to three call attempts as normal. Extend toward five only for high-conviction accounts with verified data; Cognism found steep diminishing returns after Call 3. [C1]</w:t>
      </w:r>
    </w:p>
    <w:p>
      <w:pPr>
        <w:pStyle w:val="ListBullet"/>
        <w:spacing w:after="40" w:line="247" w:lineRule="auto"/>
      </w:pPr>
      <w:r>
        <w:rPr>
          <w:rFonts w:ascii="Carlito" w:hAnsi="Carlito"/>
          <w:sz w:val="20"/>
        </w:rPr>
        <w:t>Use no more than one or two voicemails; Gong found email reply rates fell below the no-voicemail baseline after three or more. [GO3]</w:t>
      </w:r>
    </w:p>
    <w:p>
      <w:pPr>
        <w:pStyle w:val="ListBullet"/>
        <w:spacing w:after="40" w:line="247" w:lineRule="auto"/>
      </w:pPr>
      <w:r>
        <w:rPr>
          <w:rFonts w:ascii="Carlito" w:hAnsi="Carlito"/>
          <w:sz w:val="20"/>
        </w:rPr>
        <w:t>Do not schedule daily email follow-ups. Yesware’s ten-million-thread analysis found a successful email pattern around three-to-four-day spacing. [Y1]</w:t>
      </w:r>
    </w:p>
    <w:p>
      <w:pPr>
        <w:pStyle w:val="ListBullet"/>
        <w:spacing w:after="40" w:line="247" w:lineRule="auto"/>
      </w:pPr>
      <w:r>
        <w:rPr>
          <w:rFonts w:ascii="Carlito" w:hAnsi="Carlito"/>
          <w:sz w:val="20"/>
        </w:rPr>
        <w:t>Do not continue because the automation has remaining steps. Continue because the next touch has a useful reason to exist.</w:t>
      </w:r>
    </w:p>
    <w:p>
      <w:pPr>
        <w:pStyle w:val="Heading1"/>
        <w:spacing w:before="200" w:after="100"/>
        <w:keepNext/>
      </w:pPr>
      <w:r>
        <w:t>8. Messaging system and touch progression</w:t>
      </w:r>
    </w:p>
    <w:p>
      <w:pPr>
        <w:pStyle w:val="Heading2"/>
        <w:spacing w:before="140" w:after="100"/>
        <w:keepNext/>
      </w:pPr>
      <w:r>
        <w:t>Core message architecture</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Message formula</w:t>
            </w:r>
          </w:p>
          <w:p>
            <w:pPr>
              <w:spacing w:after="0" w:line="259" w:lineRule="auto"/>
            </w:pPr>
            <w:r>
              <w:rPr>
                <w:rFonts w:ascii="Carlito" w:hAnsi="Carlito"/>
                <w:color w:val="1E2A35"/>
                <w:sz w:val="20"/>
              </w:rPr>
              <w:t>Trigger or relevant observation -&gt; organisational hypothesis -&gt; diagnostic distinction or insight -&gt; role-appropriate question -&gt; low-friction CTA.</w:t>
            </w:r>
          </w:p>
        </w:tc>
      </w:tr>
    </w:tbl>
    <w:p>
      <w:pPr>
        <w:spacing w:after="0"/>
      </w:pPr>
    </w:p>
    <w:p>
      <w:pPr>
        <w:pStyle w:val="Heading2"/>
        <w:spacing w:before="140" w:after="100"/>
        <w:keepNext/>
      </w:pPr>
      <w:r>
        <w:t>Touch progression</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5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Stage</w:t>
            </w:r>
          </w:p>
        </w:tc>
        <w:tc>
          <w:tcPr>
            <w:tcW w:type="dxa" w:w="74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Purpose</w:t>
            </w:r>
          </w:p>
        </w:tc>
      </w:tr>
      <w:tr>
        <w:trPr>
          <w:cantSplit/>
        </w:trPr>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 Why this account, why now?</w:t>
            </w:r>
          </w:p>
        </w:tc>
        <w:tc>
          <w:tcPr>
            <w:tcW w:type="dxa" w:w="74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Establish the observation or trigger and test a credible organisational hypothesis.</w:t>
            </w:r>
          </w:p>
        </w:tc>
      </w:tr>
      <w:tr>
        <w:trPr>
          <w:cantSplit/>
        </w:trPr>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 Reframe</w:t>
            </w:r>
          </w:p>
        </w:tc>
        <w:tc>
          <w:tcPr>
            <w:tcW w:type="dxa" w:w="74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Distinguish the visible symptom from a less obvious root cause or evaluation issue.</w:t>
            </w:r>
          </w:p>
        </w:tc>
      </w:tr>
      <w:tr>
        <w:trPr>
          <w:cantSplit/>
        </w:trPr>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 Ownership</w:t>
            </w:r>
          </w:p>
        </w:tc>
        <w:tc>
          <w:tcPr>
            <w:tcW w:type="dxa" w:w="74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Determine whether the issue sits with this person, another function or is not currently a priority.</w:t>
            </w:r>
          </w:p>
        </w:tc>
      </w:tr>
      <w:tr>
        <w:trPr>
          <w:cantSplit/>
        </w:trPr>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 Consequence</w:t>
            </w:r>
          </w:p>
        </w:tc>
        <w:tc>
          <w:tcPr>
            <w:tcW w:type="dxa" w:w="74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Explain the operational or business implication of maintaining the status quo without using fear or exaggerated claims.</w:t>
            </w:r>
          </w:p>
        </w:tc>
      </w:tr>
      <w:tr>
        <w:trPr>
          <w:cantSplit/>
        </w:trPr>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5. Evidence</w:t>
            </w:r>
          </w:p>
        </w:tc>
        <w:tc>
          <w:tcPr>
            <w:tcW w:type="dxa" w:w="74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Introduce a relevant customer pattern, approved proof point or verified public benchmark.</w:t>
            </w:r>
          </w:p>
        </w:tc>
      </w:tr>
      <w:tr>
        <w:trPr>
          <w:cantSplit/>
        </w:trPr>
        <w:tc>
          <w:tcPr>
            <w:tcW w:type="dxa" w:w="25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6. Decision support</w:t>
            </w:r>
          </w:p>
        </w:tc>
        <w:tc>
          <w:tcPr>
            <w:tcW w:type="dxa" w:w="74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Offer evaluation criteria, readiness questions, a checklist or a framework that helps determine fit.</w:t>
            </w:r>
          </w:p>
        </w:tc>
      </w:tr>
      <w:tr>
        <w:trPr>
          <w:cantSplit/>
        </w:trPr>
        <w:tc>
          <w:tcPr>
            <w:tcW w:type="dxa" w:w="25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7. Classify and close</w:t>
            </w:r>
          </w:p>
        </w:tc>
        <w:tc>
          <w:tcPr>
            <w:tcW w:type="dxa" w:w="74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Clarify whether the hypothesis, timing or ownership is wrong; exit professionally.</w:t>
            </w:r>
          </w:p>
        </w:tc>
      </w:tr>
    </w:tbl>
    <w:p>
      <w:pPr>
        <w:spacing w:after="0"/>
      </w:pPr>
    </w:p>
    <w:p>
      <w:pPr>
        <w:pStyle w:val="Heading2"/>
        <w:spacing w:before="140" w:after="100"/>
        <w:keepNext/>
      </w:pPr>
      <w:r>
        <w:t>Email standards</w:t>
      </w:r>
    </w:p>
    <w:p>
      <w:pPr>
        <w:pStyle w:val="ListBullet"/>
        <w:spacing w:after="40" w:line="247" w:lineRule="auto"/>
      </w:pPr>
      <w:r>
        <w:rPr>
          <w:rFonts w:ascii="Carlito" w:hAnsi="Carlito"/>
          <w:sz w:val="20"/>
        </w:rPr>
        <w:t>Aim for 50-100 words and three to four concise sentences, particularly for executives. Gong reports replies decline once messages exceed 100 words. [GO1][GO4]</w:t>
      </w:r>
    </w:p>
    <w:p>
      <w:pPr>
        <w:pStyle w:val="ListBullet"/>
        <w:spacing w:after="40" w:line="247" w:lineRule="auto"/>
      </w:pPr>
      <w:r>
        <w:rPr>
          <w:rFonts w:ascii="Carlito" w:hAnsi="Carlito"/>
          <w:sz w:val="20"/>
        </w:rPr>
        <w:t>Use short, priority-based subject lines. For executives, one to four words is a useful starting hypothesis. [GO4]</w:t>
      </w:r>
    </w:p>
    <w:p>
      <w:pPr>
        <w:pStyle w:val="ListBullet"/>
        <w:spacing w:after="40" w:line="247" w:lineRule="auto"/>
      </w:pPr>
      <w:r>
        <w:rPr>
          <w:rFonts w:ascii="Carlito" w:hAnsi="Carlito"/>
          <w:sz w:val="20"/>
        </w:rPr>
        <w:t>Use the prospect’s language for priorities and operating issues; avoid generic marketing copy.</w:t>
      </w:r>
    </w:p>
    <w:p>
      <w:pPr>
        <w:pStyle w:val="ListBullet"/>
        <w:spacing w:after="40" w:line="247" w:lineRule="auto"/>
      </w:pPr>
      <w:r>
        <w:rPr>
          <w:rFonts w:ascii="Carlito" w:hAnsi="Carlito"/>
          <w:sz w:val="20"/>
        </w:rPr>
        <w:t>Use an interest CTA in early cold email: ask whether the issue is relevant or whether a decision aid would be useful. Gong analysed 304,174 emails and found interest CTAs outperformed meeting asks. [GO2]</w:t>
      </w:r>
    </w:p>
    <w:p>
      <w:pPr>
        <w:pStyle w:val="ListBullet"/>
        <w:spacing w:after="40" w:line="247" w:lineRule="auto"/>
      </w:pPr>
      <w:r>
        <w:rPr>
          <w:rFonts w:ascii="Carlito" w:hAnsi="Carlito"/>
          <w:sz w:val="20"/>
        </w:rPr>
        <w:t>Keep follow-ups in the same thread unless the account context materially changes.</w:t>
      </w:r>
    </w:p>
    <w:p>
      <w:pPr>
        <w:pStyle w:val="ListBullet"/>
        <w:spacing w:after="40" w:line="247" w:lineRule="auto"/>
      </w:pPr>
      <w:r>
        <w:rPr>
          <w:rFonts w:ascii="Carlito" w:hAnsi="Carlito"/>
          <w:sz w:val="20"/>
        </w:rPr>
        <w:t>Introduce something new in every follow-up.</w:t>
      </w:r>
    </w:p>
    <w:p>
      <w:pPr>
        <w:pStyle w:val="Heading2"/>
        <w:spacing w:before="140" w:after="100"/>
        <w:keepNext/>
      </w:pPr>
      <w:r>
        <w:t>Vocabulary policy</w:t>
      </w:r>
    </w:p>
    <w:p>
      <w:pPr>
        <w:spacing w:after="80" w:before="0" w:line="259" w:lineRule="auto"/>
      </w:pPr>
      <w:r>
        <w:rPr>
          <w:rFonts w:ascii="Carlito" w:hAnsi="Carlito"/>
        </w:rPr>
        <w:t>Terms such as TCO, MTTR, AI, consolidation, all-in-one and single pane of glass should not be treated as absolute prohibitions. They are high-risk when used as generic vendor language and should normally be translated into plain operating consequences. Use them only when the prospect has used the term, the trigger makes it specifically relevant or the term is more precise than plain language. [GO1]</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88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Avoid as generic opener</w:t>
            </w:r>
          </w:p>
        </w:tc>
        <w:tc>
          <w:tcPr>
            <w:tcW w:type="dxa" w:w="72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Prefer</w:t>
            </w:r>
          </w:p>
        </w:tc>
      </w:tr>
      <w:tr>
        <w:trPr>
          <w:cantSplit/>
        </w:trPr>
        <w:tc>
          <w:tcPr>
            <w:tcW w:type="dxa" w:w="28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Lower TCO</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Reduce the specialist effort and ongoing cost required to operate the current platform</w:t>
            </w:r>
          </w:p>
        </w:tc>
      </w:tr>
      <w:tr>
        <w:trPr>
          <w:cantSplit/>
        </w:trPr>
        <w:tc>
          <w:tcPr>
            <w:tcW w:type="dxa" w:w="28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Improve MTTR</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Reduce the time it takes teams to coordinate and recover from critical incidents</w:t>
            </w:r>
          </w:p>
        </w:tc>
      </w:tr>
      <w:tr>
        <w:trPr>
          <w:cantSplit/>
        </w:trPr>
        <w:tc>
          <w:tcPr>
            <w:tcW w:type="dxa" w:w="28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AI-powered service</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Handle more service work without adding equivalent manual effort</w:t>
            </w:r>
          </w:p>
        </w:tc>
      </w:tr>
      <w:tr>
        <w:trPr>
          <w:cantSplit/>
        </w:trPr>
        <w:tc>
          <w:tcPr>
            <w:tcW w:type="dxa" w:w="28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Tool consolidation</w:t>
            </w:r>
          </w:p>
        </w:tc>
        <w:tc>
          <w:tcPr>
            <w:tcW w:type="dxa" w:w="72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Reduce duplicate tools, hand-offs and administration</w:t>
            </w:r>
          </w:p>
        </w:tc>
      </w:tr>
      <w:tr>
        <w:trPr>
          <w:cantSplit/>
        </w:trPr>
        <w:tc>
          <w:tcPr>
            <w:tcW w:type="dxa" w:w="28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Single pane of glass</w:t>
            </w:r>
          </w:p>
        </w:tc>
        <w:tc>
          <w:tcPr>
            <w:tcW w:type="dxa" w:w="72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Give teams a consistent operational view without switching across disconnected systems</w:t>
            </w:r>
          </w:p>
        </w:tc>
      </w:tr>
    </w:tbl>
    <w:p>
      <w:pPr>
        <w:spacing w:after="0"/>
      </w:pPr>
    </w:p>
    <w:p>
      <w:pPr>
        <w:pStyle w:val="Heading2"/>
        <w:spacing w:before="140" w:after="100"/>
        <w:keepNext/>
      </w:pPr>
      <w:r>
        <w:t>Do not use</w:t>
      </w:r>
    </w:p>
    <w:p>
      <w:pPr>
        <w:pStyle w:val="ListBullet"/>
        <w:spacing w:after="40" w:line="247" w:lineRule="auto"/>
      </w:pPr>
      <w:r>
        <w:rPr>
          <w:rFonts w:ascii="Carlito" w:hAnsi="Carlito"/>
          <w:sz w:val="20"/>
        </w:rPr>
        <w:t>“Just checking in,” “bumping this,” or “following up on my previous email” without new value.</w:t>
      </w:r>
    </w:p>
    <w:p>
      <w:pPr>
        <w:pStyle w:val="ListBullet"/>
        <w:spacing w:after="40" w:line="247" w:lineRule="auto"/>
      </w:pPr>
      <w:r>
        <w:rPr>
          <w:rFonts w:ascii="Carlito" w:hAnsi="Carlito"/>
          <w:sz w:val="20"/>
        </w:rPr>
        <w:t>Immediate 30-minute meeting requests in the first cold email.</w:t>
      </w:r>
    </w:p>
    <w:p>
      <w:pPr>
        <w:pStyle w:val="ListBullet"/>
        <w:spacing w:after="40" w:line="247" w:lineRule="auto"/>
      </w:pPr>
      <w:r>
        <w:rPr>
          <w:rFonts w:ascii="Carlito" w:hAnsi="Carlito"/>
          <w:sz w:val="20"/>
        </w:rPr>
        <w:t>Product dumps, feature inventories or unsupported ROI claims.</w:t>
      </w:r>
    </w:p>
    <w:p>
      <w:pPr>
        <w:pStyle w:val="ListBullet"/>
        <w:spacing w:after="40" w:line="247" w:lineRule="auto"/>
      </w:pPr>
      <w:r>
        <w:rPr>
          <w:rFonts w:ascii="Carlito" w:hAnsi="Carlito"/>
          <w:sz w:val="20"/>
        </w:rPr>
        <w:t>Artificial urgency, guilt, passive aggression or manipulative break-up language.</w:t>
      </w:r>
    </w:p>
    <w:p>
      <w:pPr>
        <w:pStyle w:val="ListBullet"/>
        <w:spacing w:after="40" w:line="247" w:lineRule="auto"/>
      </w:pPr>
      <w:r>
        <w:rPr>
          <w:rFonts w:ascii="Carlito" w:hAnsi="Carlito"/>
          <w:sz w:val="20"/>
        </w:rPr>
        <w:t>Personalisation based on irrelevant hobbies, university, superficial praise or invented familiarity.</w:t>
      </w:r>
    </w:p>
    <w:p>
      <w:pPr>
        <w:pStyle w:val="ListBullet"/>
        <w:spacing w:after="40" w:line="247" w:lineRule="auto"/>
      </w:pPr>
      <w:r>
        <w:rPr>
          <w:rFonts w:ascii="Carlito" w:hAnsi="Carlito"/>
          <w:sz w:val="20"/>
        </w:rPr>
        <w:t>Claims that the prospect definitely has a problem when the evidence supports only a hypothesis.</w:t>
      </w:r>
    </w:p>
    <w:p>
      <w:pPr>
        <w:pStyle w:val="ListBullet"/>
        <w:spacing w:after="40" w:line="247" w:lineRule="auto"/>
      </w:pPr>
      <w:r>
        <w:rPr>
          <w:rFonts w:ascii="Carlito" w:hAnsi="Carlito"/>
          <w:sz w:val="20"/>
        </w:rPr>
        <w:t>Unverified statistics or customer outcomes that are not approved Freshworks proof points.</w:t>
      </w:r>
    </w:p>
    <w:p>
      <w:pPr>
        <w:pStyle w:val="Heading2"/>
        <w:spacing w:before="140" w:after="100"/>
        <w:keepNext/>
      </w:pPr>
      <w:r>
        <w:t>Reusable generic email structures</w:t>
      </w: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Email 1 - trigger-led hypothesis</w:t>
            </w:r>
          </w:p>
          <w:p>
            <w:pPr>
              <w:spacing w:after="0" w:line="259" w:lineRule="auto"/>
            </w:pPr>
            <w:r>
              <w:rPr>
                <w:rFonts w:ascii="Carlito" w:hAnsi="Carlito"/>
                <w:color w:val="1E2A35"/>
                <w:sz w:val="20"/>
              </w:rPr>
              <w:t>Subject: [priority]</w:t>
              <w:br/>
              <w:br/>
              <w:t>Hi [Name] - I noticed [specific trigger or operating change]. In organisations going through something similar, [shared organisational issue] often becomes difficult because [diagnostic distinction]. I may be wrong, but is that relevant to how [Company] is approaching it? If useful, I can send the short evaluation questions we use to assess whether it is worth examining.</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Email 2 - new diagnostic angle</w:t>
            </w:r>
          </w:p>
          <w:p>
            <w:pPr>
              <w:spacing w:after="0" w:line="259" w:lineRule="auto"/>
            </w:pPr>
            <w:r>
              <w:rPr>
                <w:rFonts w:ascii="Carlito" w:hAnsi="Carlito"/>
                <w:color w:val="1E2A35"/>
                <w:sz w:val="20"/>
              </w:rPr>
              <w:t>One reason I raised this is that [visible issue] is not always the main constraint. The harder problem is often [root cause or operating-model issue], particularly when [context]. Is that distinction relevant, or is the current approach working well?</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Email 3 - decision support</w:t>
            </w:r>
          </w:p>
          <w:p>
            <w:pPr>
              <w:spacing w:after="0" w:line="259" w:lineRule="auto"/>
            </w:pPr>
            <w:r>
              <w:rPr>
                <w:rFonts w:ascii="Carlito" w:hAnsi="Carlito"/>
                <w:color w:val="1E2A35"/>
                <w:sz w:val="20"/>
              </w:rPr>
              <w:t>When teams evaluate this area, the useful questions tend to be [three concise criteria]. I can share the one-page version if it would help, even if there is no formal project underway.</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Close-loop email</w:t>
            </w:r>
          </w:p>
          <w:p>
            <w:pPr>
              <w:spacing w:after="0" w:line="259" w:lineRule="auto"/>
            </w:pPr>
            <w:r>
              <w:rPr>
                <w:rFonts w:ascii="Carlito" w:hAnsi="Carlito"/>
                <w:color w:val="1E2A35"/>
                <w:sz w:val="20"/>
              </w:rPr>
              <w:t>I have not been able to determine whether [account hypothesis] is relevant for [Company], so I will close the loop for now. My assumption is either the current approach is working, the timing is wrong or someone else owns it. A quick correction would help me handle it appropriately; otherwise I will step back and only reconnect if something material changes.</w:t>
            </w:r>
          </w:p>
        </w:tc>
      </w:tr>
    </w:tbl>
    <w:p>
      <w:pPr>
        <w:spacing w:after="0"/>
      </w:pPr>
    </w:p>
    <w:p>
      <w:pPr>
        <w:pStyle w:val="Heading1"/>
        <w:spacing w:before="200" w:after="100"/>
        <w:keepNext/>
      </w:pPr>
      <w:r>
        <w:t>9. Channel playbooks: email, phone and LinkedIn</w:t>
      </w:r>
    </w:p>
    <w:p>
      <w:pPr>
        <w:pStyle w:val="Heading2"/>
        <w:spacing w:before="140" w:after="100"/>
        <w:keepNext/>
      </w:pPr>
      <w:r>
        <w:t>Cold-call objective</w:t>
      </w:r>
    </w:p>
    <w:p>
      <w:pPr>
        <w:spacing w:after="80" w:before="0" w:line="259" w:lineRule="auto"/>
      </w:pPr>
      <w:r>
        <w:rPr>
          <w:rFonts w:ascii="Carlito" w:hAnsi="Carlito"/>
        </w:rPr>
        <w:t>The first call is not a compressed discovery meeting or product presentation. Its purpose is to test whether the account hypothesis is relevant, identify ownership and earn a more useful conversation.</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Recommended opener</w:t>
            </w:r>
          </w:p>
          <w:p>
            <w:pPr>
              <w:spacing w:after="0" w:line="259" w:lineRule="auto"/>
            </w:pPr>
            <w:r>
              <w:rPr>
                <w:rFonts w:ascii="Carlito" w:hAnsi="Carlito"/>
                <w:color w:val="1E2A35"/>
                <w:sz w:val="20"/>
              </w:rPr>
              <w:t>Hi [Name], Moe from Freshworks. This is a cold call. I noticed [trigger], and I had a hypothesis about [shared organisational issue]. Can I take 30 seconds to explain why I thought it might be relevant?</w:t>
            </w:r>
          </w:p>
        </w:tc>
      </w:tr>
    </w:tbl>
    <w:p>
      <w:pPr>
        <w:spacing w:after="0"/>
      </w:pPr>
    </w:p>
    <w:p>
      <w:pPr>
        <w:spacing w:after="80" w:before="0" w:line="259" w:lineRule="auto"/>
      </w:pPr>
      <w:r>
        <w:rPr>
          <w:rFonts w:ascii="Carlito" w:hAnsi="Carlito"/>
          <w:b/>
        </w:rPr>
        <w:t>If permission is given:</w:t>
      </w:r>
      <w:r>
        <w:rPr>
          <w:rFonts w:ascii="Carlito" w:hAnsi="Carlito"/>
        </w:rPr>
      </w: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30-second reason</w:t>
            </w:r>
          </w:p>
          <w:p>
            <w:pPr>
              <w:spacing w:after="0" w:line="259" w:lineRule="auto"/>
            </w:pPr>
            <w:r>
              <w:rPr>
                <w:rFonts w:ascii="Carlito" w:hAnsi="Carlito"/>
                <w:color w:val="1E2A35"/>
                <w:sz w:val="20"/>
              </w:rPr>
              <w:t>We are seeing [peer group] review [operating area] when [trigger/context] exposes [root cause]. I do not know whether that applies at [Company], so I wanted to understand whether [diagnostic question] sits with you, someone else, or is not currently a priority.</w:t>
            </w:r>
          </w:p>
        </w:tc>
      </w:tr>
    </w:tbl>
    <w:p>
      <w:pPr>
        <w:spacing w:after="0"/>
      </w:pPr>
    </w:p>
    <w:p>
      <w:pPr>
        <w:pStyle w:val="Heading2"/>
        <w:spacing w:before="140" w:after="100"/>
        <w:keepNext/>
      </w:pPr>
      <w:r>
        <w:t>Call rules</w:t>
      </w:r>
    </w:p>
    <w:p>
      <w:pPr>
        <w:pStyle w:val="ListBullet"/>
        <w:spacing w:after="40" w:line="247" w:lineRule="auto"/>
      </w:pPr>
      <w:r>
        <w:rPr>
          <w:rFonts w:ascii="Carlito" w:hAnsi="Carlito"/>
          <w:sz w:val="20"/>
        </w:rPr>
        <w:t>State the reason for the call early. Gong reports that stating the reason can materially improve call success. [GO5]</w:t>
      </w:r>
    </w:p>
    <w:p>
      <w:pPr>
        <w:pStyle w:val="ListBullet"/>
        <w:spacing w:after="40" w:line="247" w:lineRule="auto"/>
      </w:pPr>
      <w:r>
        <w:rPr>
          <w:rFonts w:ascii="Carlito" w:hAnsi="Carlito"/>
          <w:sz w:val="20"/>
        </w:rPr>
        <w:t>Do not open with “Did I catch you at a bad time?” Gong reports lower meeting success with that opener. [GO5]</w:t>
      </w:r>
    </w:p>
    <w:p>
      <w:pPr>
        <w:pStyle w:val="ListBullet"/>
        <w:spacing w:after="40" w:line="247" w:lineRule="auto"/>
      </w:pPr>
      <w:r>
        <w:rPr>
          <w:rFonts w:ascii="Carlito" w:hAnsi="Carlito"/>
          <w:sz w:val="20"/>
        </w:rPr>
        <w:t>Do not use “How have you been?” with strangers despite historical Gong performance data; it can imply false familiarity and does not fit the desired consultative Nordic approach.</w:t>
      </w:r>
    </w:p>
    <w:p>
      <w:pPr>
        <w:pStyle w:val="ListBullet"/>
        <w:spacing w:after="40" w:line="247" w:lineRule="auto"/>
      </w:pPr>
      <w:r>
        <w:rPr>
          <w:rFonts w:ascii="Carlito" w:hAnsi="Carlito"/>
          <w:sz w:val="20"/>
        </w:rPr>
        <w:t>Ask one diagnostic question at a time. Listen for correction, ownership, change, urgency and existing initiatives.</w:t>
      </w:r>
    </w:p>
    <w:p>
      <w:pPr>
        <w:pStyle w:val="ListBullet"/>
        <w:spacing w:after="40" w:line="247" w:lineRule="auto"/>
      </w:pPr>
      <w:r>
        <w:rPr>
          <w:rFonts w:ascii="Carlito" w:hAnsi="Carlito"/>
          <w:sz w:val="20"/>
        </w:rPr>
        <w:t>Do not reference the effort you made to call or leave voicemail; focus on why the issue may matter to them.</w:t>
      </w:r>
    </w:p>
    <w:p>
      <w:pPr>
        <w:pStyle w:val="ListBullet"/>
        <w:spacing w:after="40" w:line="247" w:lineRule="auto"/>
      </w:pPr>
      <w:r>
        <w:rPr>
          <w:rFonts w:ascii="Carlito" w:hAnsi="Carlito"/>
          <w:sz w:val="20"/>
        </w:rPr>
        <w:t>End with an agreed next step, referral, permission to send something useful or a clean disqualification.</w:t>
      </w:r>
    </w:p>
    <w:p>
      <w:pPr>
        <w:pStyle w:val="Heading2"/>
        <w:spacing w:before="140" w:after="100"/>
        <w:keepNext/>
      </w:pPr>
      <w:r>
        <w:t>Voicemail</w:t>
      </w: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Voicemail structure (15-25 seconds)</w:t>
            </w:r>
          </w:p>
          <w:p>
            <w:pPr>
              <w:spacing w:after="0" w:line="259" w:lineRule="auto"/>
            </w:pPr>
            <w:r>
              <w:rPr>
                <w:rFonts w:ascii="Carlito" w:hAnsi="Carlito"/>
                <w:color w:val="1E2A35"/>
                <w:sz w:val="20"/>
              </w:rPr>
              <w:t>Hi [Name], Moe from Freshworks. I am reaching out because of [specific trigger] and a question about [organisational issue]. I have sent a short email with the context. No need to call back; the email is the easiest place to tell me whether it is relevant or sits elsewhere.</w:t>
            </w:r>
          </w:p>
        </w:tc>
      </w:tr>
    </w:tbl>
    <w:p>
      <w:pPr>
        <w:spacing w:after="0"/>
      </w:pPr>
    </w:p>
    <w:p>
      <w:pPr>
        <w:pStyle w:val="Heading2"/>
        <w:spacing w:before="140" w:after="100"/>
        <w:keepNext/>
      </w:pPr>
      <w:r>
        <w:t>LinkedIn</w:t>
      </w:r>
    </w:p>
    <w:p>
      <w:pPr>
        <w:spacing w:after="80" w:before="0" w:line="259" w:lineRule="auto"/>
      </w:pPr>
      <w:r>
        <w:rPr>
          <w:rFonts w:ascii="Carlito" w:hAnsi="Carlito"/>
        </w:rPr>
        <w:t>LinkedIn is a credibility, context and access channel. Published reply-rate benchmarks are inconsistent and should not be used as planning constants. Measure local acceptance, reply and influenced-meeting rates instead.</w:t>
      </w:r>
    </w:p>
    <w:p>
      <w:pPr>
        <w:pStyle w:val="ListBullet"/>
        <w:spacing w:after="40" w:line="247" w:lineRule="auto"/>
      </w:pPr>
      <w:r>
        <w:rPr>
          <w:rFonts w:ascii="Carlito" w:hAnsi="Carlito"/>
          <w:sz w:val="20"/>
        </w:rPr>
        <w:t>Maintain a profile that clearly explains the problems and Nordic customer contexts you work with, rather than reading like a product brochure.</w:t>
      </w:r>
    </w:p>
    <w:p>
      <w:pPr>
        <w:pStyle w:val="ListBullet"/>
        <w:spacing w:after="40" w:line="247" w:lineRule="auto"/>
      </w:pPr>
      <w:r>
        <w:rPr>
          <w:rFonts w:ascii="Carlito" w:hAnsi="Carlito"/>
          <w:sz w:val="20"/>
        </w:rPr>
        <w:t>Use public posts, job changes, engineering content, mutual connections and company activity as research evidence.</w:t>
      </w:r>
    </w:p>
    <w:p>
      <w:pPr>
        <w:pStyle w:val="ListBullet"/>
        <w:spacing w:after="40" w:line="247" w:lineRule="auto"/>
      </w:pPr>
      <w:r>
        <w:rPr>
          <w:rFonts w:ascii="Carlito" w:hAnsi="Carlito"/>
          <w:sz w:val="20"/>
        </w:rPr>
        <w:t>Keep connection requests concise. Do not include a product pitch, calendar link or long meeting ask.</w:t>
      </w:r>
    </w:p>
    <w:p>
      <w:pPr>
        <w:pStyle w:val="ListBullet"/>
        <w:spacing w:after="40" w:line="247" w:lineRule="auto"/>
      </w:pPr>
      <w:r>
        <w:rPr>
          <w:rFonts w:ascii="Carlito" w:hAnsi="Carlito"/>
          <w:sz w:val="20"/>
        </w:rPr>
        <w:t>Use public engagement only when you can add a relevant observation. Avoid liking multiple old posts or manufacturing familiarity.</w:t>
      </w:r>
    </w:p>
    <w:p>
      <w:pPr>
        <w:pStyle w:val="ListBullet"/>
        <w:spacing w:after="40" w:line="247" w:lineRule="auto"/>
      </w:pPr>
      <w:r>
        <w:rPr>
          <w:rFonts w:ascii="Carlito" w:hAnsi="Carlito"/>
          <w:sz w:val="20"/>
        </w:rPr>
        <w:t>LinkedIn research found 42% of buyers checked a seller’s profile, 32% reviewed posted content and 31% looked for mutual connections. [L1]</w:t>
      </w: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Connection note</w:t>
            </w:r>
          </w:p>
          <w:p>
            <w:pPr>
              <w:spacing w:after="0" w:line="259" w:lineRule="auto"/>
            </w:pPr>
            <w:r>
              <w:rPr>
                <w:rFonts w:ascii="Carlito" w:hAnsi="Carlito"/>
                <w:color w:val="1E2A35"/>
                <w:sz w:val="20"/>
              </w:rPr>
              <w:t>Hi [Name] - I work with IT and engineering leaders across the Nordics on [relevant operating area]. I noticed [specific initiative/context] at [Company] and thought it would be useful to connect.</w:t>
            </w:r>
          </w:p>
        </w:tc>
      </w:tr>
    </w:tbl>
    <w:p>
      <w:pPr>
        <w:spacing w:after="0"/>
      </w:pPr>
    </w:p>
    <w:p>
      <w:pPr>
        <w:pStyle w:val="Heading1"/>
        <w:spacing w:before="200" w:after="100"/>
        <w:keepNext/>
      </w:pPr>
      <w:r>
        <w:t>10. Product playbooks</w:t>
      </w:r>
    </w:p>
    <w:p>
      <w:pPr>
        <w:spacing w:after="80" w:before="0" w:line="259" w:lineRule="auto"/>
      </w:pPr>
      <w:r>
        <w:rPr>
          <w:rFonts w:ascii="Carlito" w:hAnsi="Carlito"/>
        </w:rPr>
        <w:t>All product claims and customer outcomes must be checked against current Freshworks-approved messaging before use. The narratives below are prospecting hypotheses, not product datasheets.</w:t>
      </w:r>
    </w:p>
    <w:p>
      <w:pPr>
        <w:pStyle w:val="Heading2"/>
        <w:spacing w:before="140" w:after="100"/>
        <w:keepNext/>
      </w:pPr>
      <w:r>
        <w:t>10.1 Freshservice</w:t>
      </w:r>
    </w:p>
    <w:p>
      <w:pPr>
        <w:pStyle w:val="Heading3"/>
        <w:spacing w:before="140" w:after="100"/>
        <w:keepNext/>
      </w:pPr>
      <w:r>
        <w:t>Shared organisational narrative</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Freshservice narrative spine</w:t>
            </w:r>
          </w:p>
          <w:p>
            <w:pPr>
              <w:spacing w:after="0" w:line="259" w:lineRule="auto"/>
            </w:pPr>
            <w:r>
              <w:rPr>
                <w:rFonts w:ascii="Carlito" w:hAnsi="Carlito"/>
                <w:color w:val="1E2A35"/>
                <w:sz w:val="20"/>
              </w:rPr>
              <w:t>As service operations expand, the constraint may not be the service desk alone. Specialist administration, fragmented workflows, incomplete asset context and difficult change can absorb IT capacity and limit the organisation’s ability to improve employee service. The evaluation question is whether the current operating model is proportionate to the value it delivers.</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58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Strength</w:t>
            </w:r>
          </w:p>
        </w:tc>
        <w:tc>
          <w:tcPr>
            <w:tcW w:type="dxa" w:w="849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Freshservice triggers</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High</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ITSM renewal/review, active incumbent dissatisfaction, service-desk consolidation, shared-services transformation, enterprise service management expansion, new CIO/IT leader, AI-service initiative with clear operating objective</w:t>
            </w:r>
          </w:p>
        </w:tc>
      </w:tr>
      <w:tr>
        <w:trPr>
          <w:cantSplit/>
        </w:trPr>
        <w:tc>
          <w:tcPr>
            <w:tcW w:type="dxa" w:w="158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Medium</w:t>
            </w:r>
          </w:p>
        </w:tc>
        <w:tc>
          <w:tcPr>
            <w:tcW w:type="dxa" w:w="849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M&amp;A integration, employee-experience programme, major geographic expansion, service-management hiring, public efficiency programme</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Weak alone</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Generic digital transformation, one website visit, broad AI mention, company growth without an IT-service implication</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Stakeholder</w:t>
            </w:r>
          </w:p>
        </w:tc>
        <w:tc>
          <w:tcPr>
            <w:tcW w:type="dxa" w:w="77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Role-relevant evidence/question</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CIO / IT Director</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Capacity, simplification, cost-to-operate and whether the service operating model supports strategic change.</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Head of ITSM / Service Management</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Administration, workflow change, service quality, adoption and expansion beyond IT.</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IT Operations / Infrastructure</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Asset context, operational visibility, integrations and support for change decisions.</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Service Desk leader</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Agent work, request volume, automation, employee experience and knowledge.</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Procurement</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Commercial model, implementation risk, ongoing specialist dependency and total operating burden.</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Freshservice first-email example</w:t>
            </w:r>
          </w:p>
          <w:p>
            <w:pPr>
              <w:spacing w:after="0" w:line="259" w:lineRule="auto"/>
            </w:pPr>
            <w:r>
              <w:rPr>
                <w:rFonts w:ascii="Carlito" w:hAnsi="Carlito"/>
                <w:color w:val="1E2A35"/>
                <w:sz w:val="20"/>
              </w:rPr>
              <w:t>Subject: service operations</w:t>
              <w:br/>
              <w:br/>
              <w:t>Hi [Name] - I noticed [Company] is [trigger]. In similar environments, the service desk is not always the real constraint; it is often the administration, integrations and asset-data work needed to keep the wider operating model functioning. I may be wrong, but is that relevant to how you are assessing the current setup? I can send the short evaluation questions we use if useful.</w:t>
            </w:r>
          </w:p>
        </w:tc>
      </w:tr>
    </w:tbl>
    <w:p>
      <w:pPr>
        <w:spacing w:after="0"/>
      </w:pPr>
    </w:p>
    <w:p>
      <w:pPr>
        <w:pStyle w:val="Heading2"/>
        <w:spacing w:before="140" w:after="100"/>
        <w:keepNext/>
      </w:pPr>
      <w:r>
        <w:t>10.2 Device42</w:t>
      </w:r>
    </w:p>
    <w:p>
      <w:pPr>
        <w:pStyle w:val="Heading3"/>
        <w:spacing w:before="140" w:after="100"/>
        <w:keepNext/>
      </w:pPr>
      <w:r>
        <w:t>Shared organisational narrative</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Device42 narrative spine</w:t>
            </w:r>
          </w:p>
          <w:p>
            <w:pPr>
              <w:spacing w:after="0" w:line="259" w:lineRule="auto"/>
            </w:pPr>
            <w:r>
              <w:rPr>
                <w:rFonts w:ascii="Carlito" w:hAnsi="Carlito"/>
                <w:color w:val="1E2A35"/>
                <w:sz w:val="20"/>
              </w:rPr>
              <w:t>Cloud migration, data-centre change and application modernisation depend on accurate knowledge of live infrastructure and application dependencies. Static records and manual knowledge can create planning risk, slower change and incomplete impact analysis. The evaluation question is whether the organisation has enough reliable, current discovery and dependency evidence to execute change confidently.</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58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Strength</w:t>
            </w:r>
          </w:p>
        </w:tc>
        <w:tc>
          <w:tcPr>
            <w:tcW w:type="dxa" w:w="849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Device42 triggers</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High</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Cloud migration, data-centre closure/consolidation, application modernisation, CMDB remediation, M&amp;A integration, infrastructure discovery initiative, resilience/audit programme</w:t>
            </w:r>
          </w:p>
        </w:tc>
      </w:tr>
      <w:tr>
        <w:trPr>
          <w:cantSplit/>
        </w:trPr>
        <w:tc>
          <w:tcPr>
            <w:tcW w:type="dxa" w:w="158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Medium</w:t>
            </w:r>
          </w:p>
        </w:tc>
        <w:tc>
          <w:tcPr>
            <w:tcW w:type="dxa" w:w="849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Hybrid-cloud complexity, enterprise architecture hiring, asset-management review, cost optimisation tied to infrastructure visibility</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Weak alone</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Generic cloud strategy, broad IT modernisation, isolated infrastructure job posting without a programme signal</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Stakeholder</w:t>
            </w:r>
          </w:p>
        </w:tc>
        <w:tc>
          <w:tcPr>
            <w:tcW w:type="dxa" w:w="77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Role-relevant evidence/question</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CIO / CTO</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Transformation risk, programme confidence, governance and resource dependency on manual knowledge.</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Infrastructure / Cloud leader</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Discovery coverage, migration planning, environment visibility and operational change.</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Enterprise Architect / CMDB owner</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Data completeness, dependency accuracy, source-of-truth design and integration.</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Migration programme lead</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Move groups, sequencing, impact analysis and planning confidence.</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Security / Resilience</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Unknown assets, service dependencies, audit evidence and recovery planning.</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Device42 first-email example</w:t>
            </w:r>
          </w:p>
          <w:p>
            <w:pPr>
              <w:spacing w:after="0" w:line="259" w:lineRule="auto"/>
            </w:pPr>
            <w:r>
              <w:rPr>
                <w:rFonts w:ascii="Carlito" w:hAnsi="Carlito"/>
                <w:color w:val="1E2A35"/>
                <w:sz w:val="20"/>
              </w:rPr>
              <w:t>Subject: migration dependencies</w:t>
              <w:br/>
              <w:br/>
              <w:t>Hi [Name] - I saw that [Company] is progressing with [migration/modernisation trigger]. A recurring risk in these programmes is that CMDB records and application dependencies do not fully reflect the live environment, leaving move groups and impact analysis dependent on manual knowledge. Is that something your team has already solved, or is discovery still part of the programme? I can send a concise pre-migration checklist if useful.</w:t>
            </w:r>
          </w:p>
        </w:tc>
      </w:tr>
    </w:tbl>
    <w:p>
      <w:pPr>
        <w:spacing w:after="0"/>
      </w:pPr>
    </w:p>
    <w:p>
      <w:pPr>
        <w:pStyle w:val="Heading2"/>
        <w:spacing w:before="140" w:after="100"/>
        <w:keepNext/>
      </w:pPr>
      <w:r>
        <w:t>10.3 FireHydrant</w:t>
      </w:r>
    </w:p>
    <w:p>
      <w:pPr>
        <w:pStyle w:val="Heading3"/>
        <w:spacing w:before="140" w:after="100"/>
        <w:keepNext/>
      </w:pPr>
      <w:r>
        <w:t>Shared organisational narrative</w:t>
      </w: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FireHydrant narrative spine</w:t>
            </w:r>
          </w:p>
          <w:p>
            <w:pPr>
              <w:spacing w:after="0" w:line="259" w:lineRule="auto"/>
            </w:pPr>
            <w:r>
              <w:rPr>
                <w:rFonts w:ascii="Carlito" w:hAnsi="Carlito"/>
                <w:color w:val="1E2A35"/>
                <w:sz w:val="20"/>
              </w:rPr>
              <w:t>Engineering organisations may have alerting and communication tools but still run critical incidents through fragmented ownership, manual coordination, inconsistent runbooks and disconnected learning. The evaluation question is whether incident operations are repeatable and scalable enough to reduce coordination load and improve recovery as the engineering organisation grows.</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58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Strength</w:t>
            </w:r>
          </w:p>
        </w:tc>
        <w:tc>
          <w:tcPr>
            <w:tcW w:type="dxa" w:w="849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FireHydrant triggers</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High</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Public outage, new CTO/VP Engineering/Head of SRE, SRE/platform expansion, incident-management programme, repeated status-page events, on-call redesign, reliability initiative</w:t>
            </w:r>
          </w:p>
        </w:tc>
      </w:tr>
      <w:tr>
        <w:trPr>
          <w:cantSplit/>
        </w:trPr>
        <w:tc>
          <w:tcPr>
            <w:tcW w:type="dxa" w:w="158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Medium</w:t>
            </w:r>
          </w:p>
        </w:tc>
        <w:tc>
          <w:tcPr>
            <w:tcW w:type="dxa" w:w="849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Engineering scaling, new platform teams, multi-region growth, postmortem or service-ownership hiring, operational-resilience programme</w:t>
            </w:r>
          </w:p>
        </w:tc>
      </w:tr>
      <w:tr>
        <w:trPr>
          <w:cantSplit/>
        </w:trPr>
        <w:tc>
          <w:tcPr>
            <w:tcW w:type="dxa" w:w="158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Weak alone</w:t>
            </w:r>
          </w:p>
        </w:tc>
        <w:tc>
          <w:tcPr>
            <w:tcW w:type="dxa" w:w="849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Generic DevOps language, one SRE job posting, broad cloud-native claim without evidence of incident-operating change</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Stakeholder</w:t>
            </w:r>
          </w:p>
        </w:tc>
        <w:tc>
          <w:tcPr>
            <w:tcW w:type="dxa" w:w="77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Role-relevant evidence/question</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CTO / VP Engineering</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Reliability risk, engineering focus, customer impact and whether incident operations scale with the organisation.</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Head of SRE / Platform</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On-call design, coordination, service ownership, runbooks and operational consistency.</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Incident manager / Engineering Ops</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Workflow reality, communication, retrospectives, action tracking and repeated manual work.</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Engineering leader</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Team interruption, accountability, stakeholder communication and learning across services.</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Customer Support / Communications</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Status updates, customer coordination and consistency during critical events.</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F3F5F7"/>
            <w:tcMar>
              <w:top w:w="130" w:type="dxa"/>
              <w:start w:w="150" w:type="dxa"/>
              <w:bottom w:w="130" w:type="dxa"/>
              <w:end w:w="150" w:type="dxa"/>
            </w:tcMar>
            <w:tcBorders>
              <w:top w:val="single" w:sz="8" w:space="0" w:color="17324D"/>
              <w:left w:val="single" w:sz="8" w:space="0" w:color="17324D"/>
              <w:bottom w:val="single" w:sz="8" w:space="0" w:color="17324D"/>
              <w:right w:val="single" w:sz="8" w:space="0" w:color="17324D"/>
            </w:tcBorders>
          </w:tcPr>
          <w:p>
            <w:pPr>
              <w:spacing w:after="80"/>
            </w:pPr>
            <w:r>
              <w:rPr>
                <w:rFonts w:ascii="Carlito" w:hAnsi="Carlito"/>
                <w:b/>
                <w:color w:val="17324D"/>
                <w:sz w:val="22"/>
              </w:rPr>
              <w:t>FireHydrant first-email example</w:t>
            </w:r>
          </w:p>
          <w:p>
            <w:pPr>
              <w:spacing w:after="0" w:line="259" w:lineRule="auto"/>
            </w:pPr>
            <w:r>
              <w:rPr>
                <w:rFonts w:ascii="Carlito" w:hAnsi="Carlito"/>
                <w:color w:val="1E2A35"/>
                <w:sz w:val="20"/>
              </w:rPr>
              <w:t>Subject: incident readiness</w:t>
              <w:br/>
              <w:br/>
              <w:t>Hi [Name] - I noticed [Company] is [reliability/SRE trigger]. Many engineering teams already have alerting and chat, but ownership, runbooks, stakeholder updates and learning remain fragmented during critical incidents. I may be wrong, but is standardising the incident operating model part of the work? I can send the short readiness questions we use with engineering leaders if useful.</w:t>
            </w:r>
          </w:p>
        </w:tc>
      </w:tr>
    </w:tbl>
    <w:p>
      <w:pPr>
        <w:spacing w:after="0"/>
      </w:pPr>
    </w:p>
    <w:p>
      <w:pPr>
        <w:pStyle w:val="Heading1"/>
        <w:spacing w:before="200" w:after="100"/>
        <w:keepNext/>
      </w:pPr>
      <w:r>
        <w:t>11. Governance, compliance and stop conditions</w:t>
      </w:r>
    </w:p>
    <w:tbl>
      <w:tblPr>
        <w:tblW w:type="auto" w:w="0"/>
        <w:jc w:val="center"/>
        <w:tblLayout w:type="autofit"/>
        <w:tblLook w:firstColumn="1" w:firstRow="1" w:lastColumn="0" w:lastRow="0" w:noHBand="0" w:noVBand="1" w:val="04A0"/>
      </w:tblPr>
      <w:tblGrid>
        <w:gridCol w:w="9835"/>
      </w:tblGrid>
      <w:tr>
        <w:trPr>
          <w:cantSplit/>
        </w:trPr>
        <w:tc>
          <w:tcPr>
            <w:tcW w:type="dxa" w:w="9835"/>
            <w:shd w:fill="FCEBE8"/>
            <w:tcMar>
              <w:top w:w="130" w:type="dxa"/>
              <w:start w:w="150" w:type="dxa"/>
              <w:bottom w:w="130" w:type="dxa"/>
              <w:end w:w="150" w:type="dxa"/>
            </w:tcMar>
            <w:tcBorders>
              <w:top w:val="single" w:sz="8" w:space="0" w:color="B5473A"/>
              <w:left w:val="single" w:sz="8" w:space="0" w:color="B5473A"/>
              <w:bottom w:val="single" w:sz="8" w:space="0" w:color="B5473A"/>
              <w:right w:val="single" w:sz="8" w:space="0" w:color="B5473A"/>
            </w:tcBorders>
          </w:tcPr>
          <w:p>
            <w:pPr>
              <w:spacing w:after="80"/>
            </w:pPr>
            <w:r>
              <w:rPr>
                <w:rFonts w:ascii="Carlito" w:hAnsi="Carlito"/>
                <w:b/>
                <w:color w:val="B5473A"/>
                <w:sz w:val="22"/>
              </w:rPr>
              <w:t>Mandatory approval rule</w:t>
            </w:r>
          </w:p>
          <w:p>
            <w:pPr>
              <w:spacing w:after="0" w:line="259" w:lineRule="auto"/>
            </w:pPr>
            <w:r>
              <w:rPr>
                <w:rFonts w:ascii="Carlito" w:hAnsi="Carlito"/>
                <w:color w:val="1E2A35"/>
                <w:sz w:val="20"/>
              </w:rPr>
              <w:t>Moe approves every account, contact, message, LinkedIn action and call talk track before external use. No system may autonomously send, connect, message, call or alter CRM ownership in Version 1.</w:t>
            </w:r>
          </w:p>
        </w:tc>
      </w:tr>
    </w:tbl>
    <w:p>
      <w:pPr>
        <w:spacing w:after="0"/>
      </w:pPr>
    </w:p>
    <w:p>
      <w:pPr>
        <w:pStyle w:val="Heading2"/>
        <w:spacing w:before="140" w:after="100"/>
        <w:keepNext/>
      </w:pPr>
      <w:r>
        <w:t>Pre-send checklist</w:t>
      </w:r>
    </w:p>
    <w:p>
      <w:pPr>
        <w:pStyle w:val="ListBullet"/>
        <w:spacing w:after="40" w:line="247" w:lineRule="auto"/>
      </w:pPr>
      <w:r>
        <w:rPr>
          <w:rFonts w:ascii="Carlito" w:hAnsi="Carlito"/>
          <w:sz w:val="20"/>
        </w:rPr>
        <w:t>The account is inside the active outbound territory and not Dutch inbound-only.</w:t>
      </w:r>
    </w:p>
    <w:p>
      <w:pPr>
        <w:pStyle w:val="ListBullet"/>
        <w:spacing w:after="40" w:line="247" w:lineRule="auto"/>
      </w:pPr>
      <w:r>
        <w:rPr>
          <w:rFonts w:ascii="Carlito" w:hAnsi="Carlito"/>
          <w:sz w:val="20"/>
        </w:rPr>
        <w:t>CRM ownership, opportunity history and suppression status have been checked.</w:t>
      </w:r>
    </w:p>
    <w:p>
      <w:pPr>
        <w:pStyle w:val="ListBullet"/>
        <w:spacing w:after="40" w:line="247" w:lineRule="auto"/>
      </w:pPr>
      <w:r>
        <w:rPr>
          <w:rFonts w:ascii="Carlito" w:hAnsi="Carlito"/>
          <w:sz w:val="20"/>
        </w:rPr>
        <w:t>The trigger or hypothesis is current, specific and supported by a cited source.</w:t>
      </w:r>
    </w:p>
    <w:p>
      <w:pPr>
        <w:pStyle w:val="ListBullet"/>
        <w:spacing w:after="40" w:line="247" w:lineRule="auto"/>
      </w:pPr>
      <w:r>
        <w:rPr>
          <w:rFonts w:ascii="Carlito" w:hAnsi="Carlito"/>
          <w:sz w:val="20"/>
        </w:rPr>
        <w:t>The selected product play matches the organisational issue.</w:t>
      </w:r>
    </w:p>
    <w:p>
      <w:pPr>
        <w:pStyle w:val="ListBullet"/>
        <w:spacing w:after="40" w:line="247" w:lineRule="auto"/>
      </w:pPr>
      <w:r>
        <w:rPr>
          <w:rFonts w:ascii="Carlito" w:hAnsi="Carlito"/>
          <w:sz w:val="20"/>
        </w:rPr>
        <w:t>The contact’s role is relevant and current; email/phone confidence is recorded.</w:t>
      </w:r>
    </w:p>
    <w:p>
      <w:pPr>
        <w:pStyle w:val="ListBullet"/>
        <w:spacing w:after="40" w:line="247" w:lineRule="auto"/>
      </w:pPr>
      <w:r>
        <w:rPr>
          <w:rFonts w:ascii="Carlito" w:hAnsi="Carlito"/>
          <w:sz w:val="20"/>
        </w:rPr>
        <w:t>The message uses the shared account narrative and does not conflict with messages to other stakeholders.</w:t>
      </w:r>
    </w:p>
    <w:p>
      <w:pPr>
        <w:pStyle w:val="ListBullet"/>
        <w:spacing w:after="40" w:line="247" w:lineRule="auto"/>
      </w:pPr>
      <w:r>
        <w:rPr>
          <w:rFonts w:ascii="Carlito" w:hAnsi="Carlito"/>
          <w:sz w:val="20"/>
        </w:rPr>
        <w:t>All claims and proof points are approved and verifiable.</w:t>
      </w:r>
    </w:p>
    <w:p>
      <w:pPr>
        <w:pStyle w:val="ListBullet"/>
        <w:spacing w:after="40" w:line="247" w:lineRule="auto"/>
      </w:pPr>
      <w:r>
        <w:rPr>
          <w:rFonts w:ascii="Carlito" w:hAnsi="Carlito"/>
          <w:sz w:val="20"/>
        </w:rPr>
        <w:t>The CTA is proportionate to the relationship stage.</w:t>
      </w:r>
    </w:p>
    <w:p>
      <w:pPr>
        <w:pStyle w:val="ListBullet"/>
        <w:spacing w:after="40" w:line="247" w:lineRule="auto"/>
      </w:pPr>
      <w:r>
        <w:rPr>
          <w:rFonts w:ascii="Carlito" w:hAnsi="Carlito"/>
          <w:sz w:val="20"/>
        </w:rPr>
        <w:t>Language and local-number configuration are correct.</w:t>
      </w:r>
    </w:p>
    <w:p>
      <w:pPr>
        <w:pStyle w:val="ListBullet"/>
        <w:spacing w:after="40" w:line="247" w:lineRule="auto"/>
      </w:pPr>
      <w:r>
        <w:rPr>
          <w:rFonts w:ascii="Carlito" w:hAnsi="Carlito"/>
          <w:sz w:val="20"/>
        </w:rPr>
        <w:t>The message includes the appropriate company identity, privacy information and opt-out mechanism required by Freshworks policy.</w:t>
      </w:r>
    </w:p>
    <w:p>
      <w:pPr>
        <w:pStyle w:val="Heading2"/>
        <w:spacing w:before="140" w:after="100"/>
        <w:keepNext/>
      </w:pPr>
      <w:r>
        <w:t>Automatic pause/exit conditions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52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Condition</w:t>
            </w:r>
          </w:p>
        </w:tc>
        <w:tc>
          <w:tcPr>
            <w:tcW w:type="dxa" w:w="756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System action</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Reply</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Pause all scheduled outreach to that contact; assess whether other account contacts should also pause.</w:t>
            </w:r>
          </w:p>
        </w:tc>
      </w:tr>
      <w:tr>
        <w:trPr>
          <w:cantSplit/>
        </w:trPr>
        <w:tc>
          <w:tcPr>
            <w:tcW w:type="dxa" w:w="252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Meeting booked</w:t>
            </w:r>
          </w:p>
        </w:tc>
        <w:tc>
          <w:tcPr>
            <w:tcW w:type="dxa" w:w="756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Exit active prospecting sequence; move to meeting preparation and opportunity workflow.</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Referral</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Pause original contact; validate the referred stakeholder and preserve the account narrative.</w:t>
            </w:r>
          </w:p>
        </w:tc>
      </w:tr>
      <w:tr>
        <w:trPr>
          <w:cantSplit/>
        </w:trPr>
        <w:tc>
          <w:tcPr>
            <w:tcW w:type="dxa" w:w="252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Opt-out / objection</w:t>
            </w:r>
          </w:p>
        </w:tc>
        <w:tc>
          <w:tcPr>
            <w:tcW w:type="dxa" w:w="756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Suppress immediately across relevant systems and channels; no further marketing outreach.</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Invalid/bounced data</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Remove channel, verify contact and do not retry the same invalid address.</w:t>
            </w:r>
          </w:p>
        </w:tc>
      </w:tr>
      <w:tr>
        <w:trPr>
          <w:cantSplit/>
        </w:trPr>
        <w:tc>
          <w:tcPr>
            <w:tcW w:type="dxa" w:w="252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Active opportunity / ownership conflict</w:t>
            </w:r>
          </w:p>
        </w:tc>
        <w:tc>
          <w:tcPr>
            <w:tcW w:type="dxa" w:w="756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Stop and route according to CRM ownership and Freshworks process.</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Negative sentiment / complaint</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Stop account-level automation and review manually.</w:t>
            </w:r>
          </w:p>
        </w:tc>
      </w:tr>
      <w:tr>
        <w:trPr>
          <w:cantSplit/>
        </w:trPr>
        <w:tc>
          <w:tcPr>
            <w:tcW w:type="dxa" w:w="252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Material account change</w:t>
            </w:r>
          </w:p>
        </w:tc>
        <w:tc>
          <w:tcPr>
            <w:tcW w:type="dxa" w:w="756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Pause and regenerate the narrative rather than sending stale scheduled copy.</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Sequence complete</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Move to monitoring/recycle state; no automatic extra touch.</w:t>
            </w:r>
          </w:p>
        </w:tc>
      </w:tr>
    </w:tbl>
    <w:p>
      <w:pPr>
        <w:spacing w:after="0"/>
      </w:pPr>
    </w:p>
    <w:p>
      <w:pPr>
        <w:pStyle w:val="Heading2"/>
        <w:spacing w:before="140" w:after="100"/>
        <w:keepNext/>
      </w:pPr>
      <w:r>
        <w:t>Compliance boundaries</w:t>
      </w:r>
    </w:p>
    <w:p>
      <w:pPr>
        <w:spacing w:after="80" w:before="0" w:line="259" w:lineRule="auto"/>
      </w:pPr>
      <w:r>
        <w:rPr>
          <w:rFonts w:ascii="Carlito" w:hAnsi="Carlito"/>
        </w:rPr>
        <w:t>This playbook is not legal advice. Named work contact details are personal data, and GDPR requirements apply. The system must follow Freshworks-approved lawful-basis, transparency, retention, suppression and security procedures. Individuals have an absolute right to object to direct marketing under GDPR. [S1][S2]</w:t>
      </w:r>
    </w:p>
    <w:p>
      <w:pPr>
        <w:pStyle w:val="ListBullet"/>
        <w:spacing w:after="40" w:line="247" w:lineRule="auto"/>
      </w:pPr>
      <w:r>
        <w:rPr>
          <w:rFonts w:ascii="Carlito" w:hAnsi="Carlito"/>
          <w:sz w:val="20"/>
        </w:rPr>
        <w:t>Use only approved ZoomInfo, Lusha, CRM and public-data workflows under Freshworks licence and security policy.</w:t>
      </w:r>
    </w:p>
    <w:p>
      <w:pPr>
        <w:pStyle w:val="ListBullet"/>
        <w:spacing w:after="40" w:line="247" w:lineRule="auto"/>
      </w:pPr>
      <w:r>
        <w:rPr>
          <w:rFonts w:ascii="Carlito" w:hAnsi="Carlito"/>
          <w:sz w:val="20"/>
        </w:rPr>
        <w:t>Record source, purpose, lawful basis/configuration and suppression status as required by internal policy.</w:t>
      </w:r>
    </w:p>
    <w:p>
      <w:pPr>
        <w:pStyle w:val="ListBullet"/>
        <w:spacing w:after="40" w:line="247" w:lineRule="auto"/>
      </w:pPr>
      <w:r>
        <w:rPr>
          <w:rFonts w:ascii="Carlito" w:hAnsi="Carlito"/>
          <w:sz w:val="20"/>
        </w:rPr>
        <w:t>Do not upload prospect data to a personal AI workspace without Freshworks approval.</w:t>
      </w:r>
    </w:p>
    <w:p>
      <w:pPr>
        <w:pStyle w:val="ListBullet"/>
        <w:spacing w:after="40" w:line="247" w:lineRule="auto"/>
      </w:pPr>
      <w:r>
        <w:rPr>
          <w:rFonts w:ascii="Carlito" w:hAnsi="Carlito"/>
          <w:sz w:val="20"/>
        </w:rPr>
        <w:t>Country-specific electronic-marketing rules may differ. Obtain Freshworks legal/privacy approval before operational deployment in Sweden, Finland, Norway, Denmark or Iceland.</w:t>
      </w:r>
    </w:p>
    <w:p>
      <w:pPr>
        <w:pStyle w:val="ListBullet"/>
        <w:spacing w:after="40" w:line="247" w:lineRule="auto"/>
      </w:pPr>
      <w:r>
        <w:rPr>
          <w:rFonts w:ascii="Carlito" w:hAnsi="Carlito"/>
          <w:sz w:val="20"/>
        </w:rPr>
        <w:t>Use the Netherlands only for inbound opportunities; do not apply this outbound playbook there.</w:t>
      </w:r>
    </w:p>
    <w:p>
      <w:pPr>
        <w:pStyle w:val="Heading1"/>
        <w:spacing w:before="200" w:after="100"/>
        <w:keepNext/>
      </w:pPr>
      <w:r>
        <w:t>12. Measurement and experimentation</w:t>
      </w:r>
    </w:p>
    <w:p>
      <w:pPr>
        <w:pStyle w:val="Heading2"/>
        <w:spacing w:before="140" w:after="100"/>
        <w:keepNext/>
      </w:pPr>
      <w:r>
        <w:t>Primary outcome metrics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38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Metric</w:t>
            </w:r>
          </w:p>
        </w:tc>
        <w:tc>
          <w:tcPr>
            <w:tcW w:type="dxa" w:w="6192"/>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Why it matters</w:t>
            </w:r>
          </w:p>
        </w:tc>
      </w:tr>
      <w:tr>
        <w:trPr>
          <w:cantSplit/>
        </w:trPr>
        <w:tc>
          <w:tcPr>
            <w:tcW w:type="dxa" w:w="38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Positive replies per 100 targeted accounts</w:t>
            </w:r>
          </w:p>
        </w:tc>
        <w:tc>
          <w:tcPr>
            <w:tcW w:type="dxa" w:w="61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Core account-level relevance measure.</w:t>
            </w:r>
          </w:p>
        </w:tc>
      </w:tr>
      <w:tr>
        <w:trPr>
          <w:cantSplit/>
        </w:trPr>
        <w:tc>
          <w:tcPr>
            <w:tcW w:type="dxa" w:w="38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Meetings held per 100 targeted accounts</w:t>
            </w:r>
          </w:p>
        </w:tc>
        <w:tc>
          <w:tcPr>
            <w:tcW w:type="dxa" w:w="61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Avoids overvaluing booked but unheld meetings.</w:t>
            </w:r>
          </w:p>
        </w:tc>
      </w:tr>
      <w:tr>
        <w:trPr>
          <w:cantSplit/>
        </w:trPr>
        <w:tc>
          <w:tcPr>
            <w:tcW w:type="dxa" w:w="38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Qualified opportunities per 100 targeted accounts</w:t>
            </w:r>
          </w:p>
        </w:tc>
        <w:tc>
          <w:tcPr>
            <w:tcW w:type="dxa" w:w="61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Measures commercial quality.</w:t>
            </w:r>
          </w:p>
        </w:tc>
      </w:tr>
      <w:tr>
        <w:trPr>
          <w:cantSplit/>
        </w:trPr>
        <w:tc>
          <w:tcPr>
            <w:tcW w:type="dxa" w:w="38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Pipeline created per 100 targeted accounts</w:t>
            </w:r>
          </w:p>
        </w:tc>
        <w:tc>
          <w:tcPr>
            <w:tcW w:type="dxa" w:w="61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Normalise by territory effort and account count.</w:t>
            </w:r>
          </w:p>
        </w:tc>
      </w:tr>
      <w:tr>
        <w:trPr>
          <w:cantSplit/>
        </w:trPr>
        <w:tc>
          <w:tcPr>
            <w:tcW w:type="dxa" w:w="38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Buying-group coverage</w:t>
            </w:r>
          </w:p>
        </w:tc>
        <w:tc>
          <w:tcPr>
            <w:tcW w:type="dxa" w:w="61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Number and diversity of relevant stakeholders engaged.</w:t>
            </w:r>
          </w:p>
        </w:tc>
      </w:tr>
      <w:tr>
        <w:trPr>
          <w:cantSplit/>
        </w:trPr>
        <w:tc>
          <w:tcPr>
            <w:tcW w:type="dxa" w:w="38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Conversion by trigger</w:t>
            </w:r>
          </w:p>
        </w:tc>
        <w:tc>
          <w:tcPr>
            <w:tcW w:type="dxa" w:w="61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Identify which signals reliably predict meetings and opportunities.</w:t>
            </w:r>
          </w:p>
        </w:tc>
      </w:tr>
      <w:tr>
        <w:trPr>
          <w:cantSplit/>
        </w:trPr>
        <w:tc>
          <w:tcPr>
            <w:tcW w:type="dxa" w:w="38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Conversion by product play</w:t>
            </w:r>
          </w:p>
        </w:tc>
        <w:tc>
          <w:tcPr>
            <w:tcW w:type="dxa" w:w="6192"/>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Freshservice, Device42 and FireHydrant performance.</w:t>
            </w:r>
          </w:p>
        </w:tc>
      </w:tr>
      <w:tr>
        <w:trPr>
          <w:cantSplit/>
        </w:trPr>
        <w:tc>
          <w:tcPr>
            <w:tcW w:type="dxa" w:w="38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Conversion by country/language/persona</w:t>
            </w:r>
          </w:p>
        </w:tc>
        <w:tc>
          <w:tcPr>
            <w:tcW w:type="dxa" w:w="6192"/>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Build local evidence rather than relying on global assumptions.</w:t>
            </w:r>
          </w:p>
        </w:tc>
      </w:tr>
    </w:tbl>
    <w:p>
      <w:pPr>
        <w:spacing w:after="0"/>
      </w:pPr>
    </w:p>
    <w:p>
      <w:pPr>
        <w:pStyle w:val="Heading2"/>
        <w:spacing w:before="140" w:after="100"/>
        <w:keepNext/>
      </w:pPr>
      <w:r>
        <w:t>Diagnostic metrics</w:t>
      </w:r>
    </w:p>
    <w:p>
      <w:pPr>
        <w:pStyle w:val="ListBullet"/>
        <w:spacing w:after="40" w:line="247" w:lineRule="auto"/>
      </w:pPr>
      <w:r>
        <w:rPr>
          <w:rFonts w:ascii="Carlito" w:hAnsi="Carlito"/>
          <w:sz w:val="20"/>
        </w:rPr>
        <w:t>Call connect rate and conversation-to-meeting conversion</w:t>
      </w:r>
    </w:p>
    <w:p>
      <w:pPr>
        <w:pStyle w:val="ListBullet"/>
        <w:spacing w:after="40" w:line="247" w:lineRule="auto"/>
      </w:pPr>
      <w:r>
        <w:rPr>
          <w:rFonts w:ascii="Carlito" w:hAnsi="Carlito"/>
          <w:sz w:val="20"/>
        </w:rPr>
        <w:t>Reply rate by sequence step and account tier</w:t>
      </w:r>
    </w:p>
    <w:p>
      <w:pPr>
        <w:pStyle w:val="ListBullet"/>
        <w:spacing w:after="40" w:line="247" w:lineRule="auto"/>
      </w:pPr>
      <w:r>
        <w:rPr>
          <w:rFonts w:ascii="Carlito" w:hAnsi="Carlito"/>
          <w:sz w:val="20"/>
        </w:rPr>
        <w:t>Referral and right-person rate</w:t>
      </w:r>
    </w:p>
    <w:p>
      <w:pPr>
        <w:pStyle w:val="ListBullet"/>
        <w:spacing w:after="40" w:line="247" w:lineRule="auto"/>
      </w:pPr>
      <w:r>
        <w:rPr>
          <w:rFonts w:ascii="Carlito" w:hAnsi="Carlito"/>
          <w:sz w:val="20"/>
        </w:rPr>
        <w:t>LinkedIn acceptance, response and influenced-meeting rate</w:t>
      </w:r>
    </w:p>
    <w:p>
      <w:pPr>
        <w:pStyle w:val="ListBullet"/>
        <w:spacing w:after="40" w:line="247" w:lineRule="auto"/>
      </w:pPr>
      <w:r>
        <w:rPr>
          <w:rFonts w:ascii="Carlito" w:hAnsi="Carlito"/>
          <w:sz w:val="20"/>
        </w:rPr>
        <w:t>Bounce, opt-out and complaint rate</w:t>
      </w:r>
    </w:p>
    <w:p>
      <w:pPr>
        <w:pStyle w:val="ListBullet"/>
        <w:spacing w:after="40" w:line="247" w:lineRule="auto"/>
      </w:pPr>
      <w:r>
        <w:rPr>
          <w:rFonts w:ascii="Carlito" w:hAnsi="Carlito"/>
          <w:sz w:val="20"/>
        </w:rPr>
        <w:t>Time from first touch to meaningful engagement</w:t>
      </w:r>
    </w:p>
    <w:p>
      <w:pPr>
        <w:pStyle w:val="ListBullet"/>
        <w:spacing w:after="40" w:line="247" w:lineRule="auto"/>
      </w:pPr>
      <w:r>
        <w:rPr>
          <w:rFonts w:ascii="Carlito" w:hAnsi="Carlito"/>
          <w:sz w:val="20"/>
        </w:rPr>
        <w:t>Manual edit rate: how often Moe materially changes AI-generated copy</w:t>
      </w:r>
    </w:p>
    <w:p>
      <w:pPr>
        <w:pStyle w:val="ListBullet"/>
        <w:spacing w:after="40" w:line="247" w:lineRule="auto"/>
      </w:pPr>
      <w:r>
        <w:rPr>
          <w:rFonts w:ascii="Carlito" w:hAnsi="Carlito"/>
          <w:sz w:val="20"/>
        </w:rPr>
        <w:t>Research rejection rate: how often suggested accounts or contacts are rejected and why</w:t>
      </w:r>
    </w:p>
    <w:p>
      <w:pPr>
        <w:pStyle w:val="Heading2"/>
        <w:spacing w:before="140" w:after="100"/>
        <w:keepNext/>
      </w:pPr>
      <w:r>
        <w:t>Experiment design</w:t>
      </w:r>
    </w:p>
    <w:p>
      <w:pPr>
        <w:spacing w:after="80" w:before="0" w:line="259" w:lineRule="auto"/>
      </w:pPr>
      <w:r>
        <w:rPr>
          <w:rFonts w:ascii="Carlito" w:hAnsi="Carlito"/>
        </w:rPr>
        <w:t>Test one meaningful variable at a time where possible. Randomise comparable accounts rather than assigning the strongest accounts to the preferred version. Use meetings held and qualified opportunities as primary outcomes; do not optimise solely for opens or raw replies.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Experiment</w:t>
            </w:r>
          </w:p>
        </w:tc>
        <w:tc>
          <w:tcPr>
            <w:tcW w:type="dxa" w:w="496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Variants</w:t>
            </w:r>
          </w:p>
        </w:tc>
        <w:tc>
          <w:tcPr>
            <w:tcW w:type="dxa" w:w="302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Segment</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Call order</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Day-1 call vs call after email/LinkedIn</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Country and persona</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Language</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Swedish vs English</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Swedish accounts with comparable roles/triggers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Spacing</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 vs 4 vs 5 business days</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follow-ups</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Multithreading</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Staggered vs parallel</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Tier A accounts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CTA</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Interest CTA vs direct meeting ask</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Cold email stage</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Engineering cadence</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Research-led slower cadence vs standard IT cadence</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FireHydrant/SRE audience</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LinkedIn note</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Connection with note vs no note</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Comparable account segments</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Close loop</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Classification email vs silent exit</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Meeting and referral outcome, not raw reply</w:t>
            </w:r>
          </w:p>
        </w:tc>
      </w:tr>
    </w:tbl>
    <w:p>
      <w:pPr>
        <w:spacing w:after="0"/>
      </w:pPr>
    </w:p>
    <w:p>
      <w:pPr>
        <w:pStyle w:val="Heading2"/>
        <w:spacing w:before="140" w:after="100"/>
        <w:keepNext/>
      </w:pPr>
      <w:r>
        <w:t>Minimum learning discipline</w:t>
      </w:r>
    </w:p>
    <w:p>
      <w:pPr>
        <w:pStyle w:val="ListBullet"/>
        <w:spacing w:after="40" w:line="247" w:lineRule="auto"/>
      </w:pPr>
      <w:r>
        <w:rPr>
          <w:rFonts w:ascii="Carlito" w:hAnsi="Carlito"/>
          <w:sz w:val="20"/>
        </w:rPr>
        <w:t>Do not declare a winner from a handful of outcomes. Treat small samples as directional.</w:t>
      </w:r>
    </w:p>
    <w:p>
      <w:pPr>
        <w:pStyle w:val="ListBullet"/>
        <w:spacing w:after="40" w:line="247" w:lineRule="auto"/>
      </w:pPr>
      <w:r>
        <w:rPr>
          <w:rFonts w:ascii="Carlito" w:hAnsi="Carlito"/>
          <w:sz w:val="20"/>
        </w:rPr>
        <w:t>Record the exact sequence version used for each account.</w:t>
      </w:r>
    </w:p>
    <w:p>
      <w:pPr>
        <w:pStyle w:val="ListBullet"/>
        <w:spacing w:after="40" w:line="247" w:lineRule="auto"/>
      </w:pPr>
      <w:r>
        <w:rPr>
          <w:rFonts w:ascii="Carlito" w:hAnsi="Carlito"/>
          <w:sz w:val="20"/>
        </w:rPr>
        <w:t>Separate positive reply from meeting booked, meeting held and qualified opportunity.</w:t>
      </w:r>
    </w:p>
    <w:p>
      <w:pPr>
        <w:pStyle w:val="ListBullet"/>
        <w:spacing w:after="40" w:line="247" w:lineRule="auto"/>
      </w:pPr>
      <w:r>
        <w:rPr>
          <w:rFonts w:ascii="Carlito" w:hAnsi="Carlito"/>
          <w:sz w:val="20"/>
        </w:rPr>
        <w:t>Review performance monthly and make controlled changes rather than continuously rewriting all copy.</w:t>
      </w:r>
    </w:p>
    <w:p>
      <w:pPr>
        <w:pStyle w:val="ListBullet"/>
        <w:spacing w:after="40" w:line="247" w:lineRule="auto"/>
      </w:pPr>
      <w:r>
        <w:rPr>
          <w:rFonts w:ascii="Carlito" w:hAnsi="Carlito"/>
          <w:sz w:val="20"/>
        </w:rPr>
        <w:t>Preserve a change log explaining what changed, why and what evidence supported the decision.</w:t>
      </w:r>
    </w:p>
    <w:p>
      <w:pPr>
        <w:pStyle w:val="Heading1"/>
        <w:spacing w:before="200" w:after="100"/>
        <w:keepNext/>
      </w:pPr>
      <w:r>
        <w:t>13. Weekly operating rhythm and automation readiness</w:t>
      </w:r>
    </w:p>
    <w:p>
      <w:pPr>
        <w:pStyle w:val="Heading2"/>
        <w:spacing w:before="140" w:after="100"/>
        <w:keepNext/>
      </w:pPr>
      <w:r>
        <w:t>Weekly workflow</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80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Stage</w:t>
            </w:r>
          </w:p>
        </w:tc>
        <w:tc>
          <w:tcPr>
            <w:tcW w:type="dxa" w:w="828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Action</w:t>
            </w:r>
          </w:p>
        </w:tc>
      </w:tr>
      <w:tr>
        <w:trPr>
          <w:cantSplit/>
        </w:trPr>
        <w:tc>
          <w:tcPr>
            <w:tcW w:type="dxa" w:w="18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1. Discover</w:t>
            </w:r>
          </w:p>
        </w:tc>
        <w:tc>
          <w:tcPr>
            <w:tcW w:type="dxa" w:w="82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Refresh public signals, CRM/intent data and candidate accounts within active outbound markets.</w:t>
            </w:r>
          </w:p>
        </w:tc>
      </w:tr>
      <w:tr>
        <w:trPr>
          <w:cantSplit/>
        </w:trPr>
        <w:tc>
          <w:tcPr>
            <w:tcW w:type="dxa" w:w="18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2. Qualify</w:t>
            </w:r>
          </w:p>
        </w:tc>
        <w:tc>
          <w:tcPr>
            <w:tcW w:type="dxa" w:w="82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Apply P1/P2/P3 rules, freshness, convergence and negative evidence.</w:t>
            </w:r>
          </w:p>
        </w:tc>
      </w:tr>
      <w:tr>
        <w:trPr>
          <w:cantSplit/>
        </w:trPr>
        <w:tc>
          <w:tcPr>
            <w:tcW w:type="dxa" w:w="18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3. Map</w:t>
            </w:r>
          </w:p>
        </w:tc>
        <w:tc>
          <w:tcPr>
            <w:tcW w:type="dxa" w:w="82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Identify the initial buying-group triangle and verify current roles/contact data.</w:t>
            </w:r>
          </w:p>
        </w:tc>
      </w:tr>
      <w:tr>
        <w:trPr>
          <w:cantSplit/>
        </w:trPr>
        <w:tc>
          <w:tcPr>
            <w:tcW w:type="dxa" w:w="18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4. Narrate</w:t>
            </w:r>
          </w:p>
        </w:tc>
        <w:tc>
          <w:tcPr>
            <w:tcW w:type="dxa" w:w="82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Select the product/use-case play and write one account-level problem narrative.</w:t>
            </w:r>
          </w:p>
        </w:tc>
      </w:tr>
      <w:tr>
        <w:trPr>
          <w:cantSplit/>
        </w:trPr>
        <w:tc>
          <w:tcPr>
            <w:tcW w:type="dxa" w:w="18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5. Draft</w:t>
            </w:r>
          </w:p>
        </w:tc>
        <w:tc>
          <w:tcPr>
            <w:tcW w:type="dxa" w:w="82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Generate role-relevant email, LinkedIn and call-talk-track drafts.</w:t>
            </w:r>
          </w:p>
        </w:tc>
      </w:tr>
      <w:tr>
        <w:trPr>
          <w:cantSplit/>
        </w:trPr>
        <w:tc>
          <w:tcPr>
            <w:tcW w:type="dxa" w:w="18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6. Approve</w:t>
            </w:r>
          </w:p>
        </w:tc>
        <w:tc>
          <w:tcPr>
            <w:tcW w:type="dxa" w:w="82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Moe reviews evidence, contacts, language, sequence branch and wording.</w:t>
            </w:r>
          </w:p>
        </w:tc>
      </w:tr>
      <w:tr>
        <w:trPr>
          <w:cantSplit/>
        </w:trPr>
        <w:tc>
          <w:tcPr>
            <w:tcW w:type="dxa" w:w="18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7. Execute</w:t>
            </w:r>
          </w:p>
        </w:tc>
        <w:tc>
          <w:tcPr>
            <w:tcW w:type="dxa" w:w="82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Manually send or release through an approved sales-engagement platform.</w:t>
            </w:r>
          </w:p>
        </w:tc>
      </w:tr>
      <w:tr>
        <w:trPr>
          <w:cantSplit/>
        </w:trPr>
        <w:tc>
          <w:tcPr>
            <w:tcW w:type="dxa" w:w="180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8. Record</w:t>
            </w:r>
          </w:p>
        </w:tc>
        <w:tc>
          <w:tcPr>
            <w:tcW w:type="dxa" w:w="828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Update sequence state, outcome, next-touch date and reasons for edits/rejection.</w:t>
            </w:r>
          </w:p>
        </w:tc>
      </w:tr>
      <w:tr>
        <w:trPr>
          <w:cantSplit/>
        </w:trPr>
        <w:tc>
          <w:tcPr>
            <w:tcW w:type="dxa" w:w="180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9. Learn</w:t>
            </w:r>
          </w:p>
        </w:tc>
        <w:tc>
          <w:tcPr>
            <w:tcW w:type="dxa" w:w="828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Review weekly exceptions and monthly conversion by trigger, play, market and persona.</w:t>
            </w:r>
          </w:p>
        </w:tc>
      </w:tr>
    </w:tbl>
    <w:p>
      <w:pPr>
        <w:spacing w:after="0"/>
      </w:pPr>
    </w:p>
    <w:p>
      <w:pPr>
        <w:pStyle w:val="Heading2"/>
        <w:spacing w:before="140" w:after="100"/>
        <w:keepNext/>
      </w:pPr>
      <w:r>
        <w:t>Automation division of labour</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52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Control</w:t>
            </w:r>
          </w:p>
        </w:tc>
        <w:tc>
          <w:tcPr>
            <w:tcW w:type="dxa" w:w="7560"/>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Scope</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Automate</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Source collection, deduplication, territory filtering, signal freshness, P1/P2/P3 application, contact suggestions, draft generation, next-touch calculation, approval queue and outcome logging.</w:t>
            </w:r>
          </w:p>
        </w:tc>
      </w:tr>
      <w:tr>
        <w:trPr>
          <w:cantSplit/>
        </w:trPr>
        <w:tc>
          <w:tcPr>
            <w:tcW w:type="dxa" w:w="252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Human approve</w:t>
            </w:r>
          </w:p>
        </w:tc>
        <w:tc>
          <w:tcPr>
            <w:tcW w:type="dxa" w:w="7560"/>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Account relevance, product play, stakeholder selection, claims, language, final message, call talk track and every external action.</w:t>
            </w:r>
          </w:p>
        </w:tc>
      </w:tr>
      <w:tr>
        <w:trPr>
          <w:cantSplit/>
        </w:trPr>
        <w:tc>
          <w:tcPr>
            <w:tcW w:type="dxa" w:w="252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Never autonomous in V1</w:t>
            </w:r>
          </w:p>
        </w:tc>
        <w:tc>
          <w:tcPr>
            <w:tcW w:type="dxa" w:w="7560"/>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Sending email, LinkedIn connection/message, calls, CRM ownership changes, opt-out overrides or use of unapproved data sources.</w:t>
            </w:r>
          </w:p>
        </w:tc>
      </w:tr>
    </w:tbl>
    <w:p>
      <w:pPr>
        <w:spacing w:after="0"/>
      </w:pPr>
    </w:p>
    <w:p>
      <w:pPr>
        <w:pStyle w:val="Heading2"/>
        <w:spacing w:before="140" w:after="100"/>
        <w:keepNext/>
      </w:pPr>
      <w:r>
        <w:t>Automation-ready inputs</w:t>
      </w:r>
    </w:p>
    <w:p>
      <w:pPr>
        <w:pStyle w:val="ListBullet"/>
        <w:spacing w:after="40" w:line="247" w:lineRule="auto"/>
      </w:pPr>
      <w:r>
        <w:rPr>
          <w:rFonts w:ascii="Carlito" w:hAnsi="Carlito"/>
          <w:sz w:val="20"/>
        </w:rPr>
        <w:t>Territory configuration: official, temporary, conditional and inbound-only countries.</w:t>
      </w:r>
    </w:p>
    <w:p>
      <w:pPr>
        <w:pStyle w:val="ListBullet"/>
        <w:spacing w:after="40" w:line="247" w:lineRule="auto"/>
      </w:pPr>
      <w:r>
        <w:rPr>
          <w:rFonts w:ascii="Carlito" w:hAnsi="Carlito"/>
          <w:sz w:val="20"/>
        </w:rPr>
        <w:t>Local-number status by country.</w:t>
      </w:r>
    </w:p>
    <w:p>
      <w:pPr>
        <w:pStyle w:val="ListBullet"/>
        <w:spacing w:after="40" w:line="247" w:lineRule="auto"/>
      </w:pPr>
      <w:r>
        <w:rPr>
          <w:rFonts w:ascii="Carlito" w:hAnsi="Carlito"/>
          <w:sz w:val="20"/>
        </w:rPr>
        <w:t>P1/P2/P3 rules and signal thresholds.</w:t>
      </w:r>
    </w:p>
    <w:p>
      <w:pPr>
        <w:pStyle w:val="ListBullet"/>
        <w:spacing w:after="40" w:line="247" w:lineRule="auto"/>
      </w:pPr>
      <w:r>
        <w:rPr>
          <w:rFonts w:ascii="Carlito" w:hAnsi="Carlito"/>
          <w:sz w:val="20"/>
        </w:rPr>
        <w:t>Product trigger libraries and approved narratives.</w:t>
      </w:r>
    </w:p>
    <w:p>
      <w:pPr>
        <w:pStyle w:val="ListBullet"/>
        <w:spacing w:after="40" w:line="247" w:lineRule="auto"/>
      </w:pPr>
      <w:r>
        <w:rPr>
          <w:rFonts w:ascii="Carlito" w:hAnsi="Carlito"/>
          <w:sz w:val="20"/>
        </w:rPr>
        <w:t>Contact-role taxonomy and buying-group triangle rules.</w:t>
      </w:r>
    </w:p>
    <w:p>
      <w:pPr>
        <w:pStyle w:val="ListBullet"/>
        <w:spacing w:after="40" w:line="247" w:lineRule="auto"/>
      </w:pPr>
      <w:r>
        <w:rPr>
          <w:rFonts w:ascii="Carlito" w:hAnsi="Carlito"/>
          <w:sz w:val="20"/>
        </w:rPr>
        <w:t>Sequence state, previous touches, replies, meetings and suppression status.</w:t>
      </w:r>
    </w:p>
    <w:p>
      <w:pPr>
        <w:pStyle w:val="ListBullet"/>
        <w:spacing w:after="40" w:line="247" w:lineRule="auto"/>
      </w:pPr>
      <w:r>
        <w:rPr>
          <w:rFonts w:ascii="Carlito" w:hAnsi="Carlito"/>
          <w:sz w:val="20"/>
        </w:rPr>
        <w:t>Approved proof points, case studies and prohibited/unverified claims.</w:t>
      </w:r>
    </w:p>
    <w:p>
      <w:pPr>
        <w:pStyle w:val="ListBullet"/>
        <w:spacing w:after="40" w:line="247" w:lineRule="auto"/>
      </w:pPr>
      <w:r>
        <w:rPr>
          <w:rFonts w:ascii="Carlito" w:hAnsi="Carlito"/>
          <w:sz w:val="20"/>
        </w:rPr>
        <w:t>Language rules and current message variants.</w:t>
      </w:r>
    </w:p>
    <w:p>
      <w:pPr>
        <w:pStyle w:val="ListBullet"/>
        <w:spacing w:after="40" w:line="247" w:lineRule="auto"/>
      </w:pPr>
      <w:r>
        <w:rPr>
          <w:rFonts w:ascii="Carlito" w:hAnsi="Carlito"/>
          <w:sz w:val="20"/>
        </w:rPr>
        <w:t>Freshworks compliance, data-retention and AI-use policy.</w:t>
      </w:r>
    </w:p>
    <w:p>
      <w:pPr>
        <w:pStyle w:val="Heading2"/>
        <w:spacing w:before="140" w:after="100"/>
        <w:keepNext/>
      </w:pPr>
      <w:r>
        <w:t>Required weekly output</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376"/>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Output</w:t>
            </w:r>
          </w:p>
        </w:tc>
        <w:tc>
          <w:tcPr>
            <w:tcW w:type="dxa" w:w="770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Required content</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Account recommendation</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Company, country, tier, trigger, freshness, source links and why now.</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Product play</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Freshservice, Device42 or FireHydrant; selected narrative and confidence.</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Buying group</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Up to three contacts, role rationale, contact confidence and data source.</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Sequence recommendation</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Tier branch, current step, channel, scheduled date and phone policy.</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Draft package</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Email, LinkedIn action/message and cold-call talk track.</w:t>
            </w:r>
          </w:p>
        </w:tc>
      </w:tr>
      <w:tr>
        <w:trPr>
          <w:cantSplit/>
        </w:trPr>
        <w:tc>
          <w:tcPr>
            <w:tcW w:type="dxa" w:w="2376"/>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Risk flags</w:t>
            </w:r>
          </w:p>
        </w:tc>
        <w:tc>
          <w:tcPr>
            <w:tcW w:type="dxa" w:w="770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Missing evidence, unverified claim, compliance issue, ownership conflict, stale data or duplicated account.</w:t>
            </w:r>
          </w:p>
        </w:tc>
      </w:tr>
      <w:tr>
        <w:trPr>
          <w:cantSplit/>
        </w:trPr>
        <w:tc>
          <w:tcPr>
            <w:tcW w:type="dxa" w:w="2376"/>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Approval status</w:t>
            </w:r>
          </w:p>
        </w:tc>
        <w:tc>
          <w:tcPr>
            <w:tcW w:type="dxa" w:w="770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Approve, edit, reject or defer; record the reason.</w:t>
            </w:r>
          </w:p>
        </w:tc>
      </w:tr>
    </w:tbl>
    <w:p>
      <w:pPr>
        <w:spacing w:after="0"/>
      </w:pPr>
    </w:p>
    <w:tbl>
      <w:tblPr>
        <w:tblW w:type="auto" w:w="0"/>
        <w:jc w:val="center"/>
        <w:tblLayout w:type="autofit"/>
        <w:tblLook w:firstColumn="1" w:firstRow="1" w:lastColumn="0" w:lastRow="0" w:noHBand="0" w:noVBand="1" w:val="04A0"/>
      </w:tblPr>
      <w:tblGrid>
        <w:gridCol w:w="9835"/>
      </w:tblGrid>
      <w:tr>
        <w:trPr>
          <w:cantSplit/>
        </w:trPr>
        <w:tc>
          <w:tcPr>
            <w:tcW w:type="dxa" w:w="9835"/>
            <w:shd w:fill="E8F4F2"/>
            <w:tcMar>
              <w:top w:w="130" w:type="dxa"/>
              <w:start w:w="150" w:type="dxa"/>
              <w:bottom w:w="130" w:type="dxa"/>
              <w:end w:w="150" w:type="dxa"/>
            </w:tcMar>
            <w:tcBorders>
              <w:top w:val="single" w:sz="8" w:space="0" w:color="1B7F7A"/>
              <w:left w:val="single" w:sz="8" w:space="0" w:color="1B7F7A"/>
              <w:bottom w:val="single" w:sz="8" w:space="0" w:color="1B7F7A"/>
              <w:right w:val="single" w:sz="8" w:space="0" w:color="1B7F7A"/>
            </w:tcBorders>
          </w:tcPr>
          <w:p>
            <w:pPr>
              <w:spacing w:after="80"/>
            </w:pPr>
            <w:r>
              <w:rPr>
                <w:rFonts w:ascii="Carlito" w:hAnsi="Carlito"/>
                <w:b/>
                <w:color w:val="1B7F7A"/>
                <w:sz w:val="22"/>
              </w:rPr>
              <w:t>Recommended implementation path</w:t>
            </w:r>
          </w:p>
          <w:p>
            <w:pPr>
              <w:spacing w:after="0" w:line="259" w:lineRule="auto"/>
            </w:pPr>
            <w:r>
              <w:rPr>
                <w:rFonts w:ascii="Carlito" w:hAnsi="Carlito"/>
                <w:color w:val="1E2A35"/>
                <w:sz w:val="20"/>
              </w:rPr>
              <w:t>Begin with ChatGPT Work on the web, manual/approved ZoomInfo and Lusha exports, and human-reviewed weekly outputs. Use Codex later to build integrations, persistent sequence state, scheduling, an approval queue and reporting after the workflow has demonstrated reliable value.</w:t>
            </w:r>
          </w:p>
        </w:tc>
      </w:tr>
    </w:tbl>
    <w:p>
      <w:pPr>
        <w:spacing w:after="0"/>
      </w:pPr>
    </w:p>
    <w:p>
      <w:pPr>
        <w:pStyle w:val="Heading1"/>
        <w:spacing w:before="200" w:after="100"/>
        <w:keepNext/>
      </w:pPr>
      <w:r>
        <w:t>14. Quick-reference checklists</w:t>
      </w:r>
    </w:p>
    <w:p>
      <w:pPr>
        <w:pStyle w:val="Heading2"/>
        <w:spacing w:before="140" w:after="100"/>
        <w:keepNext/>
      </w:pPr>
      <w:r>
        <w:t>Account activation checklist</w:t>
      </w:r>
    </w:p>
    <w:p>
      <w:pPr>
        <w:pStyle w:val="ListBullet"/>
        <w:spacing w:after="40" w:line="247" w:lineRule="auto"/>
      </w:pPr>
      <w:r>
        <w:rPr>
          <w:rFonts w:ascii="Carlito" w:hAnsi="Carlito"/>
          <w:sz w:val="20"/>
        </w:rPr>
        <w:t>☐ Inside active outbound territory</w:t>
      </w:r>
    </w:p>
    <w:p>
      <w:pPr>
        <w:pStyle w:val="ListBullet"/>
        <w:spacing w:after="40" w:line="247" w:lineRule="auto"/>
      </w:pPr>
      <w:r>
        <w:rPr>
          <w:rFonts w:ascii="Carlito" w:hAnsi="Carlito"/>
          <w:sz w:val="20"/>
        </w:rPr>
        <w:t>☐ No CRM ownership or active-opportunity conflict</w:t>
      </w:r>
    </w:p>
    <w:p>
      <w:pPr>
        <w:pStyle w:val="ListBullet"/>
        <w:spacing w:after="40" w:line="247" w:lineRule="auto"/>
      </w:pPr>
      <w:r>
        <w:rPr>
          <w:rFonts w:ascii="Carlito" w:hAnsi="Carlito"/>
          <w:sz w:val="20"/>
        </w:rPr>
        <w:t>☐ Strong fit and enough complexity</w:t>
      </w:r>
    </w:p>
    <w:p>
      <w:pPr>
        <w:pStyle w:val="ListBullet"/>
        <w:spacing w:after="40" w:line="247" w:lineRule="auto"/>
      </w:pPr>
      <w:r>
        <w:rPr>
          <w:rFonts w:ascii="Carlito" w:hAnsi="Carlito"/>
          <w:sz w:val="20"/>
        </w:rPr>
        <w:t>☐ Current trigger or defensible organisational hypothesis</w:t>
      </w:r>
    </w:p>
    <w:p>
      <w:pPr>
        <w:pStyle w:val="ListBullet"/>
        <w:spacing w:after="40" w:line="247" w:lineRule="auto"/>
      </w:pPr>
      <w:r>
        <w:rPr>
          <w:rFonts w:ascii="Carlito" w:hAnsi="Carlito"/>
          <w:sz w:val="20"/>
        </w:rPr>
        <w:t>☐ Relevant product play selected</w:t>
      </w:r>
    </w:p>
    <w:p>
      <w:pPr>
        <w:pStyle w:val="ListBullet"/>
        <w:spacing w:after="40" w:line="247" w:lineRule="auto"/>
      </w:pPr>
      <w:r>
        <w:rPr>
          <w:rFonts w:ascii="Carlito" w:hAnsi="Carlito"/>
          <w:sz w:val="20"/>
        </w:rPr>
        <w:t>☐ Initial buying-group triangle identified</w:t>
      </w:r>
    </w:p>
    <w:p>
      <w:pPr>
        <w:pStyle w:val="ListBullet"/>
        <w:spacing w:after="40" w:line="247" w:lineRule="auto"/>
      </w:pPr>
      <w:r>
        <w:rPr>
          <w:rFonts w:ascii="Carlito" w:hAnsi="Carlito"/>
          <w:sz w:val="20"/>
        </w:rPr>
        <w:t>☐ Contact data verified</w:t>
      </w:r>
    </w:p>
    <w:p>
      <w:pPr>
        <w:pStyle w:val="ListBullet"/>
        <w:spacing w:after="40" w:line="247" w:lineRule="auto"/>
      </w:pPr>
      <w:r>
        <w:rPr>
          <w:rFonts w:ascii="Carlito" w:hAnsi="Carlito"/>
          <w:sz w:val="20"/>
        </w:rPr>
        <w:t>☐ Shared narrative drafted</w:t>
      </w:r>
    </w:p>
    <w:p>
      <w:pPr>
        <w:pStyle w:val="ListBullet"/>
        <w:spacing w:after="40" w:line="247" w:lineRule="auto"/>
      </w:pPr>
      <w:r>
        <w:rPr>
          <w:rFonts w:ascii="Carlito" w:hAnsi="Carlito"/>
          <w:sz w:val="20"/>
        </w:rPr>
        <w:t>☐ Cadence tier and phone branch selected</w:t>
      </w:r>
    </w:p>
    <w:p>
      <w:pPr>
        <w:pStyle w:val="ListBullet"/>
        <w:spacing w:after="40" w:line="247" w:lineRule="auto"/>
      </w:pPr>
      <w:r>
        <w:rPr>
          <w:rFonts w:ascii="Carlito" w:hAnsi="Carlito"/>
          <w:sz w:val="20"/>
        </w:rPr>
        <w:t>☐ Moe approved activation</w:t>
      </w:r>
    </w:p>
    <w:p>
      <w:pPr>
        <w:pStyle w:val="Heading2"/>
        <w:spacing w:before="140" w:after="100"/>
        <w:keepNext/>
      </w:pPr>
      <w:r>
        <w:t>Message approval checklist</w:t>
      </w:r>
    </w:p>
    <w:p>
      <w:pPr>
        <w:pStyle w:val="ListBullet"/>
        <w:spacing w:after="40" w:line="247" w:lineRule="auto"/>
      </w:pPr>
      <w:r>
        <w:rPr>
          <w:rFonts w:ascii="Carlito" w:hAnsi="Carlito"/>
          <w:sz w:val="20"/>
        </w:rPr>
        <w:t>☐ Specific reason for this account now</w:t>
      </w:r>
    </w:p>
    <w:p>
      <w:pPr>
        <w:pStyle w:val="ListBullet"/>
        <w:spacing w:after="40" w:line="247" w:lineRule="auto"/>
      </w:pPr>
      <w:r>
        <w:rPr>
          <w:rFonts w:ascii="Carlito" w:hAnsi="Carlito"/>
          <w:sz w:val="20"/>
        </w:rPr>
        <w:t>☐ One organisational problem narrative</w:t>
      </w:r>
    </w:p>
    <w:p>
      <w:pPr>
        <w:pStyle w:val="ListBullet"/>
        <w:spacing w:after="40" w:line="247" w:lineRule="auto"/>
      </w:pPr>
      <w:r>
        <w:rPr>
          <w:rFonts w:ascii="Carlito" w:hAnsi="Carlito"/>
          <w:sz w:val="20"/>
        </w:rPr>
        <w:t>☐ Role-relevant evidence/question without changing the core story</w:t>
      </w:r>
    </w:p>
    <w:p>
      <w:pPr>
        <w:pStyle w:val="ListBullet"/>
        <w:spacing w:after="40" w:line="247" w:lineRule="auto"/>
      </w:pPr>
      <w:r>
        <w:rPr>
          <w:rFonts w:ascii="Carlito" w:hAnsi="Carlito"/>
          <w:sz w:val="20"/>
        </w:rPr>
        <w:t>☐ 50-100 words for first email unless a justified exception exists</w:t>
      </w:r>
    </w:p>
    <w:p>
      <w:pPr>
        <w:pStyle w:val="ListBullet"/>
        <w:spacing w:after="40" w:line="247" w:lineRule="auto"/>
      </w:pPr>
      <w:r>
        <w:rPr>
          <w:rFonts w:ascii="Carlito" w:hAnsi="Carlito"/>
          <w:sz w:val="20"/>
        </w:rPr>
        <w:t>☐ Plain language; no generic TCO/MTTR/AI/platform pitch</w:t>
      </w:r>
    </w:p>
    <w:p>
      <w:pPr>
        <w:pStyle w:val="ListBullet"/>
        <w:spacing w:after="40" w:line="247" w:lineRule="auto"/>
      </w:pPr>
      <w:r>
        <w:rPr>
          <w:rFonts w:ascii="Carlito" w:hAnsi="Carlito"/>
          <w:sz w:val="20"/>
        </w:rPr>
        <w:t>☐ No unverified claim or invented personalisation</w:t>
      </w:r>
    </w:p>
    <w:p>
      <w:pPr>
        <w:pStyle w:val="ListBullet"/>
        <w:spacing w:after="40" w:line="247" w:lineRule="auto"/>
      </w:pPr>
      <w:r>
        <w:rPr>
          <w:rFonts w:ascii="Carlito" w:hAnsi="Carlito"/>
          <w:sz w:val="20"/>
        </w:rPr>
        <w:t>☐ Low-friction CTA</w:t>
      </w:r>
    </w:p>
    <w:p>
      <w:pPr>
        <w:pStyle w:val="ListBullet"/>
        <w:spacing w:after="40" w:line="247" w:lineRule="auto"/>
      </w:pPr>
      <w:r>
        <w:rPr>
          <w:rFonts w:ascii="Carlito" w:hAnsi="Carlito"/>
          <w:sz w:val="20"/>
        </w:rPr>
        <w:t>☐ New value relative to previous touch</w:t>
      </w:r>
    </w:p>
    <w:p>
      <w:pPr>
        <w:pStyle w:val="ListBullet"/>
        <w:spacing w:after="40" w:line="247" w:lineRule="auto"/>
      </w:pPr>
      <w:r>
        <w:rPr>
          <w:rFonts w:ascii="Carlito" w:hAnsi="Carlito"/>
          <w:sz w:val="20"/>
        </w:rPr>
        <w:t>☐ Correct language and market context</w:t>
      </w:r>
    </w:p>
    <w:p>
      <w:pPr>
        <w:pStyle w:val="ListBullet"/>
        <w:spacing w:after="40" w:line="247" w:lineRule="auto"/>
      </w:pPr>
      <w:r>
        <w:rPr>
          <w:rFonts w:ascii="Carlito" w:hAnsi="Carlito"/>
          <w:sz w:val="20"/>
        </w:rPr>
        <w:t>☐ Opt-out/privacy requirements met</w:t>
      </w:r>
    </w:p>
    <w:p>
      <w:pPr>
        <w:pStyle w:val="ListBullet"/>
        <w:spacing w:after="40" w:line="247" w:lineRule="auto"/>
      </w:pPr>
      <w:r>
        <w:rPr>
          <w:rFonts w:ascii="Carlito" w:hAnsi="Carlito"/>
          <w:sz w:val="20"/>
        </w:rPr>
        <w:t>☐ Moe approved final copy</w:t>
      </w:r>
    </w:p>
    <w:p>
      <w:pPr>
        <w:pStyle w:val="Heading2"/>
        <w:spacing w:before="140" w:after="100"/>
        <w:keepNext/>
      </w:pPr>
      <w:r>
        <w:t>Call preparation checklist</w:t>
      </w:r>
    </w:p>
    <w:p>
      <w:pPr>
        <w:pStyle w:val="ListBullet"/>
        <w:spacing w:after="40" w:line="247" w:lineRule="auto"/>
      </w:pPr>
      <w:r>
        <w:rPr>
          <w:rFonts w:ascii="Carlito" w:hAnsi="Carlito"/>
          <w:sz w:val="20"/>
        </w:rPr>
        <w:t>☐ Trigger and source open in front of you</w:t>
      </w:r>
    </w:p>
    <w:p>
      <w:pPr>
        <w:pStyle w:val="ListBullet"/>
        <w:spacing w:after="40" w:line="247" w:lineRule="auto"/>
      </w:pPr>
      <w:r>
        <w:rPr>
          <w:rFonts w:ascii="Carlito" w:hAnsi="Carlito"/>
          <w:sz w:val="20"/>
        </w:rPr>
        <w:t>☐ One-sentence reason for the call</w:t>
      </w:r>
    </w:p>
    <w:p>
      <w:pPr>
        <w:pStyle w:val="ListBullet"/>
        <w:spacing w:after="40" w:line="247" w:lineRule="auto"/>
      </w:pPr>
      <w:r>
        <w:rPr>
          <w:rFonts w:ascii="Carlito" w:hAnsi="Carlito"/>
          <w:sz w:val="20"/>
        </w:rPr>
        <w:t>☐ 30-second account hypothesis</w:t>
      </w:r>
    </w:p>
    <w:p>
      <w:pPr>
        <w:pStyle w:val="ListBullet"/>
        <w:spacing w:after="40" w:line="247" w:lineRule="auto"/>
      </w:pPr>
      <w:r>
        <w:rPr>
          <w:rFonts w:ascii="Carlito" w:hAnsi="Carlito"/>
          <w:sz w:val="20"/>
        </w:rPr>
        <w:t>☐ Primary diagnostic question</w:t>
      </w:r>
    </w:p>
    <w:p>
      <w:pPr>
        <w:pStyle w:val="ListBullet"/>
        <w:spacing w:after="40" w:line="247" w:lineRule="auto"/>
      </w:pPr>
      <w:r>
        <w:rPr>
          <w:rFonts w:ascii="Carlito" w:hAnsi="Carlito"/>
          <w:sz w:val="20"/>
        </w:rPr>
        <w:t>☐ Ownership alternatives, relevant proof point, voicemail choice and exit/next step prepared</w:t>
      </w:r>
    </w:p>
    <w:p>
      <w:pPr>
        <w:pStyle w:val="Heading1"/>
        <w:spacing w:before="200" w:after="100"/>
        <w:keepNext/>
      </w:pPr>
      <w:r>
        <w:t>Appendix A. Source register</w:t>
      </w:r>
    </w:p>
    <w:p>
      <w:pPr>
        <w:spacing w:after="80" w:before="0" w:line="259" w:lineRule="auto"/>
      </w:pPr>
      <w:r>
        <w:rPr>
          <w:rFonts w:ascii="Carlito" w:hAnsi="Carlito"/>
        </w:rPr>
        <w:t>Sources are grouped by evidence type. Publication dates and sample details are included where available. Links should be rechecked before external circulation because webpages can change.</w:t>
      </w:r>
    </w:p>
    <w:p>
      <w:pPr>
        <w:spacing w:after="100" w:line="245" w:lineRule="auto"/>
      </w:pPr>
      <w:r>
        <w:rPr>
          <w:rFonts w:ascii="Carlito" w:hAnsi="Carlito"/>
          <w:b/>
          <w:color w:val="17324D"/>
          <w:sz w:val="18"/>
        </w:rPr>
        <w:t xml:space="preserve">[G1] Gartner. </w:t>
      </w:r>
      <w:hyperlink r:id="rId11">
        <w:r>
          <w:rPr>
            <w:color w:val="1B5E8C"/>
            <w:u w:val="single"/>
            <w:rFonts w:ascii="Carlito" w:hAnsi="Carlito"/>
          </w:rPr>
          <w:t>Gartner Sales Survey Finds 61% of B2B Buyers Prefer a Rep-Free Buying Experience</w:t>
        </w:r>
      </w:hyperlink>
      <w:r>
        <w:rPr>
          <w:rFonts w:ascii="Carlito" w:hAnsi="Carlito"/>
          <w:color w:val="1E2A35"/>
          <w:sz w:val="18"/>
        </w:rPr>
        <w:t>. 25 June 2025; survey of 632 B2B buyers conducted Aug-Sep 2024.</w:t>
      </w:r>
    </w:p>
    <w:p>
      <w:pPr>
        <w:spacing w:after="100" w:line="245" w:lineRule="auto"/>
      </w:pPr>
      <w:r>
        <w:rPr>
          <w:rFonts w:ascii="Carlito" w:hAnsi="Carlito"/>
          <w:b/>
          <w:color w:val="17324D"/>
          <w:sz w:val="18"/>
        </w:rPr>
        <w:t xml:space="preserve">[G2] Gartner. </w:t>
      </w:r>
      <w:hyperlink r:id="rId12">
        <w:r>
          <w:rPr>
            <w:color w:val="1B5E8C"/>
            <w:u w:val="single"/>
            <w:rFonts w:ascii="Carlito" w:hAnsi="Carlito"/>
          </w:rPr>
          <w:t>Gartner Sales Survey Finds 74% of B2B Buyer Teams Demonstrate “Unhealthy Conflict”</w:t>
        </w:r>
      </w:hyperlink>
      <w:r>
        <w:rPr>
          <w:rFonts w:ascii="Carlito" w:hAnsi="Carlito"/>
          <w:color w:val="1E2A35"/>
          <w:sz w:val="18"/>
        </w:rPr>
        <w:t>. 7 May 2025; survey of 632 B2B buyers conducted Aug-Sep 2024.</w:t>
      </w:r>
    </w:p>
    <w:p>
      <w:pPr>
        <w:spacing w:after="100" w:line="245" w:lineRule="auto"/>
      </w:pPr>
      <w:r>
        <w:rPr>
          <w:rFonts w:ascii="Carlito" w:hAnsi="Carlito"/>
          <w:b/>
          <w:color w:val="17324D"/>
          <w:sz w:val="18"/>
        </w:rPr>
        <w:t xml:space="preserve">[G3] Gartner. </w:t>
      </w:r>
      <w:hyperlink r:id="rId13">
        <w:r>
          <w:rPr>
            <w:color w:val="1B5E8C"/>
            <w:u w:val="single"/>
            <w:rFonts w:ascii="Carlito" w:hAnsi="Carlito"/>
          </w:rPr>
          <w:t>Gartner Sales Survey Finds 67% of B2B Buyers Prefer a Rep-Free Experience</w:t>
        </w:r>
      </w:hyperlink>
      <w:r>
        <w:rPr>
          <w:rFonts w:ascii="Carlito" w:hAnsi="Carlito"/>
          <w:color w:val="1E2A35"/>
          <w:sz w:val="18"/>
        </w:rPr>
        <w:t>. 9 March 2026; survey of 646 buyers conducted Aug-Sep 2025. Separate wave from [G1].</w:t>
      </w:r>
    </w:p>
    <w:p>
      <w:pPr>
        <w:spacing w:after="100" w:line="245" w:lineRule="auto"/>
      </w:pPr>
      <w:r>
        <w:rPr>
          <w:rFonts w:ascii="Carlito" w:hAnsi="Carlito"/>
          <w:b/>
          <w:color w:val="17324D"/>
          <w:sz w:val="18"/>
        </w:rPr>
        <w:t xml:space="preserve">[F1] Forrester. </w:t>
      </w:r>
      <w:hyperlink r:id="rId14">
        <w:r>
          <w:rPr>
            <w:color w:val="1B5E8C"/>
            <w:u w:val="single"/>
            <w:rFonts w:ascii="Carlito" w:hAnsi="Carlito"/>
          </w:rPr>
          <w:t>The State Of Business Buying, 2026</w:t>
        </w:r>
      </w:hyperlink>
      <w:r>
        <w:rPr>
          <w:rFonts w:ascii="Carlito" w:hAnsi="Carlito"/>
          <w:color w:val="1E2A35"/>
          <w:sz w:val="18"/>
        </w:rPr>
        <w:t>. 21 January 2026; reports 13 internal stakeholders, nine external influencers and procurement as decision-maker 53% of the time.</w:t>
      </w:r>
    </w:p>
    <w:p>
      <w:pPr>
        <w:spacing w:after="100" w:line="245" w:lineRule="auto"/>
      </w:pPr>
      <w:r>
        <w:rPr>
          <w:rFonts w:ascii="Carlito" w:hAnsi="Carlito"/>
          <w:b/>
          <w:color w:val="17324D"/>
          <w:sz w:val="18"/>
        </w:rPr>
        <w:t xml:space="preserve">[F2] Forrester. </w:t>
      </w:r>
      <w:hyperlink r:id="rId15">
        <w:r>
          <w:rPr>
            <w:color w:val="1B5E8C"/>
            <w:u w:val="single"/>
            <w:rFonts w:ascii="Carlito" w:hAnsi="Carlito"/>
          </w:rPr>
          <w:t>Three Realities About B2B Buying Networks</w:t>
        </w:r>
      </w:hyperlink>
      <w:r>
        <w:rPr>
          <w:rFonts w:ascii="Carlito" w:hAnsi="Carlito"/>
          <w:color w:val="1E2A35"/>
          <w:sz w:val="18"/>
        </w:rPr>
        <w:t>. 23 February 2026; 73% of purchases involve three or more departments.</w:t>
      </w:r>
    </w:p>
    <w:p>
      <w:pPr>
        <w:spacing w:after="100" w:line="245" w:lineRule="auto"/>
      </w:pPr>
      <w:r>
        <w:rPr>
          <w:rFonts w:ascii="Carlito" w:hAnsi="Carlito"/>
          <w:b/>
          <w:color w:val="17324D"/>
          <w:sz w:val="18"/>
        </w:rPr>
        <w:t xml:space="preserve">[F3] Forrester. </w:t>
      </w:r>
      <w:hyperlink r:id="rId16">
        <w:r>
          <w:rPr>
            <w:color w:val="1B5E8C"/>
            <w:u w:val="single"/>
            <w:rFonts w:ascii="Carlito" w:hAnsi="Carlito"/>
          </w:rPr>
          <w:t>Building Preference Is The Key To Winning B2B Buyers</w:t>
        </w:r>
      </w:hyperlink>
      <w:r>
        <w:rPr>
          <w:rFonts w:ascii="Carlito" w:hAnsi="Carlito"/>
          <w:color w:val="1E2A35"/>
          <w:sz w:val="18"/>
        </w:rPr>
        <w:t>. 24 February 2026; Buyers’ Journey Survey 2025: 68% start with a front-runner and the front-runner wins 80% of the time.</w:t>
      </w:r>
    </w:p>
    <w:p>
      <w:pPr>
        <w:spacing w:after="100" w:line="245" w:lineRule="auto"/>
      </w:pPr>
      <w:r>
        <w:rPr>
          <w:rFonts w:ascii="Carlito" w:hAnsi="Carlito"/>
          <w:b/>
          <w:color w:val="17324D"/>
          <w:sz w:val="18"/>
        </w:rPr>
        <w:t xml:space="preserve">[GO1] Gong. </w:t>
      </w:r>
      <w:hyperlink r:id="rId17">
        <w:r>
          <w:rPr>
            <w:color w:val="1B5E8C"/>
            <w:u w:val="single"/>
            <w:rFonts w:ascii="Carlito" w:hAnsi="Carlito"/>
          </w:rPr>
          <w:t>Does cold email even work any more? Here’s what the data says</w:t>
        </w:r>
      </w:hyperlink>
      <w:r>
        <w:rPr>
          <w:rFonts w:ascii="Carlito" w:hAnsi="Carlito"/>
          <w:color w:val="1E2A35"/>
          <w:sz w:val="18"/>
        </w:rPr>
        <w:t>. Published 24 July 2025; updated 2026. Vendor telemetry and methodology caveats apply.</w:t>
      </w:r>
    </w:p>
    <w:p>
      <w:pPr>
        <w:spacing w:after="100" w:line="245" w:lineRule="auto"/>
      </w:pPr>
      <w:r>
        <w:rPr>
          <w:rFonts w:ascii="Carlito" w:hAnsi="Carlito"/>
          <w:b/>
          <w:color w:val="17324D"/>
          <w:sz w:val="18"/>
        </w:rPr>
        <w:t xml:space="preserve">[GO2] Gong. </w:t>
      </w:r>
      <w:hyperlink r:id="rId18">
        <w:r>
          <w:rPr>
            <w:color w:val="1B5E8C"/>
            <w:u w:val="single"/>
            <w:rFonts w:ascii="Carlito" w:hAnsi="Carlito"/>
          </w:rPr>
          <w:t>Surprising cold email CTA that increases meeting bookings</w:t>
        </w:r>
      </w:hyperlink>
      <w:r>
        <w:rPr>
          <w:rFonts w:ascii="Carlito" w:hAnsi="Carlito"/>
          <w:color w:val="1E2A35"/>
          <w:sz w:val="18"/>
        </w:rPr>
        <w:t>. Analysis of 304,174 emails and meetings booked within 10 days.</w:t>
      </w:r>
    </w:p>
    <w:p>
      <w:pPr>
        <w:spacing w:after="100" w:line="245" w:lineRule="auto"/>
      </w:pPr>
      <w:r>
        <w:rPr>
          <w:rFonts w:ascii="Carlito" w:hAnsi="Carlito"/>
          <w:b/>
          <w:color w:val="17324D"/>
          <w:sz w:val="18"/>
        </w:rPr>
        <w:t xml:space="preserve">[GO3] Gong. </w:t>
      </w:r>
      <w:hyperlink r:id="rId19">
        <w:r>
          <w:rPr>
            <w:color w:val="1B5E8C"/>
            <w:u w:val="single"/>
            <w:rFonts w:ascii="Carlito" w:hAnsi="Carlito"/>
          </w:rPr>
          <w:t>Should you leave voicemails when cold calling?</w:t>
        </w:r>
      </w:hyperlink>
      <w:r>
        <w:rPr>
          <w:rFonts w:ascii="Carlito" w:hAnsi="Carlito"/>
          <w:color w:val="1E2A35"/>
          <w:sz w:val="18"/>
        </w:rPr>
        <w:t>. 300M-call dataset; one or two voicemails increased email replies; three or more underperformed no voicemail.</w:t>
      </w:r>
    </w:p>
    <w:p>
      <w:pPr>
        <w:spacing w:after="100" w:line="245" w:lineRule="auto"/>
      </w:pPr>
      <w:r>
        <w:rPr>
          <w:rFonts w:ascii="Carlito" w:hAnsi="Carlito"/>
          <w:b/>
          <w:color w:val="17324D"/>
          <w:sz w:val="18"/>
        </w:rPr>
        <w:t xml:space="preserve">[GO4] Gong. </w:t>
      </w:r>
      <w:hyperlink r:id="rId20">
        <w:r>
          <w:rPr>
            <w:color w:val="1B5E8C"/>
            <w:u w:val="single"/>
            <w:rFonts w:ascii="Carlito" w:hAnsi="Carlito"/>
          </w:rPr>
          <w:t>Do execs really reply to cold email?</w:t>
        </w:r>
      </w:hyperlink>
      <w:r>
        <w:rPr>
          <w:rFonts w:ascii="Carlito" w:hAnsi="Carlito"/>
          <w:color w:val="1E2A35"/>
          <w:sz w:val="18"/>
        </w:rPr>
        <w:t>. Published 29 January 2026; executive email length, subject-line and CTA guidance.</w:t>
      </w:r>
    </w:p>
    <w:p>
      <w:pPr>
        <w:spacing w:after="100" w:line="245" w:lineRule="auto"/>
      </w:pPr>
      <w:r>
        <w:rPr>
          <w:rFonts w:ascii="Carlito" w:hAnsi="Carlito"/>
          <w:b/>
          <w:color w:val="17324D"/>
          <w:sz w:val="18"/>
        </w:rPr>
        <w:t xml:space="preserve">[GO5] Gong. </w:t>
      </w:r>
      <w:hyperlink r:id="rId21">
        <w:r>
          <w:rPr>
            <w:color w:val="1B5E8C"/>
            <w:u w:val="single"/>
            <w:rFonts w:ascii="Carlito" w:hAnsi="Carlito"/>
          </w:rPr>
          <w:t>Evolve the cold call: data-driven techniques</w:t>
        </w:r>
      </w:hyperlink>
      <w:r>
        <w:rPr>
          <w:rFonts w:ascii="Carlito" w:hAnsi="Carlito"/>
          <w:color w:val="1E2A35"/>
          <w:sz w:val="18"/>
        </w:rPr>
        <w:t>. Cold-call opener and reason-for-call analysis; observational vendor dataset.</w:t>
      </w:r>
    </w:p>
    <w:p>
      <w:pPr>
        <w:spacing w:after="100" w:line="245" w:lineRule="auto"/>
      </w:pPr>
      <w:r>
        <w:rPr>
          <w:rFonts w:ascii="Carlito" w:hAnsi="Carlito"/>
          <w:b/>
          <w:color w:val="17324D"/>
          <w:sz w:val="18"/>
        </w:rPr>
        <w:t xml:space="preserve">[Y1] Yesware. </w:t>
      </w:r>
      <w:hyperlink r:id="rId22">
        <w:r>
          <w:rPr>
            <w:color w:val="1B5E8C"/>
            <w:u w:val="single"/>
            <w:rFonts w:ascii="Carlito" w:hAnsi="Carlito"/>
          </w:rPr>
          <w:t>Email Outreach Guide</w:t>
        </w:r>
      </w:hyperlink>
      <w:r>
        <w:rPr>
          <w:rFonts w:ascii="Carlito" w:hAnsi="Carlito"/>
          <w:color w:val="1E2A35"/>
          <w:sz w:val="18"/>
        </w:rPr>
        <w:t>. Analysis of ten million email threads; six touches over roughly three weeks with three-to-four-day spacing.</w:t>
      </w:r>
    </w:p>
    <w:p>
      <w:pPr>
        <w:spacing w:after="100" w:line="245" w:lineRule="auto"/>
      </w:pPr>
      <w:r>
        <w:rPr>
          <w:rFonts w:ascii="Carlito" w:hAnsi="Carlito"/>
          <w:b/>
          <w:color w:val="17324D"/>
          <w:sz w:val="18"/>
        </w:rPr>
        <w:t xml:space="preserve">[X1] InsideSales/XANT. </w:t>
      </w:r>
      <w:hyperlink r:id="rId23">
        <w:r>
          <w:rPr>
            <w:color w:val="1B5E8C"/>
            <w:u w:val="single"/>
            <w:rFonts w:ascii="Carlito" w:hAnsi="Carlito"/>
          </w:rPr>
          <w:t>Four Laws to Build a Sales Cadence</w:t>
        </w:r>
      </w:hyperlink>
      <w:r>
        <w:rPr>
          <w:rFonts w:ascii="Carlito" w:hAnsi="Carlito"/>
          <w:color w:val="1E2A35"/>
          <w:sz w:val="18"/>
        </w:rPr>
        <w:t>. Older research using approximately one million data points; reports optimum around seven attempts and decline after seven.</w:t>
      </w:r>
    </w:p>
    <w:p>
      <w:pPr>
        <w:spacing w:after="100" w:line="245" w:lineRule="auto"/>
      </w:pPr>
      <w:r>
        <w:rPr>
          <w:rFonts w:ascii="Carlito" w:hAnsi="Carlito"/>
          <w:b/>
          <w:color w:val="17324D"/>
          <w:sz w:val="18"/>
        </w:rPr>
        <w:t xml:space="preserve">[C1] Cognism. </w:t>
      </w:r>
      <w:hyperlink r:id="rId24">
        <w:r>
          <w:rPr>
            <w:color w:val="1B5E8C"/>
            <w:u w:val="single"/>
            <w:rFonts w:ascii="Carlito" w:hAnsi="Carlito"/>
          </w:rPr>
          <w:t>The State of Cold Calling in 2025</w:t>
        </w:r>
      </w:hyperlink>
      <w:r>
        <w:rPr>
          <w:rFonts w:ascii="Carlito" w:hAnsi="Carlito"/>
          <w:color w:val="1E2A35"/>
          <w:sz w:val="18"/>
        </w:rPr>
        <w:t>. Internal dataset; 93% of conversations by Call 3 and 98.6% by Call 5.</w:t>
      </w:r>
    </w:p>
    <w:p>
      <w:pPr>
        <w:spacing w:after="100" w:line="245" w:lineRule="auto"/>
      </w:pPr>
      <w:r>
        <w:rPr>
          <w:rFonts w:ascii="Carlito" w:hAnsi="Carlito"/>
          <w:b/>
          <w:color w:val="17324D"/>
          <w:sz w:val="18"/>
        </w:rPr>
        <w:t xml:space="preserve">[L1] LinkedIn. </w:t>
      </w:r>
      <w:hyperlink r:id="rId25">
        <w:r>
          <w:rPr>
            <w:color w:val="1B5E8C"/>
            <w:u w:val="single"/>
            <w:rFonts w:ascii="Carlito" w:hAnsi="Carlito"/>
          </w:rPr>
          <w:t>The Data That Reveals How to Win in Sales Right Now</w:t>
        </w:r>
      </w:hyperlink>
      <w:r>
        <w:rPr>
          <w:rFonts w:ascii="Carlito" w:hAnsi="Carlito"/>
          <w:color w:val="1E2A35"/>
          <w:sz w:val="18"/>
        </w:rPr>
        <w:t>. Buyer behaviour: profile, content and mutual-connection checks. Do not use as a channel reply-rate benchmark.</w:t>
      </w:r>
    </w:p>
    <w:p>
      <w:pPr>
        <w:spacing w:after="100" w:line="245" w:lineRule="auto"/>
      </w:pPr>
      <w:r>
        <w:rPr>
          <w:rFonts w:ascii="Carlito" w:hAnsi="Carlito"/>
          <w:b/>
          <w:color w:val="17324D"/>
          <w:sz w:val="18"/>
        </w:rPr>
        <w:t xml:space="preserve">[S1] Swedish Authority for Privacy Protection (IMY). </w:t>
      </w:r>
      <w:hyperlink r:id="rId26">
        <w:r>
          <w:rPr>
            <w:color w:val="1B5E8C"/>
            <w:u w:val="single"/>
            <w:rFonts w:ascii="Carlito" w:hAnsi="Carlito"/>
          </w:rPr>
          <w:t>Lawful grounds for personal data processing</w:t>
        </w:r>
      </w:hyperlink>
      <w:r>
        <w:rPr>
          <w:rFonts w:ascii="Carlito" w:hAnsi="Carlito"/>
          <w:color w:val="1E2A35"/>
          <w:sz w:val="18"/>
        </w:rPr>
        <w:t>. General GDPR lawful-basis guidance; internal legal approval still required for outbound execution.</w:t>
      </w:r>
    </w:p>
    <w:p>
      <w:pPr>
        <w:spacing w:after="100" w:line="245" w:lineRule="auto"/>
      </w:pPr>
      <w:r>
        <w:rPr>
          <w:rFonts w:ascii="Carlito" w:hAnsi="Carlito"/>
          <w:b/>
          <w:color w:val="17324D"/>
          <w:sz w:val="18"/>
        </w:rPr>
        <w:t xml:space="preserve">[S2] Swedish Authority for Privacy Protection (IMY). </w:t>
      </w:r>
      <w:hyperlink r:id="rId27">
        <w:r>
          <w:rPr>
            <w:color w:val="1B5E8C"/>
            <w:u w:val="single"/>
            <w:rFonts w:ascii="Carlito" w:hAnsi="Carlito"/>
          </w:rPr>
          <w:t>The data subject’s rights</w:t>
        </w:r>
      </w:hyperlink>
      <w:r>
        <w:rPr>
          <w:rFonts w:ascii="Carlito" w:hAnsi="Carlito"/>
          <w:color w:val="1E2A35"/>
          <w:sz w:val="18"/>
        </w:rPr>
        <w:t>. States that individuals always have the right to object to direct marketing.</w:t>
      </w:r>
    </w:p>
    <w:p>
      <w:pPr>
        <w:pStyle w:val="Heading2"/>
        <w:spacing w:before="140" w:after="100"/>
        <w:keepNext/>
      </w:pPr>
      <w:r>
        <w:t>Source interpretation rules</w:t>
      </w:r>
    </w:p>
    <w:p>
      <w:pPr>
        <w:pStyle w:val="ListBullet"/>
        <w:spacing w:after="40" w:line="247" w:lineRule="auto"/>
      </w:pPr>
      <w:r>
        <w:rPr>
          <w:rFonts w:ascii="Carlito" w:hAnsi="Carlito"/>
          <w:sz w:val="20"/>
        </w:rPr>
        <w:t>Do not merge separate survey waves under one statistic or citation.</w:t>
      </w:r>
    </w:p>
    <w:p>
      <w:pPr>
        <w:pStyle w:val="ListBullet"/>
        <w:spacing w:after="40" w:line="247" w:lineRule="auto"/>
      </w:pPr>
      <w:r>
        <w:rPr>
          <w:rFonts w:ascii="Carlito" w:hAnsi="Carlito"/>
          <w:sz w:val="20"/>
        </w:rPr>
        <w:t>Do not present product homepages as independent research evidence.</w:t>
      </w:r>
    </w:p>
    <w:p>
      <w:pPr>
        <w:pStyle w:val="ListBullet"/>
        <w:spacing w:after="40" w:line="247" w:lineRule="auto"/>
      </w:pPr>
      <w:r>
        <w:rPr>
          <w:rFonts w:ascii="Carlito" w:hAnsi="Carlito"/>
          <w:sz w:val="20"/>
        </w:rPr>
        <w:t>Treat vendor telemetry as observational, not causal or universally transferable.</w:t>
      </w:r>
    </w:p>
    <w:p>
      <w:pPr>
        <w:pStyle w:val="ListBullet"/>
        <w:spacing w:after="40" w:line="247" w:lineRule="auto"/>
      </w:pPr>
      <w:r>
        <w:rPr>
          <w:rFonts w:ascii="Carlito" w:hAnsi="Carlito"/>
          <w:sz w:val="20"/>
        </w:rPr>
        <w:t>Label internal cadence timings and scoring overlays as hypotheses until local data validates them.</w:t>
      </w:r>
    </w:p>
    <w:p>
      <w:pPr>
        <w:pStyle w:val="ListBullet"/>
        <w:spacing w:after="40" w:line="247" w:lineRule="auto"/>
      </w:pPr>
      <w:r>
        <w:rPr>
          <w:rFonts w:ascii="Carlito" w:hAnsi="Carlito"/>
          <w:sz w:val="20"/>
        </w:rPr>
        <w:t>Prefer primary sources and include the exact source behind every numerical claim.</w:t>
      </w:r>
    </w:p>
    <w:p>
      <w:pPr>
        <w:pStyle w:val="Heading1"/>
        <w:spacing w:before="200" w:after="100"/>
        <w:keepNext/>
      </w:pPr>
      <w:r>
        <w:t>Appendix B. Open hypotheses and decision log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Question</w:t>
            </w:r>
          </w:p>
        </w:tc>
        <w:tc>
          <w:tcPr>
            <w:tcW w:type="dxa" w:w="4968"/>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Hypothesis</w:t>
            </w:r>
          </w:p>
        </w:tc>
        <w:tc>
          <w:tcPr>
            <w:tcW w:type="dxa" w:w="3024"/>
            <w:vAlign w:val="center"/>
            <w:tcMar>
              <w:top w:w="80" w:type="dxa"/>
              <w:start w:w="100" w:type="dxa"/>
              <w:bottom w:w="80" w:type="dxa"/>
              <w:end w:w="100" w:type="dxa"/>
            </w:tcMar>
            <w:shd w:fill="17324D"/>
          </w:tcPr>
          <w:p>
            <w:pPr>
              <w:spacing w:after="0" w:before="0" w:line="240" w:lineRule="auto"/>
              <w:jc w:val="left"/>
            </w:pPr>
            <w:r/>
            <w:r>
              <w:rPr>
                <w:rFonts w:ascii="Carlito" w:hAnsi="Carlito"/>
                <w:b/>
                <w:color w:val="FFFFFF"/>
                <w:sz w:val="17"/>
              </w:rPr>
              <w:t>Current decision</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Phone order</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Does Day-1 calling outperform call-after-exposure once Swedish and Finnish local numbers are active?</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Open; A/B test by country/persona.</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Language</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Where does Swedish materially improve outcomes over English?</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Open; test on comparable Swedish accounts.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Engineering cadence</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Do SRE/platform leaders require fewer, slower and more technical touches?</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Open; compare FireHydrant outcomes.</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Multithreading</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Does staggered outreach improve learning and reduce account fatigue versus parallel outreach?</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Open; default staggered.</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LinkedIn connection note</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Does a concise contextual note improve acceptance and meetings?</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Open; instrument locally.</w:t>
            </w:r>
          </w:p>
        </w:tc>
      </w:tr>
      <w:tr>
        <w:trPr>
          <w:cantSplit/>
        </w:trPr>
        <w:tc>
          <w:tcPr>
            <w:tcW w:type="dxa" w:w="208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Close-loop message</w:t>
            </w:r>
          </w:p>
        </w:tc>
        <w:tc>
          <w:tcPr>
            <w:tcW w:type="dxa" w:w="4968"/>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Does classification copy improve useful replies/referrals or merely generate low-intent responses?</w:t>
            </w:r>
          </w:p>
        </w:tc>
        <w:tc>
          <w:tcPr>
            <w:tcW w:type="dxa" w:w="3024"/>
            <w:vAlign w:val="center"/>
            <w:tcMar>
              <w:top w:w="80" w:type="dxa"/>
              <w:start w:w="100" w:type="dxa"/>
              <w:bottom w:w="80" w:type="dxa"/>
              <w:end w:w="100" w:type="dxa"/>
            </w:tcMar>
            <w:shd w:fill="F8FAFB"/>
          </w:tcPr>
          <w:p>
            <w:pPr>
              <w:spacing w:after="0" w:before="0" w:line="240" w:lineRule="auto"/>
              <w:jc w:val="left"/>
            </w:pPr>
            <w:r/>
            <w:r>
              <w:rPr>
                <w:rFonts w:ascii="Carlito" w:hAnsi="Carlito"/>
                <w:b w:val="0"/>
                <w:color w:val="1E2A35"/>
                <w:sz w:val="17"/>
              </w:rPr>
              <w:t>Open; measure meetings and referrals.</w:t>
            </w:r>
          </w:p>
        </w:tc>
      </w:tr>
      <w:tr>
        <w:trPr>
          <w:cantSplit/>
        </w:trPr>
        <w:tc>
          <w:tcPr>
            <w:tcW w:type="dxa" w:w="208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Cadence length</w:t>
            </w:r>
          </w:p>
        </w:tc>
        <w:tc>
          <w:tcPr>
            <w:tcW w:type="dxa" w:w="4968"/>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Is seven the best centre for this finite Nordic territory?</w:t>
            </w:r>
          </w:p>
        </w:tc>
        <w:tc>
          <w:tcPr>
            <w:tcW w:type="dxa" w:w="3024"/>
            <w:vAlign w:val="center"/>
            <w:tcMar>
              <w:top w:w="80" w:type="dxa"/>
              <w:start w:w="100" w:type="dxa"/>
              <w:bottom w:w="80" w:type="dxa"/>
              <w:end w:w="100" w:type="dxa"/>
            </w:tcMar>
            <w:shd w:fill="FFFFFF"/>
          </w:tcPr>
          <w:p>
            <w:pPr>
              <w:spacing w:after="0" w:before="0" w:line="240" w:lineRule="auto"/>
              <w:jc w:val="left"/>
            </w:pPr>
            <w:r/>
            <w:r>
              <w:rPr>
                <w:rFonts w:ascii="Carlito" w:hAnsi="Carlito"/>
                <w:b w:val="0"/>
                <w:color w:val="1E2A35"/>
                <w:sz w:val="17"/>
              </w:rPr>
              <w:t>Working default; recalibrate from account-level outcomes.</w:t>
            </w:r>
          </w:p>
        </w:tc>
      </w:tr>
    </w:tbl>
    <w:p>
      <w:pPr>
        <w:spacing w:after="0"/>
      </w:pPr>
    </w:p>
    <w:p>
      <w:pPr>
        <w:pStyle w:val="Heading2"/>
        <w:spacing w:before="140" w:after="100"/>
        <w:keepNext/>
      </w:pPr>
      <w:r>
        <w:t>Version 1.0 decisions locked</w:t>
      </w:r>
    </w:p>
    <w:p>
      <w:pPr>
        <w:pStyle w:val="ListBullet"/>
        <w:spacing w:after="40" w:line="247" w:lineRule="auto"/>
      </w:pPr>
      <w:r>
        <w:rPr>
          <w:rFonts w:ascii="Carlito" w:hAnsi="Carlito"/>
          <w:sz w:val="20"/>
        </w:rPr>
        <w:t>Official outbound territory: Sweden and Finland.</w:t>
      </w:r>
    </w:p>
    <w:p>
      <w:pPr>
        <w:pStyle w:val="ListBullet"/>
        <w:spacing w:after="40" w:line="247" w:lineRule="auto"/>
      </w:pPr>
      <w:r>
        <w:rPr>
          <w:rFonts w:ascii="Carlito" w:hAnsi="Carlito"/>
          <w:sz w:val="20"/>
        </w:rPr>
        <w:t>Temporary outbound coverage: Norway and Denmark.</w:t>
      </w:r>
    </w:p>
    <w:p>
      <w:pPr>
        <w:pStyle w:val="ListBullet"/>
        <w:spacing w:after="40" w:line="247" w:lineRule="auto"/>
      </w:pPr>
      <w:r>
        <w:rPr>
          <w:rFonts w:ascii="Carlito" w:hAnsi="Carlito"/>
          <w:sz w:val="20"/>
        </w:rPr>
        <w:t>Netherlands: inbound-only and excluded from outbound discovery.</w:t>
      </w:r>
    </w:p>
    <w:p>
      <w:pPr>
        <w:pStyle w:val="ListBullet"/>
        <w:spacing w:after="40" w:line="247" w:lineRule="auto"/>
      </w:pPr>
      <w:r>
        <w:rPr>
          <w:rFonts w:ascii="Carlito" w:hAnsi="Carlito"/>
          <w:sz w:val="20"/>
        </w:rPr>
        <w:t>Human approval required before every outbound action.</w:t>
      </w:r>
    </w:p>
    <w:p>
      <w:pPr>
        <w:pStyle w:val="ListBullet"/>
        <w:spacing w:after="40" w:line="247" w:lineRule="auto"/>
      </w:pPr>
      <w:r>
        <w:rPr>
          <w:rFonts w:ascii="Carlito" w:hAnsi="Carlito"/>
          <w:sz w:val="20"/>
        </w:rPr>
        <w:t>Existing P1/P2/P3 model remains primary; add freshness, convergence, negative evidence and sequence history.</w:t>
      </w:r>
    </w:p>
    <w:p>
      <w:pPr>
        <w:pStyle w:val="ListBullet"/>
        <w:spacing w:after="40" w:line="247" w:lineRule="auto"/>
      </w:pPr>
      <w:r>
        <w:rPr>
          <w:rFonts w:ascii="Carlito" w:hAnsi="Carlito"/>
          <w:sz w:val="20"/>
        </w:rPr>
        <w:t>One shared account problem narrative with role-specific evidence and questions.</w:t>
      </w:r>
    </w:p>
    <w:p>
      <w:pPr>
        <w:pStyle w:val="ListBullet"/>
        <w:spacing w:after="40" w:line="247" w:lineRule="auto"/>
      </w:pPr>
      <w:r>
        <w:rPr>
          <w:rFonts w:ascii="Carlito" w:hAnsi="Carlito"/>
          <w:sz w:val="20"/>
        </w:rPr>
        <w:t>Approximately seven meaningful touches as centre; fewer for Tier C, up to nine for Tier A.</w:t>
      </w:r>
    </w:p>
    <w:p>
      <w:pPr>
        <w:pStyle w:val="ListBullet"/>
        <w:spacing w:after="40" w:line="247" w:lineRule="auto"/>
      </w:pPr>
      <w:r>
        <w:rPr>
          <w:rFonts w:ascii="Carlito" w:hAnsi="Carlito"/>
          <w:sz w:val="20"/>
        </w:rPr>
        <w:t>Day-1 call is conditional while local numbers are unavailable and permitted for high-signal Tier A after local numbers are active.</w:t>
      </w:r>
    </w:p>
    <w:p>
      <w:pPr>
        <w:pStyle w:val="ListBullet"/>
        <w:spacing w:after="40" w:line="247" w:lineRule="auto"/>
      </w:pPr>
      <w:r>
        <w:rPr>
          <w:rFonts w:ascii="Carlito" w:hAnsi="Carlito"/>
          <w:sz w:val="20"/>
        </w:rPr>
        <w:t>ChatGPT Work/web-first prototype; Codex later for integrations, state and approval workflow.</w:t>
      </w:r>
    </w:p>
    <w:tbl>
      <w:tblPr>
        <w:tblW w:type="auto" w:w="0"/>
        <w:jc w:val="center"/>
        <w:tblLayout w:type="autofit"/>
        <w:tblLook w:firstColumn="1" w:firstRow="1" w:lastColumn="0" w:lastRow="0" w:noHBand="0" w:noVBand="1" w:val="04A0"/>
      </w:tblPr>
      <w:tblGrid>
        <w:gridCol w:w="9835"/>
      </w:tblGrid>
      <w:tr>
        <w:trPr>
          <w:cantSplit/>
        </w:trPr>
        <w:tc>
          <w:tcPr>
            <w:tcW w:type="dxa" w:w="9835"/>
            <w:shd w:fill="FFF5D9"/>
            <w:tcMar>
              <w:top w:w="130" w:type="dxa"/>
              <w:start w:w="150" w:type="dxa"/>
              <w:bottom w:w="130" w:type="dxa"/>
              <w:end w:w="150" w:type="dxa"/>
            </w:tcMar>
            <w:tcBorders>
              <w:top w:val="single" w:sz="8" w:space="0" w:color="B87900"/>
              <w:left w:val="single" w:sz="8" w:space="0" w:color="B87900"/>
              <w:bottom w:val="single" w:sz="8" w:space="0" w:color="B87900"/>
              <w:right w:val="single" w:sz="8" w:space="0" w:color="B87900"/>
            </w:tcBorders>
          </w:tcPr>
          <w:p>
            <w:pPr>
              <w:spacing w:after="80"/>
            </w:pPr>
            <w:r>
              <w:rPr>
                <w:rFonts w:ascii="Carlito" w:hAnsi="Carlito"/>
                <w:b/>
                <w:color w:val="B87900"/>
                <w:sz w:val="22"/>
              </w:rPr>
              <w:t>Document status</w:t>
            </w:r>
          </w:p>
          <w:p>
            <w:pPr>
              <w:spacing w:after="0" w:line="259" w:lineRule="auto"/>
            </w:pPr>
            <w:r>
              <w:rPr>
                <w:rFonts w:ascii="Carlito" w:hAnsi="Carlito"/>
                <w:color w:val="1E2A35"/>
                <w:sz w:val="20"/>
              </w:rPr>
              <w:t>This is a working operating playbook. It should be updated after the first meaningful sample of Nordic sequence outcomes, after local phone numbers are activated, when temporary territory coverage changes, and whenever Freshworks compliance or product positioning guidance changes.</w:t>
            </w:r>
          </w:p>
        </w:tc>
      </w:tr>
    </w:tbl>
    <w:p>
      <w:pPr>
        <w:spacing w:after="0"/>
      </w:pPr>
    </w:p>
    <w:sectPr w:rsidR="00FC693F" w:rsidRPr="0006063C" w:rsidSect="00034616">
      <w:headerReference w:type="default" r:id="rId9"/>
      <w:footerReference w:type="default" r:id="rId10"/>
      <w:pgSz w:w="11909" w:h="16834"/>
      <w:pgMar w:top="979"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96"/>
      <w:gridCol w:w="4896"/>
    </w:tblGrid>
    <w:tr>
      <w:tc>
        <w:tcPr>
          <w:tcW w:type="dxa" w:w="8352"/>
          <w:vAlign w:val="center"/>
          <w:tcMar>
            <w:top w:w="0" w:type="dxa"/>
            <w:start w:w="0" w:type="dxa"/>
            <w:bottom w:w="0" w:type="dxa"/>
            <w:end w:w="0" w:type="dxa"/>
          </w:tcMar>
        </w:tcPr>
        <w:p>
          <w:pPr>
            <w:spacing w:after="0" w:before="0" w:line="240" w:lineRule="auto"/>
            <w:jc w:val="left"/>
          </w:pPr>
          <w:r/>
          <w:r>
            <w:rPr>
              <w:rFonts w:ascii="Carlito" w:hAnsi="Carlito"/>
              <w:b w:val="0"/>
              <w:color w:val="6B7785"/>
              <w:sz w:val="15"/>
            </w:rPr>
            <w:t>Working playbook | Human approval required before every outbound action</w:t>
          </w:r>
        </w:p>
      </w:tc>
      <w:tc>
        <w:tcPr>
          <w:tcW w:type="dxa" w:w="1440"/>
          <w:tcMar>
            <w:top w:w="0" w:type="dxa"/>
            <w:start w:w="0" w:type="dxa"/>
            <w:bottom w:w="0" w:type="dxa"/>
            <w:end w:w="0" w:type="dxa"/>
          </w:tcMar>
        </w:tcPr>
        <w:p>
          <w:pPr>
            <w:jc w:val="right"/>
          </w:pPr>
          <w:r>
            <w:rPr>
              <w:rFonts w:ascii="Carlito" w:hAnsi="Carlito"/>
              <w:color w:val="6B778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B7F7A"/>
        <w:sz w:val="16"/>
      </w:rPr>
      <w:t>NORDIC B2B SAAS OUTBOUND PROSPECTING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E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rlito" w:hAnsi="Carlito"/>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1B7F7A"/>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rlito" w:hAnsi="Carlito"/>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rlito" w:hAnsi="Carlito"/>
      <w:b/>
      <w:i/>
      <w:iCs/>
      <w:color w:val="1B7F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Carlito" w:hAnsi="Carlito"/>
      <w:color w:val="6B77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rtner.com/en/newsroom/press-releases/2025-06-25-gartner-sales-survey-finds-61-percent-of-b2b-buyers-prefer-a-rep-free-buying-experience" TargetMode="External"/><Relationship Id="rId12" Type="http://schemas.openxmlformats.org/officeDocument/2006/relationships/hyperlink" Target="https://www.gartner.com/en/newsroom/press-releases/2025-05-07-gartner-sales-survey-finds-74-percent-of-b2b-buyer-teams-demonstrate-unhealthy-conflict-during-the-decision-process" TargetMode="External"/><Relationship Id="rId13" Type="http://schemas.openxmlformats.org/officeDocument/2006/relationships/hyperlink" Target="https://www.gartner.com/en/newsroom/press-releases/2026-03-09-gartner-sales-survey-finds-67-percent-of-b2b-buyers-prefer-a-rep-free-experience" TargetMode="External"/><Relationship Id="rId14" Type="http://schemas.openxmlformats.org/officeDocument/2006/relationships/hyperlink" Target="https://www.forrester.com/press-newsroom/forrester-2026-the-state-of-business-buying/" TargetMode="External"/><Relationship Id="rId15" Type="http://schemas.openxmlformats.org/officeDocument/2006/relationships/hyperlink" Target="https://www.forrester.com/blogs/three-realities-about-b2b-buying-networks/" TargetMode="External"/><Relationship Id="rId16" Type="http://schemas.openxmlformats.org/officeDocument/2006/relationships/hyperlink" Target="https://www.forrester.com/blogs/building-preference-is-the-key-to-winning-b2b-buyers/" TargetMode="External"/><Relationship Id="rId17" Type="http://schemas.openxmlformats.org/officeDocument/2006/relationships/hyperlink" Target="https://www.gong.io/blog/does-cold-email-even-work-any-more-heres-what-the-data-says" TargetMode="External"/><Relationship Id="rId18" Type="http://schemas.openxmlformats.org/officeDocument/2006/relationships/hyperlink" Target="https://www.gong.io/blog/this-surprising-cold-email-cta-will-help-you-book-a-lot-more-meetings" TargetMode="External"/><Relationship Id="rId19" Type="http://schemas.openxmlformats.org/officeDocument/2006/relationships/hyperlink" Target="https://www.gong.io/blog/should-you-leave-voicemails-when-cold-calling-heres-what-the-data-says" TargetMode="External"/><Relationship Id="rId20" Type="http://schemas.openxmlformats.org/officeDocument/2006/relationships/hyperlink" Target="https://www.gong.io/blog/do-execs-really-reply-to-cold-email-here-s-what-the-data-says" TargetMode="External"/><Relationship Id="rId21" Type="http://schemas.openxmlformats.org/officeDocument/2006/relationships/hyperlink" Target="https://www.gong.io/blog/cold-call-stats" TargetMode="External"/><Relationship Id="rId22" Type="http://schemas.openxmlformats.org/officeDocument/2006/relationships/hyperlink" Target="https://www.yesware.com/blog/email-outreach/" TargetMode="External"/><Relationship Id="rId23" Type="http://schemas.openxmlformats.org/officeDocument/2006/relationships/hyperlink" Target="https://resources.insidesales.com/blog/sales-cadence-build/" TargetMode="External"/><Relationship Id="rId24" Type="http://schemas.openxmlformats.org/officeDocument/2006/relationships/hyperlink" Target="https://www.cognism.com/cold-calling-report-2025" TargetMode="External"/><Relationship Id="rId25" Type="http://schemas.openxmlformats.org/officeDocument/2006/relationships/hyperlink" Target="https://www.linkedin.com/business/sales/blog/modern-selling/the-data-behind-how-to-win-in-sales-today-five-key-takeaways" TargetMode="External"/><Relationship Id="rId26" Type="http://schemas.openxmlformats.org/officeDocument/2006/relationships/hyperlink" Target="https://www.imy.se/en/organisations/data-protection/this-applies-accordning-to-gdpr/lawful-grounds-for-personal-data-processing/" TargetMode="External"/><Relationship Id="rId27" Type="http://schemas.openxmlformats.org/officeDocument/2006/relationships/hyperlink" Target="https://www.imy.se/en/organisations/data-protection/this-applies-accordning-to-gdpr/the-data-subjects-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Nordic B2B SaaS Outbound Prospecting Playbook</dc:title>
  <dc:subject>Evidence-informed outbound prospecting for Freshservice, Device42 and FireHydrant</dc:subject>
  <dc:creator>Moe Salimi Tari / OpenAI</dc:creator>
  <cp:keywords>B2B SaaS, outbound, prospecting, Nordics, Freshservice, Device42, FireHydrant, cadence, sales</cp:keywords>
  <dc:description>Version 1.0 - Human-approved outbound operating playbook</dc:description>
  <cp:lastModifiedBy/>
  <cp:revision>1</cp:revision>
  <dcterms:created xsi:type="dcterms:W3CDTF">2013-12-23T23:15:00Z</dcterms:created>
  <dcterms:modified xsi:type="dcterms:W3CDTF">2013-12-23T23:15:00Z</dcterms:modified>
  <cp:category/>
</cp:coreProperties>
</file>