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9ii4vfx9g3j" w:id="0"/>
      <w:bookmarkEnd w:id="0"/>
      <w:r w:rsidDel="00000000" w:rsidR="00000000" w:rsidRPr="00000000">
        <w:rPr>
          <w:rtl w:val="0"/>
        </w:rPr>
        <w:t xml:space="preserve">Nordic Outbound Playbook — Freshworks (Sweden, Finland, Iceland +temp Denmark/Norway)</w:t>
      </w:r>
    </w:p>
    <w:p w:rsidR="00000000" w:rsidDel="00000000" w:rsidP="00000000" w:rsidRDefault="00000000" w:rsidRPr="00000000" w14:paraId="00000002">
      <w:pPr>
        <w:rPr/>
      </w:pPr>
      <w:r w:rsidDel="00000000" w:rsidR="00000000" w:rsidRPr="00000000">
        <w:rPr>
          <w:b w:val="1"/>
          <w:bCs w:val="1"/>
          <w:rtl w:val="0"/>
        </w:rPr>
        <w:t xml:space="preserve">Owner:</w:t>
      </w:r>
      <w:r w:rsidDel="00000000" w:rsidR="00000000" w:rsidRPr="00000000">
        <w:rPr>
          <w:rtl w:val="0"/>
        </w:rPr>
        <w:t xml:space="preserve"> Moe (Mohsen Salimi Tari), Lead Account Executive </w:t>
      </w:r>
      <w:r w:rsidDel="00000000" w:rsidR="00000000" w:rsidRPr="00000000">
        <w:rPr>
          <w:b w:val="1"/>
          <w:bCs w:val="1"/>
          <w:rtl w:val="0"/>
        </w:rPr>
        <w:t xml:space="preserve">Scope:</w:t>
      </w:r>
      <w:r w:rsidDel="00000000" w:rsidR="00000000" w:rsidRPr="00000000">
        <w:rPr>
          <w:rFonts w:ascii="Arial Unicode MS" w:cs="Arial Unicode MS" w:eastAsia="Arial Unicode MS" w:hAnsi="Arial Unicode MS"/>
          <w:rtl w:val="0"/>
        </w:rPr>
        <w:t xml:space="preserve"> Top-of-funnel outbound prospecting → booked first meeting. Nothing past that line. </w:t>
      </w:r>
      <w:r w:rsidDel="00000000" w:rsidR="00000000" w:rsidRPr="00000000">
        <w:rPr>
          <w:b w:val="1"/>
          <w:bCs w:val="1"/>
          <w:rtl w:val="0"/>
        </w:rPr>
        <w:t xml:space="preserve">Purpose of this file:</w:t>
      </w:r>
      <w:r w:rsidDel="00000000" w:rsidR="00000000" w:rsidRPr="00000000">
        <w:rPr>
          <w:rtl w:val="0"/>
        </w:rPr>
        <w:t xml:space="preserve"> Guidance for building outbound sequences (in Claude Code / Outreach). It is a </w:t>
      </w:r>
      <w:r w:rsidDel="00000000" w:rsidR="00000000" w:rsidRPr="00000000">
        <w:rPr>
          <w:i w:val="1"/>
          <w:iCs w:val="1"/>
          <w:rtl w:val="0"/>
        </w:rPr>
        <w:t xml:space="preserve">spec</w:t>
      </w:r>
      <w:r w:rsidDel="00000000" w:rsidR="00000000" w:rsidRPr="00000000">
        <w:rPr>
          <w:rtl w:val="0"/>
        </w:rPr>
        <w:t xml:space="preserve">, not a set of finished sequences.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urwkn6ps4uc9" w:id="1"/>
      <w:bookmarkEnd w:id="1"/>
      <w:r w:rsidDel="00000000" w:rsidR="00000000" w:rsidRPr="00000000">
        <w:rPr>
          <w:rtl w:val="0"/>
        </w:rPr>
        <w:t xml:space="preserve">0. How to use this document</w:t>
      </w:r>
    </w:p>
    <w:p w:rsidR="00000000" w:rsidDel="00000000" w:rsidP="00000000" w:rsidRDefault="00000000" w:rsidRPr="00000000" w14:paraId="00000006">
      <w:pPr>
        <w:rPr/>
      </w:pPr>
      <w:r w:rsidDel="00000000" w:rsidR="00000000" w:rsidRPr="00000000">
        <w:rPr>
          <w:rtl w:val="0"/>
        </w:rPr>
        <w:t xml:space="preserve">This is the </w:t>
      </w:r>
      <w:r w:rsidDel="00000000" w:rsidR="00000000" w:rsidRPr="00000000">
        <w:rPr>
          <w:b w:val="1"/>
          <w:bCs w:val="1"/>
          <w:rtl w:val="0"/>
        </w:rPr>
        <w:t xml:space="preserve">primary</w:t>
      </w:r>
      <w:r w:rsidDel="00000000" w:rsidR="00000000" w:rsidRPr="00000000">
        <w:rPr>
          <w:rtl w:val="0"/>
        </w:rPr>
        <w:t xml:space="preserve"> build reference. A companion document (the "ChatGPT playbook" and its revision) sits alongside it in the repo. The two are now broadly aligned; where they differ, </w:t>
      </w:r>
      <w:r w:rsidDel="00000000" w:rsidR="00000000" w:rsidRPr="00000000">
        <w:rPr>
          <w:b w:val="1"/>
          <w:bCs w:val="1"/>
          <w:rtl w:val="0"/>
        </w:rPr>
        <w:t xml:space="preserve">this file's position wins</w:t>
      </w:r>
      <w:r w:rsidDel="00000000" w:rsidR="00000000" w:rsidRPr="00000000">
        <w:rPr>
          <w:rtl w:val="0"/>
        </w:rPr>
        <w:t xml:space="preserve">, and the remaining live differences are logged in §11.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Three rules that govern everything below: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5"/>
        </w:numPr>
        <w:ind w:left="720" w:hanging="360"/>
      </w:pPr>
      <w:r w:rsidDel="00000000" w:rsidR="00000000" w:rsidRPr="00000000">
        <w:rPr>
          <w:b w:val="1"/>
          <w:bCs w:val="1"/>
          <w:rtl w:val="0"/>
        </w:rPr>
        <w:t xml:space="preserve">Every day-number in this document is a hypothesis to test, not a finding.</w:t>
      </w:r>
      <w:r w:rsidDel="00000000" w:rsidR="00000000" w:rsidRPr="00000000">
        <w:rPr>
          <w:rtl w:val="0"/>
        </w:rPr>
        <w:t xml:space="preserve"> No published research establishes optimal touch spacing for Nordic enterprise technology buyers. See §1.</w:t>
      </w:r>
    </w:p>
    <w:p w:rsidR="00000000" w:rsidDel="00000000" w:rsidP="00000000" w:rsidRDefault="00000000" w:rsidRPr="00000000" w14:paraId="0000000B">
      <w:pPr>
        <w:numPr>
          <w:ilvl w:val="0"/>
          <w:numId w:val="5"/>
        </w:numPr>
        <w:ind w:left="720" w:hanging="360"/>
      </w:pPr>
      <w:r w:rsidDel="00000000" w:rsidR="00000000" w:rsidRPr="00000000">
        <w:rPr>
          <w:b w:val="1"/>
          <w:bCs w:val="1"/>
          <w:rtl w:val="0"/>
        </w:rPr>
        <w:t xml:space="preserve">Single-product scoping is enforced.</w:t>
      </w:r>
      <w:r w:rsidDel="00000000" w:rsidR="00000000" w:rsidRPr="00000000">
        <w:rPr>
          <w:rtl w:val="0"/>
        </w:rPr>
        <w:t xml:space="preserve"> Each sequence targets one product track (Freshservice / Device42 / FireHydrant). Never blend products into one sequence or one score.</w:t>
      </w:r>
    </w:p>
    <w:p w:rsidR="00000000" w:rsidDel="00000000" w:rsidP="00000000" w:rsidRDefault="00000000" w:rsidRPr="00000000" w14:paraId="0000000C">
      <w:pPr>
        <w:numPr>
          <w:ilvl w:val="0"/>
          <w:numId w:val="5"/>
        </w:numPr>
        <w:ind w:left="720" w:hanging="360"/>
      </w:pPr>
      <w:r w:rsidDel="00000000" w:rsidR="00000000" w:rsidRPr="00000000">
        <w:rPr>
          <w:b w:val="1"/>
          <w:bCs w:val="1"/>
          <w:rtl w:val="0"/>
        </w:rPr>
        <w:t xml:space="preserve">The hard handoff line.</w:t>
      </w:r>
      <w:r w:rsidDel="00000000" w:rsidR="00000000" w:rsidRPr="00000000">
        <w:rPr>
          <w:rtl w:val="0"/>
        </w:rPr>
        <w:t xml:space="preserve"> This project stops at a booked meeting. No discovery, MEDDPICC, deal strategy, RFP, or call coaching here — those live in a separate project.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Territory note:</w:t>
      </w:r>
      <w:r w:rsidDel="00000000" w:rsidR="00000000" w:rsidRPr="00000000">
        <w:rPr>
          <w:rtl w:val="0"/>
        </w:rPr>
        <w:t xml:space="preserve"> Sweden, Finland, and Iceland are the permanent core. Denmark and Norway are temporary overflow (covering for a departed colleague). Do </w:t>
      </w:r>
      <w:r w:rsidDel="00000000" w:rsidR="00000000" w:rsidRPr="00000000">
        <w:rPr>
          <w:b w:val="1"/>
          <w:bCs w:val="1"/>
          <w:rtl w:val="0"/>
        </w:rPr>
        <w:t xml:space="preserve">not</w:t>
      </w:r>
      <w:r w:rsidDel="00000000" w:rsidR="00000000" w:rsidRPr="00000000">
        <w:rPr>
          <w:rtl w:val="0"/>
        </w:rPr>
        <w:t xml:space="preserve"> over-invest in localising DK/NO messaging or references — treat them as English-default until they become permanent.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bjj41lf0lx9k" w:id="2"/>
      <w:bookmarkEnd w:id="2"/>
      <w:r w:rsidDel="00000000" w:rsidR="00000000" w:rsidRPr="00000000">
        <w:rPr>
          <w:rtl w:val="0"/>
        </w:rPr>
        <w:t xml:space="preserve">1. Epistemic frame — which evidence answers which question</w:t>
      </w:r>
    </w:p>
    <w:p w:rsidR="00000000" w:rsidDel="00000000" w:rsidP="00000000" w:rsidRDefault="00000000" w:rsidRPr="00000000" w14:paraId="00000012">
      <w:pPr>
        <w:rPr/>
      </w:pPr>
      <w:r w:rsidDel="00000000" w:rsidR="00000000" w:rsidRPr="00000000">
        <w:rPr>
          <w:rtl w:val="0"/>
        </w:rPr>
        <w:t xml:space="preserve">This is the most important section. It prevents treating a hypothesis as a house rule six months from now.</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There are three classes of evidence behind this playbook, and each is good for different things: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Buyer research (Gartner, Forrester).</w:t>
      </w:r>
      <w:r w:rsidDel="00000000" w:rsidR="00000000" w:rsidRPr="00000000">
        <w:rPr>
          <w:rtl w:val="0"/>
        </w:rPr>
        <w:t xml:space="preserve"> Independent firms, disclosed methodology, large buyer-side samples (Forrester's 2026 </w:t>
      </w:r>
      <w:r w:rsidDel="00000000" w:rsidR="00000000" w:rsidRPr="00000000">
        <w:rPr>
          <w:i w:val="1"/>
          <w:iCs w:val="1"/>
          <w:rtl w:val="0"/>
        </w:rPr>
        <w:t xml:space="preserve">State of Business Buying</w:t>
      </w:r>
      <w:r w:rsidDel="00000000" w:rsidR="00000000" w:rsidRPr="00000000">
        <w:rPr>
          <w:rtl w:val="0"/>
        </w:rPr>
        <w:t xml:space="preserve"> draws on ~18,000 buyers; Gartner's surveys on ~630–1,000). Use these to understand </w:t>
      </w:r>
      <w:r w:rsidDel="00000000" w:rsidR="00000000" w:rsidRPr="00000000">
        <w:rPr>
          <w:i w:val="1"/>
          <w:iCs w:val="1"/>
          <w:rtl w:val="0"/>
        </w:rPr>
        <w:t xml:space="preserve">what buyers dislike, how buying groups behave, where sellers add value, and why message coherence matters.</w:t>
      </w:r>
      <w:r w:rsidDel="00000000" w:rsidR="00000000" w:rsidRPr="00000000">
        <w:rPr>
          <w:rtl w:val="0"/>
        </w:rPr>
        <w:t xml:space="preserve"> These sources </w:t>
      </w:r>
      <w:r w:rsidDel="00000000" w:rsidR="00000000" w:rsidRPr="00000000">
        <w:rPr>
          <w:b w:val="1"/>
          <w:bCs w:val="1"/>
          <w:rtl w:val="0"/>
        </w:rPr>
        <w:t xml:space="preserve">do not</w:t>
      </w:r>
      <w:r w:rsidDel="00000000" w:rsidR="00000000" w:rsidRPr="00000000">
        <w:rPr>
          <w:rtl w:val="0"/>
        </w:rPr>
        <w:t xml:space="preserve"> tell you whether your second follow-up belongs on Day 4 or Day 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Platform telemetry (Gong, Cognism, Yesware).</w:t>
      </w:r>
      <w:r w:rsidDel="00000000" w:rsidR="00000000" w:rsidRPr="00000000">
        <w:rPr>
          <w:rtl w:val="0"/>
        </w:rPr>
        <w:t xml:space="preserve"> Large observational datasets (Gong: tens of millions of emails/calls; Yesware: ~10M email threads; Cognism: ~200K dials). Use these to </w:t>
      </w:r>
      <w:r w:rsidDel="00000000" w:rsidR="00000000" w:rsidRPr="00000000">
        <w:rPr>
          <w:i w:val="1"/>
          <w:iCs w:val="1"/>
          <w:rtl w:val="0"/>
        </w:rPr>
        <w:t xml:space="preserve">generate hypotheses about mechanics</w:t>
      </w:r>
      <w:r w:rsidDel="00000000" w:rsidR="00000000" w:rsidRPr="00000000">
        <w:rPr>
          <w:rtl w:val="0"/>
        </w:rPr>
        <w:t xml:space="preserve"> — email length, CTA type, calling, voicemail, number of attempts, spacing. Caveat: the samples are composed of these vendors' own users or internal teams, skew US mid-market SaaS, and are </w:t>
      </w:r>
      <w:r w:rsidDel="00000000" w:rsidR="00000000" w:rsidRPr="00000000">
        <w:rPr>
          <w:b w:val="1"/>
          <w:bCs w:val="1"/>
          <w:rtl w:val="0"/>
        </w:rPr>
        <w:t xml:space="preserve">not automatically transferable</w:t>
      </w:r>
      <w:r w:rsidDel="00000000" w:rsidR="00000000" w:rsidRPr="00000000">
        <w:rPr>
          <w:rtl w:val="0"/>
        </w:rPr>
        <w:t xml:space="preserve"> to Swedish/Finnish enterprise tech buyers.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Your own territory data.</w:t>
      </w:r>
      <w:r w:rsidDel="00000000" w:rsidR="00000000" w:rsidRPr="00000000">
        <w:rPr>
          <w:rtl w:val="0"/>
        </w:rPr>
        <w:t xml:space="preserve"> This should eventually outrank both. Instrument from day one (§9). After ~200 touches, your own numbers by country/persona/product beat anything published.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ind w:left="600" w:right="600" w:firstLine="0"/>
        <w:rPr/>
      </w:pPr>
      <w:r w:rsidDel="00000000" w:rsidR="00000000" w:rsidRPr="00000000">
        <w:rPr>
          <w:b w:val="1"/>
          <w:bCs w:val="1"/>
          <w:rtl w:val="0"/>
        </w:rPr>
        <w:t xml:space="preserve">Operating instruction for Claude Code:</w:t>
      </w:r>
      <w:r w:rsidDel="00000000" w:rsidR="00000000" w:rsidRPr="00000000">
        <w:rPr>
          <w:rtl w:val="0"/>
        </w:rPr>
        <w:t xml:space="preserve"> when building, treat buyer-research findings as </w:t>
      </w:r>
      <w:r w:rsidDel="00000000" w:rsidR="00000000" w:rsidRPr="00000000">
        <w:rPr>
          <w:i w:val="1"/>
          <w:iCs w:val="1"/>
          <w:rtl w:val="0"/>
        </w:rPr>
        <w:t xml:space="preserve">constraints</w:t>
      </w:r>
      <w:r w:rsidDel="00000000" w:rsidR="00000000" w:rsidRPr="00000000">
        <w:rPr>
          <w:rtl w:val="0"/>
        </w:rPr>
        <w:t xml:space="preserve"> (things the design must respect) and telemetry findings as </w:t>
      </w:r>
      <w:r w:rsidDel="00000000" w:rsidR="00000000" w:rsidRPr="00000000">
        <w:rPr>
          <w:i w:val="1"/>
          <w:iCs w:val="1"/>
          <w:rtl w:val="0"/>
        </w:rPr>
        <w:t xml:space="preserve">defaults to A/B test</w:t>
      </w:r>
      <w:r w:rsidDel="00000000" w:rsidR="00000000" w:rsidRPr="00000000">
        <w:rPr>
          <w:rtl w:val="0"/>
        </w:rPr>
        <w:t xml:space="preserve"> (things the design should try but measure). Never present a day-number or touch-count as established fact in any output.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qvy7ttw1p6zq" w:id="3"/>
      <w:bookmarkEnd w:id="3"/>
      <w:r w:rsidDel="00000000" w:rsidR="00000000" w:rsidRPr="00000000">
        <w:rPr>
          <w:rtl w:val="0"/>
        </w:rPr>
        <w:t xml:space="preserve">2. Governing principles</w:t>
      </w:r>
    </w:p>
    <w:p w:rsidR="00000000" w:rsidDel="00000000" w:rsidP="00000000" w:rsidRDefault="00000000" w:rsidRPr="00000000" w14:paraId="00000020">
      <w:pPr>
        <w:rPr/>
      </w:pPr>
      <w:r w:rsidDel="00000000" w:rsidR="00000000" w:rsidRPr="00000000">
        <w:rPr>
          <w:b w:val="1"/>
          <w:bCs w:val="1"/>
          <w:rtl w:val="0"/>
        </w:rPr>
        <w:t xml:space="preserve">Priority hierarchy (in order):</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ind w:left="600" w:right="600" w:firstLine="0"/>
        <w:rPr/>
      </w:pPr>
      <w:r w:rsidDel="00000000" w:rsidR="00000000" w:rsidRPr="00000000">
        <w:rPr>
          <w:rFonts w:ascii="Arial Unicode MS" w:cs="Arial Unicode MS" w:eastAsia="Arial Unicode MS" w:hAnsi="Arial Unicode MS"/>
          <w:rtl w:val="0"/>
        </w:rPr>
        <w:t xml:space="preserve">Trigger quality → account fit → persona relevance → message quality → cadence mechanics.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 perfectly spaced sequence to the wrong person with no credible reason to act will fail. A well-researched, timely message about a genuine business change can book a meeting on the first touch. Spend effort in this order.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Sense Making is the messaging philosophy.</w:t>
      </w:r>
      <w:r w:rsidDel="00000000" w:rsidR="00000000" w:rsidRPr="00000000">
        <w:rPr>
          <w:rtl w:val="0"/>
        </w:rPr>
        <w:t xml:space="preserve"> (Gartner, </w:t>
      </w:r>
      <w:r w:rsidDel="00000000" w:rsidR="00000000" w:rsidRPr="00000000">
        <w:rPr>
          <w:i w:val="1"/>
          <w:iCs w:val="1"/>
          <w:rtl w:val="0"/>
        </w:rPr>
        <w:t xml:space="preserve">The Sense Making Seller</w:t>
      </w:r>
      <w:r w:rsidDel="00000000" w:rsidR="00000000" w:rsidRPr="00000000">
        <w:rPr>
          <w:rtl w:val="0"/>
        </w:rPr>
        <w:t xml:space="preserve">, ~1,000+ buyers; direction well-supported.) Buyers are not short of information — they are overwhelmed by it and find trustworthy sources contradictory. The seller's value is helping them </w:t>
      </w:r>
      <w:r w:rsidDel="00000000" w:rsidR="00000000" w:rsidRPr="00000000">
        <w:rPr>
          <w:i w:val="1"/>
          <w:iCs w:val="1"/>
          <w:rtl w:val="0"/>
        </w:rPr>
        <w:t xml:space="preserve">sort</w:t>
      </w:r>
      <w:r w:rsidDel="00000000" w:rsidR="00000000" w:rsidRPr="00000000">
        <w:rPr>
          <w:rtl w:val="0"/>
        </w:rPr>
        <w:t xml:space="preserve"> it: identify the right questions, determine which information matters, reconcile contradictions, and judge whether something fits their organisation. Gartner separately finds buyers self-serve for general learning but want seller input specifically for </w:t>
      </w:r>
      <w:r w:rsidDel="00000000" w:rsidR="00000000" w:rsidRPr="00000000">
        <w:rPr>
          <w:b w:val="1"/>
          <w:bCs w:val="1"/>
          <w:rtl w:val="0"/>
        </w:rPr>
        <w:t xml:space="preserve">contextual fit</w:t>
      </w:r>
      <w:r w:rsidDel="00000000" w:rsidR="00000000" w:rsidRPr="00000000">
        <w:rPr>
          <w:rtl w:val="0"/>
        </w:rPr>
        <w:t xml:space="preserve"> ("is this right for us?"). So outbound should offer </w:t>
      </w:r>
      <w:r w:rsidDel="00000000" w:rsidR="00000000" w:rsidRPr="00000000">
        <w:rPr>
          <w:i w:val="1"/>
          <w:iCs w:val="1"/>
          <w:rtl w:val="0"/>
        </w:rPr>
        <w:t xml:space="preserve">fit judgement and a useful frame</w:t>
      </w:r>
      <w:r w:rsidDel="00000000" w:rsidR="00000000" w:rsidRPr="00000000">
        <w:rPr>
          <w:rtl w:val="0"/>
        </w:rPr>
        <w:t xml:space="preserve">, never more information. This is the opposite of a product dump.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One account narrative, role-specific questions.</w:t>
      </w:r>
      <w:r w:rsidDel="00000000" w:rsidR="00000000" w:rsidRPr="00000000">
        <w:rPr>
          <w:rtl w:val="0"/>
        </w:rPr>
        <w:t xml:space="preserve"> (Gartner buying-team research, n=632 — see confidence note in §11.) Tailoring a </w:t>
      </w:r>
      <w:r w:rsidDel="00000000" w:rsidR="00000000" w:rsidRPr="00000000">
        <w:rPr>
          <w:i w:val="1"/>
          <w:iCs w:val="1"/>
          <w:rtl w:val="0"/>
        </w:rPr>
        <w:t xml:space="preserve">different problem framing</w:t>
      </w:r>
      <w:r w:rsidDel="00000000" w:rsidR="00000000" w:rsidRPr="00000000">
        <w:rPr>
          <w:rtl w:val="0"/>
        </w:rPr>
        <w:t xml:space="preserve"> to each stakeholder measurably harms group consensus (reported 59% negative impact), because each person then holds an incompatible version of what the problem is. What works: one organisational problem statement, with each contact's role in that problem made explicit. Same story, different seat at the table — </w:t>
      </w:r>
      <w:r w:rsidDel="00000000" w:rsidR="00000000" w:rsidRPr="00000000">
        <w:rPr>
          <w:b w:val="1"/>
          <w:bCs w:val="1"/>
          <w:rtl w:val="0"/>
        </w:rPr>
        <w:t xml:space="preserve">not three different stories.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Bad touches are negative, not neutral.</w:t>
      </w:r>
      <w:r w:rsidDel="00000000" w:rsidR="00000000" w:rsidRPr="00000000">
        <w:rPr>
          <w:rtl w:val="0"/>
        </w:rPr>
        <w:t xml:space="preserve"> (Gartner: 73% of buyers actively avoid suppliers who send irrelevant outreach.) In a finite, five-country Nordic territory you cannot burn accounts and move to a fresh list — there isn't one. This is the evidence base for quality-over-volume, and it means: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ind w:left="600" w:right="600" w:firstLine="0"/>
        <w:rPr/>
      </w:pPr>
      <w:r w:rsidDel="00000000" w:rsidR="00000000" w:rsidRPr="00000000">
        <w:rPr>
          <w:b w:val="1"/>
          <w:bCs w:val="1"/>
          <w:rtl w:val="0"/>
        </w:rPr>
        <w:t xml:space="preserve">Content-gated sequencing, not number-gated.</w:t>
      </w:r>
      <w:r w:rsidDel="00000000" w:rsidR="00000000" w:rsidRPr="00000000">
        <w:rPr>
          <w:rtl w:val="0"/>
        </w:rPr>
        <w:t xml:space="preserve"> Never decide the sequence length first and fill it with touches. Continue only while you have a </w:t>
      </w:r>
      <w:r w:rsidDel="00000000" w:rsidR="00000000" w:rsidRPr="00000000">
        <w:rPr>
          <w:i w:val="1"/>
          <w:iCs w:val="1"/>
          <w:rtl w:val="0"/>
        </w:rPr>
        <w:t xml:space="preserve">new</w:t>
      </w:r>
      <w:r w:rsidDel="00000000" w:rsidR="00000000" w:rsidRPr="00000000">
        <w:rPr>
          <w:rtl w:val="0"/>
        </w:rPr>
        <w:t xml:space="preserve"> diagnostic angle, a different relevant channel, a valid stakeholder hypothesis, new evidence, a changed trigger, or a sensible referral question. Stop the moment the next touch would be "just following up," "bumping this," a repeated proposition, manufactured urgency, or another generic asset.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n3eh5lz4y6wn" w:id="4"/>
      <w:bookmarkEnd w:id="4"/>
      <w:r w:rsidDel="00000000" w:rsidR="00000000" w:rsidRPr="00000000">
        <w:rPr>
          <w:rtl w:val="0"/>
        </w:rPr>
        <w:t xml:space="preserve">3. Segmentation &amp; tiering</w:t>
      </w:r>
    </w:p>
    <w:p w:rsidR="00000000" w:rsidDel="00000000" w:rsidP="00000000" w:rsidRDefault="00000000" w:rsidRPr="00000000" w14:paraId="00000030">
      <w:pPr>
        <w:pStyle w:val="Heading3"/>
        <w:rPr/>
      </w:pPr>
      <w:bookmarkStart w:colFirst="0" w:colLast="0" w:name="_2fd4j82nbgcs" w:id="5"/>
      <w:bookmarkEnd w:id="5"/>
      <w:r w:rsidDel="00000000" w:rsidR="00000000" w:rsidRPr="00000000">
        <w:rPr>
          <w:rtl w:val="0"/>
        </w:rPr>
        <w:t xml:space="preserve">3.1 Demand state (assign first)</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Active</w:t>
      </w:r>
      <w:r w:rsidDel="00000000" w:rsidR="00000000" w:rsidRPr="00000000">
        <w:rPr>
          <w:rtl w:val="0"/>
        </w:rPr>
        <w:t xml:space="preserve"> — clear project, evaluation, renewal, or incident now.</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Emerging</w:t>
      </w:r>
      <w:r w:rsidDel="00000000" w:rsidR="00000000" w:rsidRPr="00000000">
        <w:rPr>
          <w:rtl w:val="0"/>
        </w:rPr>
        <w:t xml:space="preserve"> — org/tech change creating a likely near-term need (new leader, migration, M&amp;A, hiring pattern).</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Latent</w:t>
      </w:r>
      <w:r w:rsidDel="00000000" w:rsidR="00000000" w:rsidRPr="00000000">
        <w:rPr>
          <w:rtl w:val="0"/>
        </w:rPr>
        <w:t xml:space="preserve"> — strong ICP fit, no credible reason to act now.</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No-fit</w:t>
      </w:r>
      <w:r w:rsidDel="00000000" w:rsidR="00000000" w:rsidRPr="00000000">
        <w:rPr>
          <w:rtl w:val="0"/>
        </w:rPr>
        <w:t xml:space="preserve"> — insufficient complexity/relevance/timing.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Do not push all four through the same sequence.</w:t>
      </w:r>
    </w:p>
    <w:p w:rsidR="00000000" w:rsidDel="00000000" w:rsidP="00000000" w:rsidRDefault="00000000" w:rsidRPr="00000000" w14:paraId="00000037">
      <w:pPr>
        <w:pStyle w:val="Heading3"/>
        <w:rPr/>
      </w:pPr>
      <w:bookmarkStart w:colFirst="0" w:colLast="0" w:name="_fptxbez9jb9b" w:id="6"/>
      <w:bookmarkEnd w:id="6"/>
      <w:r w:rsidDel="00000000" w:rsidR="00000000" w:rsidRPr="00000000">
        <w:rPr>
          <w:rtl w:val="0"/>
        </w:rPr>
        <w:t xml:space="preserve">3.2 Tiers (map to existing P1/P2/P3 bands — do NOT build a new scoring model)</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Moe's existing P1/P2/P3 bands are derived from real signal data (Intent + WebSights, with pv≥3 or uv≥2, and 10k+ accounts requiring both signals). They are better-founded than any generic 100-point model. Use them. Tier maps onto them as: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Roughly maps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Strong fit + fresh, explicit trigger, or converging multi-person 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P1 (live-signal)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High fit + credible hypothesis, no active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P2 sweet-spot cold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Good fit, speculative 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P3 cold reservoir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Closed-Lost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Prior opportunity + a genuine </w:t>
            </w:r>
            <w:r w:rsidDel="00000000" w:rsidR="00000000" w:rsidRPr="00000000">
              <w:rPr>
                <w:i w:val="1"/>
                <w:iCs w:val="1"/>
                <w:rtl w:val="0"/>
              </w:rPr>
              <w:t xml:space="preserve">new</w:t>
            </w:r>
            <w:r w:rsidDel="00000000" w:rsidR="00000000" w:rsidRPr="00000000">
              <w:rPr>
                <w:rtl w:val="0"/>
              </w:rPr>
              <w:t xml:space="preserve">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Salesforce Closed Lost (Tier 1 re-engagement)</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Trigger examples that qualify an account for Tier A</w:t>
      </w:r>
      <w:r w:rsidDel="00000000" w:rsidR="00000000" w:rsidRPr="00000000">
        <w:rPr>
          <w:rFonts w:ascii="Arial Unicode MS" w:cs="Arial Unicode MS" w:eastAsia="Arial Unicode MS" w:hAnsi="Arial Unicode MS"/>
          <w:rtl w:val="0"/>
        </w:rPr>
        <w:t xml:space="preserve"> (by product — see §5 for full lists): incumbent renewal/dissatisfaction (ServiceNow, BMC, Ivanti, JSM for Freshservice; OpsGenie→JSM forced migration for FireHydrant), cloud migration / data-centre exit (Device42), new CIO/CTO/VP Eng/Head of SRE, public outage, M&amp;A, RFP activity, multiple people from one account researching the category.</w:t>
      </w:r>
    </w:p>
    <w:p w:rsidR="00000000" w:rsidDel="00000000" w:rsidP="00000000" w:rsidRDefault="00000000" w:rsidRPr="00000000" w14:paraId="0000004B">
      <w:pPr>
        <w:pStyle w:val="Heading3"/>
        <w:rPr/>
      </w:pPr>
      <w:bookmarkStart w:colFirst="0" w:colLast="0" w:name="_46ezww9q0mu6" w:id="7"/>
      <w:bookmarkEnd w:id="7"/>
      <w:r w:rsidDel="00000000" w:rsidR="00000000" w:rsidRPr="00000000">
        <w:rPr>
          <w:rtl w:val="0"/>
        </w:rPr>
        <w:t xml:space="preserve">3.3 Signal decay &amp; tier movement</w:t>
      </w:r>
    </w:p>
    <w:p w:rsidR="00000000" w:rsidDel="00000000" w:rsidP="00000000" w:rsidRDefault="00000000" w:rsidRPr="00000000" w14:paraId="0000004C">
      <w:pPr>
        <w:rPr/>
      </w:pPr>
      <w:r w:rsidDel="00000000" w:rsidR="00000000" w:rsidRPr="00000000">
        <w:rPr>
          <w:rtl w:val="0"/>
        </w:rPr>
        <w:t xml:space="preserve">Tier is a </w:t>
      </w:r>
      <w:r w:rsidDel="00000000" w:rsidR="00000000" w:rsidRPr="00000000">
        <w:rPr>
          <w:b w:val="1"/>
          <w:bCs w:val="1"/>
          <w:rtl w:val="0"/>
        </w:rPr>
        <w:t xml:space="preserve">function of signal freshness, not a permanent label.</w:t>
      </w:r>
      <w:r w:rsidDel="00000000" w:rsidR="00000000" w:rsidRPr="00000000">
        <w:rPr>
          <w:rtl w:val="0"/>
        </w:rPr>
        <w:t xml:space="preserve"> (Decay windows below are vendor-sourced — plausible, unvalidated; test against your own conversion data.)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Behavioural signals (pricing/demo/product-page visits): useful ~7–14 days.</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Firmographic/trigger signals (funding, exec hire, M&amp;A): useful ~30–90 days.</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A P3 account with a fresh dated trigger becomes Tier A for a bounded window (~30 days), then falls back if nothing lands.</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A Tier A account whose signal is ~45+ days stale and has absorbed a full sequence with no reply should </w:t>
      </w:r>
      <w:r w:rsidDel="00000000" w:rsidR="00000000" w:rsidRPr="00000000">
        <w:rPr>
          <w:b w:val="1"/>
          <w:bCs w:val="1"/>
          <w:rtl w:val="0"/>
        </w:rPr>
        <w:t xml:space="preserve">drop</w:t>
      </w:r>
      <w:r w:rsidDel="00000000" w:rsidR="00000000" w:rsidRPr="00000000">
        <w:rPr>
          <w:rtl w:val="0"/>
        </w:rPr>
        <w:t xml:space="preserve">, not receive another touch.</w:t>
      </w:r>
    </w:p>
    <w:p w:rsidR="00000000" w:rsidDel="00000000" w:rsidP="00000000" w:rsidRDefault="00000000" w:rsidRPr="00000000" w14:paraId="00000052">
      <w:pPr>
        <w:pStyle w:val="Heading3"/>
        <w:rPr/>
      </w:pPr>
      <w:bookmarkStart w:colFirst="0" w:colLast="0" w:name="_hodbeerz660o" w:id="8"/>
      <w:bookmarkEnd w:id="8"/>
      <w:r w:rsidDel="00000000" w:rsidR="00000000" w:rsidRPr="00000000">
        <w:rPr>
          <w:rtl w:val="0"/>
        </w:rPr>
        <w:t xml:space="preserve">3.4 Disqualification (an early "no" is as valuable as a "yes")</w:t>
      </w:r>
    </w:p>
    <w:p w:rsidR="00000000" w:rsidDel="00000000" w:rsidP="00000000" w:rsidRDefault="00000000" w:rsidRPr="00000000" w14:paraId="00000053">
      <w:pPr>
        <w:rPr/>
      </w:pPr>
      <w:r w:rsidDel="00000000" w:rsidR="00000000" w:rsidRPr="00000000">
        <w:rPr>
          <w:rtl w:val="0"/>
        </w:rPr>
        <w:t xml:space="preserve">Surface disqualifiers explicitly and remove/deprioritise before sequencing. Disqualify-first triggers: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1"/>
        </w:numPr>
        <w:ind w:left="720" w:hanging="360"/>
      </w:pPr>
      <w:r w:rsidDel="00000000" w:rsidR="00000000" w:rsidRPr="00000000">
        <w:rPr>
          <w:rFonts w:ascii="Arial Unicode MS" w:cs="Arial Unicode MS" w:eastAsia="Arial Unicode MS" w:hAnsi="Arial Unicode MS"/>
          <w:rtl w:val="0"/>
        </w:rPr>
        <w:t xml:space="preserve">Recently renewed incumbent with no dissatisfaction signal → park with revisit date.</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Clearly wrong role / no decision connection.</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Insufficient organisational complexity for the product.</w:t>
      </w:r>
    </w:p>
    <w:p w:rsidR="00000000" w:rsidDel="00000000" w:rsidP="00000000" w:rsidRDefault="00000000" w:rsidRPr="00000000" w14:paraId="00000058">
      <w:pPr>
        <w:numPr>
          <w:ilvl w:val="0"/>
          <w:numId w:val="1"/>
        </w:numPr>
        <w:ind w:left="720" w:hanging="360"/>
      </w:pPr>
      <w:r w:rsidDel="00000000" w:rsidR="00000000" w:rsidRPr="00000000">
        <w:rPr>
          <w:rFonts w:ascii="Arial Unicode MS" w:cs="Arial Unicode MS" w:eastAsia="Arial Unicode MS" w:hAnsi="Arial Unicode MS"/>
          <w:rtl w:val="0"/>
        </w:rPr>
        <w:t xml:space="preserve">Explicit opt-out → remove immediately, suppress.</w:t>
      </w:r>
    </w:p>
    <w:p w:rsidR="00000000" w:rsidDel="00000000" w:rsidP="00000000" w:rsidRDefault="00000000" w:rsidRPr="00000000" w14:paraId="00000059">
      <w:pPr>
        <w:numPr>
          <w:ilvl w:val="0"/>
          <w:numId w:val="1"/>
        </w:numPr>
        <w:ind w:left="720" w:hanging="360"/>
      </w:pPr>
      <w:r w:rsidDel="00000000" w:rsidR="00000000" w:rsidRPr="00000000">
        <w:rPr>
          <w:rFonts w:ascii="Arial Unicode MS" w:cs="Arial Unicode MS" w:eastAsia="Arial Unicode MS" w:hAnsi="Arial Unicode MS"/>
          <w:rtl w:val="0"/>
        </w:rPr>
        <w:t xml:space="preserve">Full sequence, no engagement, no meaningful trigger → stop and recycle only on a new trigger.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o1v3pgknhtpf" w:id="9"/>
      <w:bookmarkEnd w:id="9"/>
      <w:r w:rsidDel="00000000" w:rsidR="00000000" w:rsidRPr="00000000">
        <w:rPr>
          <w:rtl w:val="0"/>
        </w:rPr>
        <w:t xml:space="preserve">4. Cadence architecture</w:t>
      </w:r>
    </w:p>
    <w:p w:rsidR="00000000" w:rsidDel="00000000" w:rsidP="00000000" w:rsidRDefault="00000000" w:rsidRPr="00000000" w14:paraId="0000005D">
      <w:pPr>
        <w:rPr/>
      </w:pPr>
      <w:r w:rsidDel="00000000" w:rsidR="00000000" w:rsidRPr="00000000">
        <w:rPr>
          <w:rtl w:val="0"/>
        </w:rPr>
        <w:t xml:space="preserve">Two persona skeletons (cadence </w:t>
      </w:r>
      <w:r w:rsidDel="00000000" w:rsidR="00000000" w:rsidRPr="00000000">
        <w:rPr>
          <w:i w:val="1"/>
          <w:iCs w:val="1"/>
          <w:rtl w:val="0"/>
        </w:rPr>
        <w:t xml:space="preserve">mechanics</w:t>
      </w:r>
      <w:r w:rsidDel="00000000" w:rsidR="00000000" w:rsidRPr="00000000">
        <w:rPr>
          <w:rtl w:val="0"/>
        </w:rPr>
        <w:t xml:space="preserve"> are persona-led; message </w:t>
      </w:r>
      <w:r w:rsidDel="00000000" w:rsidR="00000000" w:rsidRPr="00000000">
        <w:rPr>
          <w:i w:val="1"/>
          <w:iCs w:val="1"/>
          <w:rtl w:val="0"/>
        </w:rPr>
        <w:t xml:space="preserve">content</w:t>
      </w:r>
      <w:r w:rsidDel="00000000" w:rsidR="00000000" w:rsidRPr="00000000">
        <w:rPr>
          <w:rtl w:val="0"/>
        </w:rPr>
        <w:t xml:space="preserve"> is product-led — see §5). Each has Tier A/B/C variants. Closed-Lost is a separate short cadence.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Days = business days.</w:t>
      </w:r>
      <w:r w:rsidDel="00000000" w:rsidR="00000000" w:rsidRPr="00000000">
        <w:rPr>
          <w:rtl w:val="0"/>
        </w:rPr>
        <w:t xml:space="preserve"> Shift any step landing on a weekend/holiday to the next working day.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Phone-timing branch (important):</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IT / tech-management persona:</w:t>
      </w:r>
      <w:r w:rsidDel="00000000" w:rsidR="00000000" w:rsidRPr="00000000">
        <w:rPr>
          <w:rtl w:val="0"/>
        </w:rPr>
        <w:t xml:space="preserve"> Day-1 call is permitted for </w:t>
      </w:r>
      <w:r w:rsidDel="00000000" w:rsidR="00000000" w:rsidRPr="00000000">
        <w:rPr>
          <w:b w:val="1"/>
          <w:bCs w:val="1"/>
          <w:rtl w:val="0"/>
        </w:rPr>
        <w:t xml:space="preserve">Tier A with a fresh, explicit trigger AND a credible direct dial</w:t>
      </w:r>
      <w:r w:rsidDel="00000000" w:rsidR="00000000" w:rsidRPr="00000000">
        <w:rPr>
          <w:rtl w:val="0"/>
        </w:rPr>
        <w:t xml:space="preserve">. Otherwise phone enters at touch 3–4 after email/LinkedIn exposure.</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Engineering / SRE persona:</w:t>
      </w:r>
      <w:r w:rsidDel="00000000" w:rsidR="00000000" w:rsidRPr="00000000">
        <w:rPr>
          <w:rtl w:val="0"/>
        </w:rPr>
        <w:t xml:space="preserve"> phone enters </w:t>
      </w:r>
      <w:r w:rsidDel="00000000" w:rsidR="00000000" w:rsidRPr="00000000">
        <w:rPr>
          <w:b w:val="1"/>
          <w:bCs w:val="1"/>
          <w:rtl w:val="0"/>
        </w:rPr>
        <w:t xml:space="preserve">later</w:t>
      </w:r>
      <w:r w:rsidDel="00000000" w:rsidR="00000000" w:rsidRPr="00000000">
        <w:rPr>
          <w:rtl w:val="0"/>
        </w:rPr>
        <w:t xml:space="preserve"> in all tiers — engineers are the most sales-cadence-averse and hardest-to-reach-by-phone buyer. Lead with email + a public technical signal and LinkedIn; call only after exposure and only with a direct dial.</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Reality check (all personas):</w:t>
      </w:r>
      <w:r w:rsidDel="00000000" w:rsidR="00000000" w:rsidRPr="00000000">
        <w:rPr>
          <w:rtl w:val="0"/>
        </w:rPr>
        <w:t xml:space="preserve"> technical/IT roles connect at ~5% per dial vs ~10%+ for sales personas; per-prospect connect across attempts is ~25%. Plan </w:t>
      </w:r>
      <w:r w:rsidDel="00000000" w:rsidR="00000000" w:rsidRPr="00000000">
        <w:rPr>
          <w:b w:val="1"/>
          <w:bCs w:val="1"/>
          <w:rtl w:val="0"/>
        </w:rPr>
        <w:t xml:space="preserve">3–5 dial attempts per contact</w:t>
      </w:r>
      <w:r w:rsidDel="00000000" w:rsidR="00000000" w:rsidRPr="00000000">
        <w:rPr>
          <w:rtl w:val="0"/>
        </w:rPr>
        <w:t xml:space="preserve">, direct dials only, Tue–Thu, local number where possible.</w:t>
      </w:r>
    </w:p>
    <w:p w:rsidR="00000000" w:rsidDel="00000000" w:rsidP="00000000" w:rsidRDefault="00000000" w:rsidRPr="00000000" w14:paraId="00000066">
      <w:pPr>
        <w:pStyle w:val="Heading3"/>
        <w:rPr/>
      </w:pPr>
      <w:bookmarkStart w:colFirst="0" w:colLast="0" w:name="_abgsa2pvs6nd" w:id="10"/>
      <w:bookmarkEnd w:id="10"/>
      <w:r w:rsidDel="00000000" w:rsidR="00000000" w:rsidRPr="00000000">
        <w:rPr>
          <w:rtl w:val="0"/>
        </w:rPr>
        <w:t xml:space="preserve">4.1 IT / Tech-Management persona</w:t>
      </w:r>
    </w:p>
    <w:p w:rsidR="00000000" w:rsidDel="00000000" w:rsidP="00000000" w:rsidRDefault="00000000" w:rsidRPr="00000000" w14:paraId="00000067">
      <w:pPr>
        <w:rPr/>
      </w:pPr>
      <w:r w:rsidDel="00000000" w:rsidR="00000000" w:rsidRPr="00000000">
        <w:rPr>
          <w:b w:val="1"/>
          <w:bCs w:val="1"/>
          <w:rtl w:val="0"/>
        </w:rPr>
        <w:t xml:space="preserve">Tier A — fresh trigger / converging intent (~8–9 touches, ~4–5 weeks)</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righ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Email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Trigger-led organisational hypothesis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righ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Call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i w:val="1"/>
                <w:iCs w:val="1"/>
                <w:rtl w:val="0"/>
              </w:rPr>
              <w:t xml:space="preserve">Only if</w:t>
            </w:r>
            <w:r w:rsidDel="00000000" w:rsidR="00000000" w:rsidRPr="00000000">
              <w:rPr>
                <w:rtl w:val="0"/>
              </w:rPr>
              <w:t xml:space="preserve"> fresh trigger + direct dial; permission-based opener, test 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Profile view, follow, concise connection (no pitch)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Email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Reframe — a distinction they may not have considered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righ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Call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Test ownership / who owns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righ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Value touch — relevant comment, asset, or one-line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righ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Email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Proof / evaluation framework (decision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righ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Call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Fonts w:ascii="Arial Unicode MS" w:cs="Arial Unicode MS" w:eastAsia="Arial Unicode MS" w:hAnsi="Arial Unicode MS"/>
                <w:rtl w:val="0"/>
              </w:rPr>
              <w:t xml:space="preserve">Final direct attempt; ≤1 voicemail if justified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righ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Email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Close the loop — classify, don't manipulate</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Tier B — fit-led, no active signal (~8 touches, ~7 weeks)</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righ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Email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Organisational hypothesis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Connection / profile exposure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righ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Call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Test relevance &amp; ownership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righ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Email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Second diagnostic angle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righ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Call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Diagnose timing / ownership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righ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Value touch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righ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Email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Useful evaluation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righ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Email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Close the loop</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Tier C — fit, weak timing (~5 touches, then trigger monitoring)</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righ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Email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Light hypothesis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righ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Call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Single relevance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righ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Email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Value-led follow-up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righ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Email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Fonts w:ascii="Arial Unicode MS" w:cs="Arial Unicode MS" w:eastAsia="Arial Unicode MS" w:hAnsi="Arial Unicode MS"/>
                <w:rtl w:val="0"/>
              </w:rPr>
              <w:t xml:space="preserve">Close the loop → move to trigger monitoring</w:t>
            </w:r>
          </w:p>
        </w:tc>
      </w:tr>
    </w:tbl>
    <w:p w:rsidR="00000000" w:rsidDel="00000000" w:rsidP="00000000" w:rsidRDefault="00000000" w:rsidRPr="00000000" w14:paraId="000000BA">
      <w:pPr>
        <w:pStyle w:val="Heading3"/>
        <w:rPr/>
      </w:pPr>
      <w:bookmarkStart w:colFirst="0" w:colLast="0" w:name="_p4w853rgcvdp" w:id="11"/>
      <w:bookmarkEnd w:id="11"/>
      <w:r w:rsidDel="00000000" w:rsidR="00000000" w:rsidRPr="00000000">
        <w:rPr>
          <w:rtl w:val="0"/>
        </w:rPr>
        <w:t xml:space="preserve">4.2 Engineering / SRE persona</w:t>
      </w:r>
    </w:p>
    <w:p w:rsidR="00000000" w:rsidDel="00000000" w:rsidP="00000000" w:rsidRDefault="00000000" w:rsidRPr="00000000" w14:paraId="000000BB">
      <w:pPr>
        <w:rPr/>
      </w:pPr>
      <w:r w:rsidDel="00000000" w:rsidR="00000000" w:rsidRPr="00000000">
        <w:rPr>
          <w:rtl w:val="0"/>
        </w:rPr>
        <w:t xml:space="preserve">Differences from IT track: more technical credibility, fewer generic assets, more use of </w:t>
      </w:r>
      <w:r w:rsidDel="00000000" w:rsidR="00000000" w:rsidRPr="00000000">
        <w:rPr>
          <w:b w:val="1"/>
          <w:bCs w:val="1"/>
          <w:rtl w:val="0"/>
        </w:rPr>
        <w:t xml:space="preserve">public engineering evidence</w:t>
      </w:r>
      <w:r w:rsidDel="00000000" w:rsidR="00000000" w:rsidRPr="00000000">
        <w:rPr>
          <w:rtl w:val="0"/>
        </w:rPr>
        <w:t xml:space="preserve"> (postmortems, status-page history, conference talks, GitHub activity, SRE/platform job postings), less marketing language, more precise problem statements, phone later.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Tier A — fresh technical trigger (~7 touches, ~4–5 weeks)</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righ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Email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Fonts w:ascii="Arial Unicode MS" w:cs="Arial Unicode MS" w:eastAsia="Arial Unicode MS" w:hAnsi="Arial Unicode MS"/>
                <w:rtl w:val="0"/>
              </w:rPr>
              <w:t xml:space="preserve">Trigger-led, anchored in a public technical signal (outage, postmortem, SRE hire, OpsGenie→JSM migration)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Follow + engage with technical content (not connect-and-pitch)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righ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Email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Reframe — incident </w:t>
            </w:r>
            <w:r w:rsidDel="00000000" w:rsidR="00000000" w:rsidRPr="00000000">
              <w:rPr>
                <w:i w:val="1"/>
                <w:iCs w:val="1"/>
                <w:rtl w:val="0"/>
              </w:rPr>
              <w:t xml:space="preserve">operating discipline</w:t>
            </w:r>
            <w:r w:rsidDel="00000000" w:rsidR="00000000" w:rsidRPr="00000000">
              <w:rPr>
                <w:rtl w:val="0"/>
              </w:rPr>
              <w:t xml:space="preserve"> vs tooling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righ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Call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Only with direct dial + strong 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righ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One genuinely relevant technical asset / observation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righ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Email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Peer engineering-org pattern (proof)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righ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Email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Close the loop</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Tier B / C:</w:t>
      </w:r>
      <w:r w:rsidDel="00000000" w:rsidR="00000000" w:rsidRPr="00000000">
        <w:rPr>
          <w:rtl w:val="0"/>
        </w:rPr>
        <w:t xml:space="preserve"> as IT track but drop calls earlier, lean on LinkedIn + technical signal, and cut Tier C to 4 touches. Engineers churn out of a perceived sales sequence faster — be quicker to stop.</w:t>
      </w:r>
    </w:p>
    <w:p w:rsidR="00000000" w:rsidDel="00000000" w:rsidP="00000000" w:rsidRDefault="00000000" w:rsidRPr="00000000" w14:paraId="000000D9">
      <w:pPr>
        <w:pStyle w:val="Heading3"/>
        <w:rPr/>
      </w:pPr>
      <w:bookmarkStart w:colFirst="0" w:colLast="0" w:name="_xqak11ksdk83" w:id="12"/>
      <w:bookmarkEnd w:id="12"/>
      <w:r w:rsidDel="00000000" w:rsidR="00000000" w:rsidRPr="00000000">
        <w:rPr>
          <w:rtl w:val="0"/>
        </w:rPr>
        <w:t xml:space="preserve">4.3 Closed-Lost re-engagement (all personas — separate, short)</w:t>
      </w:r>
    </w:p>
    <w:p w:rsidR="00000000" w:rsidDel="00000000" w:rsidP="00000000" w:rsidRDefault="00000000" w:rsidRPr="00000000" w14:paraId="000000DA">
      <w:pPr>
        <w:rPr/>
      </w:pPr>
      <w:r w:rsidDel="00000000" w:rsidR="00000000" w:rsidRPr="00000000">
        <w:rPr>
          <w:rtl w:val="0"/>
        </w:rPr>
        <w:t xml:space="preserve">Built entirely around </w:t>
      </w:r>
      <w:r w:rsidDel="00000000" w:rsidR="00000000" w:rsidRPr="00000000">
        <w:rPr>
          <w:b w:val="1"/>
          <w:bCs w:val="1"/>
          <w:rtl w:val="0"/>
        </w:rPr>
        <w:t xml:space="preserve">what changed since the loss</w:t>
      </w:r>
      <w:r w:rsidDel="00000000" w:rsidR="00000000" w:rsidRPr="00000000">
        <w:rPr>
          <w:rtl w:val="0"/>
        </w:rPr>
        <w:t xml:space="preserve"> — not a long cadence. (No-decision losses and competitive losses &gt;12 months old are re-engagement candidates; recent competitive losses are parked with a revisit date, not sequenced.)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righ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Email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"Since we last spoke, [specific change]" — new capability, incumbent renewal window, their situation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Call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Reference the prior relationship + the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righ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LinkedIn / Email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One angle on the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righ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Email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Close the loop</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pPr>
      <w:bookmarkStart w:colFirst="0" w:colLast="0" w:name="_30h6q1iocjk" w:id="13"/>
      <w:bookmarkEnd w:id="13"/>
      <w:r w:rsidDel="00000000" w:rsidR="00000000" w:rsidRPr="00000000">
        <w:rPr>
          <w:rtl w:val="0"/>
        </w:rPr>
        <w:t xml:space="preserve">5. Message architecture</w:t>
      </w:r>
    </w:p>
    <w:p w:rsidR="00000000" w:rsidDel="00000000" w:rsidP="00000000" w:rsidRDefault="00000000" w:rsidRPr="00000000" w14:paraId="000000EE">
      <w:pPr>
        <w:pStyle w:val="Heading3"/>
        <w:rPr/>
      </w:pPr>
      <w:bookmarkStart w:colFirst="0" w:colLast="0" w:name="_v6tk46v2l0t0" w:id="14"/>
      <w:bookmarkEnd w:id="14"/>
      <w:r w:rsidDel="00000000" w:rsidR="00000000" w:rsidRPr="00000000">
        <w:rPr>
          <w:rtl w:val="0"/>
        </w:rPr>
        <w:t xml:space="preserve">5.1 The Sense Making formula (every touch)</w:t>
      </w:r>
    </w:p>
    <w:p w:rsidR="00000000" w:rsidDel="00000000" w:rsidP="00000000" w:rsidRDefault="00000000" w:rsidRPr="00000000" w14:paraId="000000EF">
      <w:pPr>
        <w:ind w:left="600" w:right="600" w:firstLine="0"/>
        <w:rPr/>
      </w:pPr>
      <w:r w:rsidDel="00000000" w:rsidR="00000000" w:rsidRPr="00000000">
        <w:rPr>
          <w:rFonts w:ascii="Arial Unicode MS" w:cs="Arial Unicode MS" w:eastAsia="Arial Unicode MS" w:hAnsi="Arial Unicode MS"/>
          <w:b w:val="1"/>
          <w:bCs w:val="1"/>
          <w:rtl w:val="0"/>
        </w:rPr>
        <w:t xml:space="preserve">Trigger → organisational hypothesis → diagnostic insight → relevant question → low-friction CTA</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You are not declaring they have a problem and positioning Freshworks as the answer. You are helping them evaluate whether the problem exists and how to understand it.</w:t>
      </w:r>
    </w:p>
    <w:p w:rsidR="00000000" w:rsidDel="00000000" w:rsidP="00000000" w:rsidRDefault="00000000" w:rsidRPr="00000000" w14:paraId="000000F2">
      <w:pPr>
        <w:pStyle w:val="Heading3"/>
        <w:rPr/>
      </w:pPr>
      <w:bookmarkStart w:colFirst="0" w:colLast="0" w:name="_92ruubogv53y" w:id="15"/>
      <w:bookmarkEnd w:id="15"/>
      <w:r w:rsidDel="00000000" w:rsidR="00000000" w:rsidRPr="00000000">
        <w:rPr>
          <w:rtl w:val="0"/>
        </w:rPr>
        <w:t xml:space="preserve">5.2 Per-touch purpose progression</w:t>
      </w:r>
    </w:p>
    <w:p w:rsidR="00000000" w:rsidDel="00000000" w:rsidP="00000000" w:rsidRDefault="00000000" w:rsidRPr="00000000" w14:paraId="000000F3">
      <w:pPr>
        <w:numPr>
          <w:ilvl w:val="0"/>
          <w:numId w:val="6"/>
        </w:numPr>
        <w:ind w:left="720" w:hanging="360"/>
      </w:pPr>
      <w:r w:rsidDel="00000000" w:rsidR="00000000" w:rsidRPr="00000000">
        <w:rPr>
          <w:b w:val="1"/>
          <w:bCs w:val="1"/>
          <w:rtl w:val="0"/>
        </w:rPr>
        <w:t xml:space="preserve">Touch 1 — why this account, why now.</w:t>
      </w:r>
      <w:r w:rsidDel="00000000" w:rsidR="00000000" w:rsidRPr="00000000">
        <w:rPr>
          <w:rtl w:val="0"/>
        </w:rPr>
        <w:t xml:space="preserve"> Real event + credible hypothesis + one diagnostic question. Do </w:t>
      </w:r>
      <w:r w:rsidDel="00000000" w:rsidR="00000000" w:rsidRPr="00000000">
        <w:rPr>
          <w:b w:val="1"/>
          <w:bCs w:val="1"/>
          <w:rtl w:val="0"/>
        </w:rPr>
        <w:t xml:space="preserve">not</w:t>
      </w:r>
      <w:r w:rsidDel="00000000" w:rsidR="00000000" w:rsidRPr="00000000">
        <w:rPr>
          <w:rtl w:val="0"/>
        </w:rPr>
        <w:t xml:space="preserve"> explain the full proposition.</w:t>
      </w:r>
    </w:p>
    <w:p w:rsidR="00000000" w:rsidDel="00000000" w:rsidP="00000000" w:rsidRDefault="00000000" w:rsidRPr="00000000" w14:paraId="000000F4">
      <w:pPr>
        <w:numPr>
          <w:ilvl w:val="0"/>
          <w:numId w:val="6"/>
        </w:numPr>
        <w:ind w:left="720" w:hanging="360"/>
      </w:pPr>
      <w:r w:rsidDel="00000000" w:rsidR="00000000" w:rsidRPr="00000000">
        <w:rPr>
          <w:b w:val="1"/>
          <w:bCs w:val="1"/>
          <w:rtl w:val="0"/>
        </w:rPr>
        <w:t xml:space="preserve">Touch 2 — reframe.</w:t>
      </w:r>
      <w:r w:rsidDel="00000000" w:rsidR="00000000" w:rsidRPr="00000000">
        <w:rPr>
          <w:rtl w:val="0"/>
        </w:rPr>
        <w:t xml:space="preserve"> Offer a distinction they may not have considered (see per-product spines below).</w:t>
      </w:r>
    </w:p>
    <w:p w:rsidR="00000000" w:rsidDel="00000000" w:rsidP="00000000" w:rsidRDefault="00000000" w:rsidRPr="00000000" w14:paraId="000000F5">
      <w:pPr>
        <w:numPr>
          <w:ilvl w:val="0"/>
          <w:numId w:val="6"/>
        </w:numPr>
        <w:ind w:left="720" w:hanging="360"/>
      </w:pPr>
      <w:r w:rsidDel="00000000" w:rsidR="00000000" w:rsidRPr="00000000">
        <w:rPr>
          <w:b w:val="1"/>
          <w:bCs w:val="1"/>
          <w:rtl w:val="0"/>
        </w:rPr>
        <w:t xml:space="preserve">Touch 3 — test ownership.</w:t>
      </w:r>
      <w:r w:rsidDel="00000000" w:rsidR="00000000" w:rsidRPr="00000000">
        <w:rPr>
          <w:rtl w:val="0"/>
        </w:rPr>
        <w:t xml:space="preserve"> "Trying to understand whether this sits with you, elsewhere, or isn't a current priority." A referral is a win.</w:t>
      </w:r>
    </w:p>
    <w:p w:rsidR="00000000" w:rsidDel="00000000" w:rsidP="00000000" w:rsidRDefault="00000000" w:rsidRPr="00000000" w14:paraId="000000F6">
      <w:pPr>
        <w:numPr>
          <w:ilvl w:val="0"/>
          <w:numId w:val="6"/>
        </w:numPr>
        <w:ind w:left="720" w:hanging="360"/>
      </w:pPr>
      <w:r w:rsidDel="00000000" w:rsidR="00000000" w:rsidRPr="00000000">
        <w:rPr>
          <w:b w:val="1"/>
          <w:bCs w:val="1"/>
          <w:rtl w:val="0"/>
        </w:rPr>
        <w:t xml:space="preserve">Touch 4 — consequence.</w:t>
      </w:r>
      <w:r w:rsidDel="00000000" w:rsidR="00000000" w:rsidRPr="00000000">
        <w:rPr>
          <w:rtl w:val="0"/>
        </w:rPr>
        <w:t xml:space="preserve"> What tends to happen if unaddressed — without fearmongering.</w:t>
      </w:r>
    </w:p>
    <w:p w:rsidR="00000000" w:rsidDel="00000000" w:rsidP="00000000" w:rsidRDefault="00000000" w:rsidRPr="00000000" w14:paraId="000000F7">
      <w:pPr>
        <w:numPr>
          <w:ilvl w:val="0"/>
          <w:numId w:val="6"/>
        </w:numPr>
        <w:ind w:left="720" w:hanging="360"/>
      </w:pPr>
      <w:r w:rsidDel="00000000" w:rsidR="00000000" w:rsidRPr="00000000">
        <w:rPr>
          <w:b w:val="1"/>
          <w:bCs w:val="1"/>
          <w:rtl w:val="0"/>
        </w:rPr>
        <w:t xml:space="preserve">Touch 5 — decision support.</w:t>
      </w:r>
      <w:r w:rsidDel="00000000" w:rsidR="00000000" w:rsidRPr="00000000">
        <w:rPr>
          <w:rtl w:val="0"/>
        </w:rPr>
        <w:t xml:space="preserve"> Evaluation questions, readiness scorecard, migration checklist, incumbent-review framework.</w:t>
      </w:r>
    </w:p>
    <w:p w:rsidR="00000000" w:rsidDel="00000000" w:rsidP="00000000" w:rsidRDefault="00000000" w:rsidRPr="00000000" w14:paraId="000000F8">
      <w:pPr>
        <w:numPr>
          <w:ilvl w:val="0"/>
          <w:numId w:val="6"/>
        </w:numPr>
        <w:ind w:left="720" w:hanging="360"/>
      </w:pPr>
      <w:r w:rsidDel="00000000" w:rsidR="00000000" w:rsidRPr="00000000">
        <w:rPr>
          <w:b w:val="1"/>
          <w:bCs w:val="1"/>
          <w:rtl w:val="0"/>
        </w:rPr>
        <w:t xml:space="preserve">Final — classify, don't manipulate.</w:t>
      </w:r>
      <w:r w:rsidDel="00000000" w:rsidR="00000000" w:rsidRPr="00000000">
        <w:rPr>
          <w:rtl w:val="0"/>
        </w:rPr>
        <w:t xml:space="preserve"> Offer the three easy exits (approach working / timing wrong / someone else owns it). No break-up theatrics.</w:t>
      </w:r>
    </w:p>
    <w:p w:rsidR="00000000" w:rsidDel="00000000" w:rsidP="00000000" w:rsidRDefault="00000000" w:rsidRPr="00000000" w14:paraId="000000F9">
      <w:pPr>
        <w:pStyle w:val="Heading3"/>
        <w:rPr/>
      </w:pPr>
      <w:bookmarkStart w:colFirst="0" w:colLast="0" w:name="_xu0y2rid1z79" w:id="16"/>
      <w:bookmarkEnd w:id="16"/>
      <w:r w:rsidDel="00000000" w:rsidR="00000000" w:rsidRPr="00000000">
        <w:rPr>
          <w:rtl w:val="0"/>
        </w:rPr>
        <w:t xml:space="preserve">5.3 Copy rules (Gong telemetry — test, but strong priors)</w:t>
      </w:r>
    </w:p>
    <w:p w:rsidR="00000000" w:rsidDel="00000000" w:rsidP="00000000" w:rsidRDefault="00000000" w:rsidRPr="00000000" w14:paraId="000000FA">
      <w:pPr>
        <w:numPr>
          <w:ilvl w:val="0"/>
          <w:numId w:val="2"/>
        </w:numPr>
        <w:ind w:left="720" w:hanging="360"/>
      </w:pPr>
      <w:r w:rsidDel="00000000" w:rsidR="00000000" w:rsidRPr="00000000">
        <w:rPr>
          <w:b w:val="1"/>
          <w:bCs w:val="1"/>
          <w:rtl w:val="0"/>
        </w:rPr>
        <w:t xml:space="preserve">Length:</w:t>
      </w:r>
      <w:r w:rsidDel="00000000" w:rsidR="00000000" w:rsidRPr="00000000">
        <w:rPr>
          <w:rFonts w:ascii="Arial Unicode MS" w:cs="Arial Unicode MS" w:eastAsia="Arial Unicode MS" w:hAnsi="Arial Unicode MS"/>
          <w:rtl w:val="0"/>
        </w:rPr>
        <w:t xml:space="preserve"> ≤100 words, 3–4 sentences for cold emails.</w:t>
      </w:r>
    </w:p>
    <w:p w:rsidR="00000000" w:rsidDel="00000000" w:rsidP="00000000" w:rsidRDefault="00000000" w:rsidRPr="00000000" w14:paraId="000000FB">
      <w:pPr>
        <w:numPr>
          <w:ilvl w:val="0"/>
          <w:numId w:val="2"/>
        </w:numPr>
        <w:ind w:left="720" w:hanging="360"/>
      </w:pPr>
      <w:r w:rsidDel="00000000" w:rsidR="00000000" w:rsidRPr="00000000">
        <w:rPr>
          <w:b w:val="1"/>
          <w:bCs w:val="1"/>
          <w:rtl w:val="0"/>
        </w:rPr>
        <w:t xml:space="preserve">Subject lines:</w:t>
      </w:r>
      <w:r w:rsidDel="00000000" w:rsidR="00000000" w:rsidRPr="00000000">
        <w:rPr>
          <w:rtl w:val="0"/>
        </w:rPr>
        <w:t xml:space="preserve"> short, priority-based, in the prospect's language. No buzzwords, no numbers, no questions. (Social proof works in the body, not the subject.) For executives: 1–4 words.</w:t>
      </w:r>
    </w:p>
    <w:p w:rsidR="00000000" w:rsidDel="00000000" w:rsidP="00000000" w:rsidRDefault="00000000" w:rsidRPr="00000000" w14:paraId="000000FC">
      <w:pPr>
        <w:numPr>
          <w:ilvl w:val="0"/>
          <w:numId w:val="2"/>
        </w:numPr>
        <w:ind w:left="720" w:hanging="360"/>
      </w:pPr>
      <w:r w:rsidDel="00000000" w:rsidR="00000000" w:rsidRPr="00000000">
        <w:rPr>
          <w:b w:val="1"/>
          <w:bCs w:val="1"/>
          <w:rtl w:val="0"/>
        </w:rPr>
        <w:t xml:space="preserve">CTA:</w:t>
      </w:r>
      <w:r w:rsidDel="00000000" w:rsidR="00000000" w:rsidRPr="00000000">
        <w:rPr>
          <w:rtl w:val="0"/>
        </w:rPr>
        <w:t xml:space="preserve"> interest-based when cold ("worth me sending the framework?"), specific time-request only </w:t>
      </w:r>
      <w:r w:rsidDel="00000000" w:rsidR="00000000" w:rsidRPr="00000000">
        <w:rPr>
          <w:i w:val="1"/>
          <w:iCs w:val="1"/>
          <w:rtl w:val="0"/>
        </w:rPr>
        <w:t xml:space="preserve">after</w:t>
      </w:r>
      <w:r w:rsidDel="00000000" w:rsidR="00000000" w:rsidRPr="00000000">
        <w:rPr>
          <w:rtl w:val="0"/>
        </w:rPr>
        <w:t xml:space="preserve"> interest is established. (Gong 304K-email study: interest CTAs booked at ~15% cold; meeting-request CTAs hurt reply rate.)</w:t>
      </w:r>
    </w:p>
    <w:p w:rsidR="00000000" w:rsidDel="00000000" w:rsidP="00000000" w:rsidRDefault="00000000" w:rsidRPr="00000000" w14:paraId="000000FD">
      <w:pPr>
        <w:numPr>
          <w:ilvl w:val="0"/>
          <w:numId w:val="2"/>
        </w:numPr>
        <w:ind w:left="720" w:hanging="360"/>
      </w:pPr>
      <w:r w:rsidDel="00000000" w:rsidR="00000000" w:rsidRPr="00000000">
        <w:rPr>
          <w:b w:val="1"/>
          <w:bCs w:val="1"/>
          <w:rtl w:val="0"/>
        </w:rPr>
        <w:t xml:space="preserve">Thread continuity:</w:t>
      </w:r>
      <w:r w:rsidDel="00000000" w:rsidR="00000000" w:rsidRPr="00000000">
        <w:rPr>
          <w:rtl w:val="0"/>
        </w:rPr>
        <w:t xml:space="preserve"> keep follow-ups in the same thread; don't change the subject each time.</w:t>
      </w:r>
    </w:p>
    <w:p w:rsidR="00000000" w:rsidDel="00000000" w:rsidP="00000000" w:rsidRDefault="00000000" w:rsidRPr="00000000" w14:paraId="000000FE">
      <w:pPr>
        <w:pStyle w:val="Heading3"/>
        <w:rPr/>
      </w:pPr>
      <w:bookmarkStart w:colFirst="0" w:colLast="0" w:name="_cv2bdu8kk8cz" w:id="17"/>
      <w:bookmarkEnd w:id="17"/>
      <w:r w:rsidDel="00000000" w:rsidR="00000000" w:rsidRPr="00000000">
        <w:rPr>
          <w:rtl w:val="0"/>
        </w:rPr>
        <w:t xml:space="preserve">5.4 Banned vocabulary in cold touches</w:t>
      </w:r>
    </w:p>
    <w:p w:rsidR="00000000" w:rsidDel="00000000" w:rsidP="00000000" w:rsidRDefault="00000000" w:rsidRPr="00000000" w14:paraId="000000FF">
      <w:pPr>
        <w:rPr/>
      </w:pPr>
      <w:r w:rsidDel="00000000" w:rsidR="00000000" w:rsidRPr="00000000">
        <w:rPr>
          <w:rtl w:val="0"/>
        </w:rPr>
        <w:t xml:space="preserve">These are core to the products' positioning and precisely the words Gong found depress cold reply rates. They belong in the </w:t>
      </w:r>
      <w:r w:rsidDel="00000000" w:rsidR="00000000" w:rsidRPr="00000000">
        <w:rPr>
          <w:i w:val="1"/>
          <w:iCs w:val="1"/>
          <w:rtl w:val="0"/>
        </w:rPr>
        <w:t xml:space="preserve">first meeting</w:t>
      </w:r>
      <w:r w:rsidDel="00000000" w:rsidR="00000000" w:rsidRPr="00000000">
        <w:rPr>
          <w:rtl w:val="0"/>
        </w:rPr>
        <w:t xml:space="preserve">, not the </w:t>
      </w:r>
      <w:r w:rsidDel="00000000" w:rsidR="00000000" w:rsidRPr="00000000">
        <w:rPr>
          <w:i w:val="1"/>
          <w:iCs w:val="1"/>
          <w:rtl w:val="0"/>
        </w:rPr>
        <w:t xml:space="preserve">first email</w:t>
      </w:r>
      <w:r w:rsidDel="00000000" w:rsidR="00000000" w:rsidRPr="00000000">
        <w:rPr>
          <w:rtl w:val="0"/>
        </w:rPr>
        <w:t xml:space="preserv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ind w:left="600" w:right="600" w:firstLine="0"/>
        <w:rPr/>
      </w:pPr>
      <w:r w:rsidDel="00000000" w:rsidR="00000000" w:rsidRPr="00000000">
        <w:rPr>
          <w:rtl w:val="0"/>
        </w:rPr>
        <w:t xml:space="preserve">TCO · MTTR · consolidation · "AI" (as the hook) · single-pane-of-glass · all-in-one · ROI / "10x" · plus filler: "just checking in," "bumping this," "thoughts?", "I never heard back," "circling back."</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Use the buyer's own priority language instead. Any numeric claim must trace to an approved Freshworks source or named customer case.</w:t>
      </w:r>
    </w:p>
    <w:p w:rsidR="00000000" w:rsidDel="00000000" w:rsidP="00000000" w:rsidRDefault="00000000" w:rsidRPr="00000000" w14:paraId="00000104">
      <w:pPr>
        <w:pStyle w:val="Heading3"/>
        <w:rPr/>
      </w:pPr>
      <w:bookmarkStart w:colFirst="0" w:colLast="0" w:name="_ingjkav0ei6o" w:id="18"/>
      <w:bookmarkEnd w:id="18"/>
      <w:r w:rsidDel="00000000" w:rsidR="00000000" w:rsidRPr="00000000">
        <w:rPr>
          <w:rtl w:val="0"/>
        </w:rPr>
        <w:t xml:space="preserve">5.5 Account-narrative spines + role entry points (one story per product)</w:t>
      </w:r>
    </w:p>
    <w:p w:rsidR="00000000" w:rsidDel="00000000" w:rsidP="00000000" w:rsidRDefault="00000000" w:rsidRPr="00000000" w14:paraId="00000105">
      <w:pPr>
        <w:rPr/>
      </w:pPr>
      <w:r w:rsidDel="00000000" w:rsidR="00000000" w:rsidRPr="00000000">
        <w:rPr>
          <w:b w:val="1"/>
          <w:bCs w:val="1"/>
          <w:rtl w:val="0"/>
        </w:rPr>
        <w:t xml:space="preserve">Freshservice — the reframe:</w:t>
      </w:r>
      <w:r w:rsidDel="00000000" w:rsidR="00000000" w:rsidRPr="00000000">
        <w:rPr>
          <w:rtl w:val="0"/>
        </w:rPr>
        <w:t xml:space="preserve"> </w:t>
      </w:r>
      <w:r w:rsidDel="00000000" w:rsidR="00000000" w:rsidRPr="00000000">
        <w:rPr>
          <w:i w:val="1"/>
          <w:iCs w:val="1"/>
          <w:rtl w:val="0"/>
        </w:rPr>
        <w:t xml:space="preserve">ITSM reviews are increasingly driven by the operating cost and administration of the platform, not dissatisfaction with the service desk alone.</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Device42 — the reframe:</w:t>
      </w:r>
      <w:r w:rsidDel="00000000" w:rsidR="00000000" w:rsidRPr="00000000">
        <w:rPr>
          <w:rtl w:val="0"/>
        </w:rPr>
        <w:t xml:space="preserve"> </w:t>
      </w:r>
      <w:r w:rsidDel="00000000" w:rsidR="00000000" w:rsidRPr="00000000">
        <w:rPr>
          <w:i w:val="1"/>
          <w:iCs w:val="1"/>
          <w:rtl w:val="0"/>
        </w:rPr>
        <w:t xml:space="preserve">In migrations/consolidations, the risk isn't the move itself — it's that CMDB records and application dependencies don't reflect the live environment, making move-group planning dependent on manual knowledge.</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FireHydrant — the reframe:</w:t>
      </w:r>
      <w:r w:rsidDel="00000000" w:rsidR="00000000" w:rsidRPr="00000000">
        <w:rPr>
          <w:rtl w:val="0"/>
        </w:rPr>
        <w:t xml:space="preserve"> </w:t>
      </w:r>
      <w:r w:rsidDel="00000000" w:rsidR="00000000" w:rsidRPr="00000000">
        <w:rPr>
          <w:i w:val="1"/>
          <w:iCs w:val="1"/>
          <w:rtl w:val="0"/>
        </w:rPr>
        <w:t xml:space="preserve">Most engineering orgs already have alerting, chat, and postmortem tools; what stays fragmented during a critical event is incident ownership, runbooks, and stakeholder communication — the operating discipline, not the tooling.</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Role entry points (same spine, different question each person is best placed to answer):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Entry emphasis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CIO / CTO / VP 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Strategic consequence, resource allocation,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ITSM / Service Mgmt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Operating model, platform administration, adoption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IT Ops / Service Desk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Workflow, user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Infrastructure / Cloud /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Discovery, dependency accuracy, change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SRE / Platform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Response coordination, runbooks, on-call,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Engineer / practitioner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Usability, integrations, manual friction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Commercial model, implementation risk, total cost</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ind w:left="600" w:right="600" w:firstLine="0"/>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send the same email with only the first name changed — but equally, do </w:t>
      </w:r>
      <w:r w:rsidDel="00000000" w:rsidR="00000000" w:rsidRPr="00000000">
        <w:rPr>
          <w:b w:val="1"/>
          <w:bCs w:val="1"/>
          <w:rtl w:val="0"/>
        </w:rPr>
        <w:t xml:space="preserve">not</w:t>
      </w:r>
      <w:r w:rsidDel="00000000" w:rsidR="00000000" w:rsidRPr="00000000">
        <w:rPr>
          <w:rtl w:val="0"/>
        </w:rPr>
        <w:t xml:space="preserve"> send three unrelated propositions. One spine, differentiated questions.</w:t>
      </w:r>
    </w:p>
    <w:p w:rsidR="00000000" w:rsidDel="00000000" w:rsidP="00000000" w:rsidRDefault="00000000" w:rsidRPr="00000000" w14:paraId="0000011F">
      <w:pPr>
        <w:pStyle w:val="Heading3"/>
        <w:rPr/>
      </w:pPr>
      <w:bookmarkStart w:colFirst="0" w:colLast="0" w:name="_9m8siucjhfxl" w:id="19"/>
      <w:bookmarkEnd w:id="19"/>
      <w:r w:rsidDel="00000000" w:rsidR="00000000" w:rsidRPr="00000000">
        <w:rPr>
          <w:rtl w:val="0"/>
        </w:rPr>
        <w:t xml:space="preserve">5.6 One worked example per product (illustration — match Moe's style, not a template)</w:t>
      </w:r>
    </w:p>
    <w:p w:rsidR="00000000" w:rsidDel="00000000" w:rsidP="00000000" w:rsidRDefault="00000000" w:rsidRPr="00000000" w14:paraId="00000120">
      <w:pPr>
        <w:rPr/>
      </w:pPr>
      <w:r w:rsidDel="00000000" w:rsidR="00000000" w:rsidRPr="00000000">
        <w:rPr>
          <w:b w:val="1"/>
          <w:bCs w:val="1"/>
          <w:rtl w:val="0"/>
        </w:rPr>
        <w:t xml:space="preserve">Freshservice (Tier A, IT Director):</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ind w:left="600" w:right="600" w:firstLine="0"/>
        <w:rPr/>
      </w:pPr>
      <w:r w:rsidDel="00000000" w:rsidR="00000000" w:rsidRPr="00000000">
        <w:rPr>
          <w:rtl w:val="0"/>
        </w:rPr>
        <w:t xml:space="preserve">Subject: IT service operations Hi Anna — noticed [company] is expanding shared services across the Nordics. In setups like that, the real strain on IT service management is often the specialist admin and asset-data work needed to keep the operating model running — not the service desk itself. Is that distinction relevant to how you're looking at your current environment? Happy to share the framework other Nordic IT teams use to pull the two apart.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Device42 (Tier A, Head of Infrastructure):</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ind w:left="600" w:right="600" w:firstLine="0"/>
        <w:rPr/>
      </w:pPr>
      <w:r w:rsidDel="00000000" w:rsidR="00000000" w:rsidRPr="00000000">
        <w:rPr>
          <w:rtl w:val="0"/>
        </w:rPr>
        <w:t xml:space="preserve">Subject: Migration dependencies Hi Erik — saw [company] is progressing with [migration]. The recurring risk in these programmes is that dependency records don't match the live estate, so move-group planning ends up resting on people's memory. Relevant enough for me to send the pre-migration discovery checklist we use?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FireHydrant (Tier A, Head of SRE):</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ind w:left="600" w:right="600" w:firstLine="0"/>
        <w:rPr/>
      </w:pPr>
      <w:r w:rsidDel="00000000" w:rsidR="00000000" w:rsidRPr="00000000">
        <w:rPr>
          <w:rtl w:val="0"/>
        </w:rPr>
        <w:t xml:space="preserve">Subject: Incident readiness Hi Sofia — saw the SRE investment at [company]. Most teams have alerting and postmortems covered; what tends to stay fragmented mid-incident is ownership, runbooks, and stakeholder comms. Worth seeing the incident-readiness scorecard we use with engineering leaders, or is that already tight for you?</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rPr/>
      </w:pPr>
      <w:bookmarkStart w:colFirst="0" w:colLast="0" w:name="_lhr093n547z4" w:id="20"/>
      <w:bookmarkEnd w:id="20"/>
      <w:r w:rsidDel="00000000" w:rsidR="00000000" w:rsidRPr="00000000">
        <w:rPr>
          <w:rtl w:val="0"/>
        </w:rPr>
        <w:t xml:space="preserve">6. Buying group &amp; multi-threading</w:t>
      </w:r>
    </w:p>
    <w:p w:rsidR="00000000" w:rsidDel="00000000" w:rsidP="00000000" w:rsidRDefault="00000000" w:rsidRPr="00000000" w14:paraId="0000012E">
      <w:pPr>
        <w:rPr/>
      </w:pPr>
      <w:r w:rsidDel="00000000" w:rsidR="00000000" w:rsidRPr="00000000">
        <w:rPr>
          <w:b w:val="1"/>
          <w:bCs w:val="1"/>
          <w:rtl w:val="0"/>
        </w:rPr>
        <w:t xml:space="preserve">Coverage model:</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numPr>
          <w:ilvl w:val="0"/>
          <w:numId w:val="2"/>
        </w:numPr>
        <w:ind w:left="720" w:hanging="360"/>
      </w:pPr>
      <w:r w:rsidDel="00000000" w:rsidR="00000000" w:rsidRPr="00000000">
        <w:rPr>
          <w:b w:val="1"/>
          <w:bCs w:val="1"/>
          <w:rtl w:val="0"/>
        </w:rPr>
        <w:t xml:space="preserve">Wave 1 — three contacts:</w:t>
      </w:r>
      <w:r w:rsidDel="00000000" w:rsidR="00000000" w:rsidRPr="00000000">
        <w:rPr>
          <w:rtl w:val="0"/>
        </w:rPr>
        <w:t xml:space="preserve"> strategic sponsor / operational owner / technical evaluator. Stagger first contact 48–72h unless the account is actively buying.</w:t>
      </w:r>
    </w:p>
    <w:p w:rsidR="00000000" w:rsidDel="00000000" w:rsidP="00000000" w:rsidRDefault="00000000" w:rsidRPr="00000000" w14:paraId="00000131">
      <w:pPr>
        <w:numPr>
          <w:ilvl w:val="0"/>
          <w:numId w:val="2"/>
        </w:numPr>
        <w:ind w:left="720" w:hanging="360"/>
      </w:pPr>
      <w:r w:rsidDel="00000000" w:rsidR="00000000" w:rsidRPr="00000000">
        <w:rPr>
          <w:b w:val="1"/>
          <w:bCs w:val="1"/>
          <w:rtl w:val="0"/>
        </w:rPr>
        <w:t xml:space="preserve">Wave 2 — expand only on evidence:</w:t>
      </w:r>
      <w:r w:rsidDel="00000000" w:rsidR="00000000" w:rsidRPr="00000000">
        <w:rPr>
          <w:rtl w:val="0"/>
        </w:rPr>
        <w:t xml:space="preserve"> a referral, a reply revealing ownership, a cross-department trigger, multiple people engaging, or a live evaluation surfacing.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Contact selection:</w:t>
      </w:r>
      <w:r w:rsidDel="00000000" w:rsidR="00000000" w:rsidRPr="00000000">
        <w:rPr>
          <w:rtl w:val="0"/>
        </w:rPr>
        <w:t xml:space="preserve"> choose for </w:t>
      </w:r>
      <w:r w:rsidDel="00000000" w:rsidR="00000000" w:rsidRPr="00000000">
        <w:rPr>
          <w:b w:val="1"/>
          <w:bCs w:val="1"/>
          <w:rtl w:val="0"/>
        </w:rPr>
        <w:t xml:space="preserve">functional diversity + decision authority</w:t>
      </w:r>
      <w:r w:rsidDel="00000000" w:rsidR="00000000" w:rsidRPr="00000000">
        <w:rPr>
          <w:rFonts w:ascii="Arial Unicode MS" w:cs="Arial Unicode MS" w:eastAsia="Arial Unicode MS" w:hAnsi="Arial Unicode MS"/>
          <w:rtl w:val="0"/>
        </w:rPr>
        <w:t xml:space="preserve">, not a seniority ladder. (Gartner: tech buying teams run 11–15 people but only ~4–5 are decision-makers; Forrester: ~13 internal + 9 external influencers, 73% of purchases cross ≥3 departments; procurement is a decision-maker ~53% of the time.) Three people in one reporting line is weaker coverage than IT + an affected business unit + a technical evaluator.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One narrative across all contacted</w:t>
      </w:r>
      <w:r w:rsidDel="00000000" w:rsidR="00000000" w:rsidRPr="00000000">
        <w:rPr>
          <w:rtl w:val="0"/>
        </w:rPr>
        <w:t xml:space="preserve"> (§2). </w:t>
      </w:r>
      <w:r w:rsidDel="00000000" w:rsidR="00000000" w:rsidRPr="00000000">
        <w:rPr>
          <w:b w:val="1"/>
          <w:bCs w:val="1"/>
          <w:rtl w:val="0"/>
        </w:rPr>
        <w:t xml:space="preserve">When one person responds:</w:t>
      </w:r>
      <w:r w:rsidDel="00000000" w:rsidR="00000000" w:rsidRPr="00000000">
        <w:rPr>
          <w:rtl w:val="0"/>
        </w:rPr>
        <w:t xml:space="preserve"> pause/adjust the rest of the account, and ask "who else would normally be involved in assessing this?" — don't create the impression of indiscriminately surrounding the org.</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Per-product Wave-1 trios:</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2"/>
        </w:numPr>
        <w:ind w:left="720" w:hanging="360"/>
      </w:pPr>
      <w:r w:rsidDel="00000000" w:rsidR="00000000" w:rsidRPr="00000000">
        <w:rPr>
          <w:b w:val="1"/>
          <w:bCs w:val="1"/>
          <w:rtl w:val="0"/>
        </w:rPr>
        <w:t xml:space="preserve">Freshservice:</w:t>
      </w:r>
      <w:r w:rsidDel="00000000" w:rsidR="00000000" w:rsidRPr="00000000">
        <w:rPr>
          <w:rtl w:val="0"/>
        </w:rPr>
        <w:t xml:space="preserve"> CIO/IT Director · Head of ITSM/Service Management · Head of IT Ops/Service Desk</w:t>
      </w:r>
    </w:p>
    <w:p w:rsidR="00000000" w:rsidDel="00000000" w:rsidP="00000000" w:rsidRDefault="00000000" w:rsidRPr="00000000" w14:paraId="0000013A">
      <w:pPr>
        <w:numPr>
          <w:ilvl w:val="0"/>
          <w:numId w:val="2"/>
        </w:numPr>
        <w:ind w:left="720" w:hanging="360"/>
      </w:pPr>
      <w:r w:rsidDel="00000000" w:rsidR="00000000" w:rsidRPr="00000000">
        <w:rPr>
          <w:b w:val="1"/>
          <w:bCs w:val="1"/>
          <w:rtl w:val="0"/>
        </w:rPr>
        <w:t xml:space="preserve">Device42:</w:t>
      </w:r>
      <w:r w:rsidDel="00000000" w:rsidR="00000000" w:rsidRPr="00000000">
        <w:rPr>
          <w:rtl w:val="0"/>
        </w:rPr>
        <w:t xml:space="preserve"> Infrastructure/Cloud lead · Enterprise Architect/CMDB owner · Migration/transformation programme owner</w:t>
      </w:r>
    </w:p>
    <w:p w:rsidR="00000000" w:rsidDel="00000000" w:rsidP="00000000" w:rsidRDefault="00000000" w:rsidRPr="00000000" w14:paraId="0000013B">
      <w:pPr>
        <w:numPr>
          <w:ilvl w:val="0"/>
          <w:numId w:val="2"/>
        </w:numPr>
        <w:ind w:left="720" w:hanging="360"/>
      </w:pPr>
      <w:r w:rsidDel="00000000" w:rsidR="00000000" w:rsidRPr="00000000">
        <w:rPr>
          <w:b w:val="1"/>
          <w:bCs w:val="1"/>
          <w:rtl w:val="0"/>
        </w:rPr>
        <w:t xml:space="preserve">FireHydrant:</w:t>
      </w:r>
      <w:r w:rsidDel="00000000" w:rsidR="00000000" w:rsidRPr="00000000">
        <w:rPr>
          <w:rtl w:val="0"/>
        </w:rPr>
        <w:t xml:space="preserve"> VP Eng/CTO · Head of SRE/Platform · Incident-management / eng-operations owner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rPr/>
      </w:pPr>
      <w:bookmarkStart w:colFirst="0" w:colLast="0" w:name="_6t6d6190eh8q" w:id="21"/>
      <w:bookmarkEnd w:id="21"/>
      <w:r w:rsidDel="00000000" w:rsidR="00000000" w:rsidRPr="00000000">
        <w:rPr>
          <w:rtl w:val="0"/>
        </w:rPr>
        <w:t xml:space="preserve">7. Channel execution</w:t>
      </w:r>
    </w:p>
    <w:p w:rsidR="00000000" w:rsidDel="00000000" w:rsidP="00000000" w:rsidRDefault="00000000" w:rsidRPr="00000000" w14:paraId="0000013F">
      <w:pPr>
        <w:rPr/>
      </w:pPr>
      <w:r w:rsidDel="00000000" w:rsidR="00000000" w:rsidRPr="00000000">
        <w:rPr>
          <w:b w:val="1"/>
          <w:bCs w:val="1"/>
          <w:rtl w:val="0"/>
        </w:rPr>
        <w:t xml:space="preserve">Email.</w:t>
      </w:r>
      <w:r w:rsidDel="00000000" w:rsidR="00000000" w:rsidRPr="00000000">
        <w:rPr>
          <w:rFonts w:ascii="Arial Unicode MS" w:cs="Arial Unicode MS" w:eastAsia="Arial Unicode MS" w:hAnsi="Arial Unicode MS"/>
          <w:rtl w:val="0"/>
        </w:rPr>
        <w:t xml:space="preserve"> Thread continuity; ≤100 words; never chase opens (tracking is unreliable and privacy systems trigger false opens).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Phone.</w:t>
      </w:r>
      <w:r w:rsidDel="00000000" w:rsidR="00000000" w:rsidRPr="00000000">
        <w:rPr>
          <w:rtl w:val="0"/>
        </w:rPr>
        <w:t xml:space="preserve"> See §4 branch. Permission-based opener, reason for the call stated early, transparent that it's a cold call ("did I catch you at a bad time?" performs </w:t>
      </w:r>
      <w:r w:rsidDel="00000000" w:rsidR="00000000" w:rsidRPr="00000000">
        <w:rPr>
          <w:i w:val="1"/>
          <w:iCs w:val="1"/>
          <w:rtl w:val="0"/>
        </w:rPr>
        <w:t xml:space="preserve">poorly</w:t>
      </w:r>
      <w:r w:rsidDel="00000000" w:rsidR="00000000" w:rsidRPr="00000000">
        <w:rPr>
          <w:rFonts w:ascii="Arial Unicode MS" w:cs="Arial Unicode MS" w:eastAsia="Arial Unicode MS" w:hAnsi="Arial Unicode MS"/>
          <w:rtl w:val="0"/>
        </w:rPr>
        <w:t xml:space="preserve"> per Gong — avoid). Direct dials only; 3–5 attempts/prospect; Tue–Thu; local number when available. Voicemail selective — ≤1–2 across the whole sequence, Tier A only (Gong: 1–2 lift subsequent email reply, 3+ underperform none).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LinkedIn.</w:t>
      </w:r>
      <w:r w:rsidDel="00000000" w:rsidR="00000000" w:rsidRPr="00000000">
        <w:rPr>
          <w:rtl w:val="0"/>
        </w:rPr>
        <w:t xml:space="preserve"> Profile must be buyer-ready before any outreach (problems you solve, Nordic IT/eng orgs you work with, credibility). Connect without pitching — no product description, no calendar link, no "pick your brain." Value touches must add something, not copy the email. Profile-view + follow before messaging. </w:t>
      </w:r>
      <w:r w:rsidDel="00000000" w:rsidR="00000000" w:rsidRPr="00000000">
        <w:rPr>
          <w:b w:val="1"/>
          <w:bCs w:val="1"/>
          <w:rtl w:val="0"/>
        </w:rPr>
        <w:t xml:space="preserve">Instrument your own numbers</w:t>
      </w:r>
      <w:r w:rsidDel="00000000" w:rsidR="00000000" w:rsidRPr="00000000">
        <w:rPr>
          <w:rtl w:val="0"/>
        </w:rPr>
        <w:t xml:space="preserve"> — published InMail benchmarks range 6–25% and the high end is unsourced; ignore them.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Video.</w:t>
      </w:r>
      <w:r w:rsidDel="00000000" w:rsidR="00000000" w:rsidRPr="00000000">
        <w:rPr>
          <w:rtl w:val="0"/>
        </w:rPr>
        <w:t xml:space="preserve"> Later, unmeasured — instrument from first use, don't assume the quoted response rates.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rPr/>
      </w:pPr>
      <w:bookmarkStart w:colFirst="0" w:colLast="0" w:name="_jutadj20jta3" w:id="22"/>
      <w:bookmarkEnd w:id="22"/>
      <w:r w:rsidDel="00000000" w:rsidR="00000000" w:rsidRPr="00000000">
        <w:rPr>
          <w:rtl w:val="0"/>
        </w:rPr>
        <w:t xml:space="preserve">8. Nordic execution</w:t>
      </w:r>
    </w:p>
    <w:p w:rsidR="00000000" w:rsidDel="00000000" w:rsidP="00000000" w:rsidRDefault="00000000" w:rsidRPr="00000000" w14:paraId="00000149">
      <w:pPr>
        <w:rPr/>
      </w:pPr>
      <w:r w:rsidDel="00000000" w:rsidR="00000000" w:rsidRPr="00000000">
        <w:rPr>
          <w:b w:val="1"/>
          <w:bCs w:val="1"/>
          <w:rtl w:val="0"/>
        </w:rPr>
        <w:t xml:space="preserve">Territory.</w:t>
      </w:r>
      <w:r w:rsidDel="00000000" w:rsidR="00000000" w:rsidRPr="00000000">
        <w:rPr>
          <w:rtl w:val="0"/>
        </w:rPr>
        <w:t xml:space="preserve"> SE/FI/IS core; DK/NO temporary overflow (English-default, don't localise deeply).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Tone.</w:t>
      </w:r>
      <w:r w:rsidDel="00000000" w:rsidR="00000000" w:rsidRPr="00000000">
        <w:rPr>
          <w:rtl w:val="0"/>
        </w:rPr>
        <w:t xml:space="preserve"> Direct, calm, specific, evidence-led, low on superlatives, respectful of the prospect's expertise, comfortable acknowledging their current solution may be working. Avoid over-familiarity, artificial urgency, exaggerated praise, American-style enthusiasm, and fear-based competitor attacks. In a first cold email, omit "I hope you're well" — the opening line is the most valuable space for establishing relevance.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Language.</w:t>
      </w:r>
      <w:r w:rsidDel="00000000" w:rsidR="00000000" w:rsidRPr="00000000">
        <w:rPr>
          <w:rtl w:val="0"/>
        </w:rPr>
        <w:t xml:space="preserve"> Swedish for Swedish operational buyers (Moe's Swedish is a genuine asset the benchmark data can't account for); English for FI/IS/DK/NO and for senior/international roles. Match the prospect; ask Moe if unsure. Never ship poor machine-translated local language — polished English beats bad Finnish/Danish/etc.</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Timing.</w:t>
      </w:r>
      <w:r w:rsidDel="00000000" w:rsidR="00000000" w:rsidRPr="00000000">
        <w:rPr>
          <w:rtl w:val="0"/>
        </w:rPr>
        <w:t xml:space="preserve"> Local working day. Suppress non-triggered outbound during national holidays, Nordic summer holidays, Christmas/New Year, and company shutdowns. A genuine fresh trigger can justify off-period outreach; generic sequences cannot.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Compliance (not legal advice).</w:t>
      </w:r>
      <w:r w:rsidDel="00000000" w:rsidR="00000000" w:rsidRPr="00000000">
        <w:rPr>
          <w:rtl w:val="0"/>
        </w:rPr>
        <w:t xml:space="preserve"> All five countries are under GDPR (SE/FI/DK = EU; NO/IS = EEA). B2B cold email runs on the legitimate-interest basis (Art. 6(1)(f)) with a mandatory, easy opt-out.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2"/>
        </w:numPr>
        <w:ind w:left="720" w:hanging="360"/>
      </w:pPr>
      <w:r w:rsidDel="00000000" w:rsidR="00000000" w:rsidRPr="00000000">
        <w:rPr>
          <w:b w:val="1"/>
          <w:bCs w:val="1"/>
          <w:rtl w:val="0"/>
        </w:rPr>
        <w:t xml:space="preserve">Sweden (IMY):</w:t>
      </w:r>
      <w:r w:rsidDel="00000000" w:rsidR="00000000" w:rsidRPr="00000000">
        <w:rPr>
          <w:rtl w:val="0"/>
        </w:rPr>
        <w:t xml:space="preserve"> active DPA; opt-out management is non-negotiable; valid GDPR basis + transparency required for named-individual data.</w:t>
      </w:r>
    </w:p>
    <w:p w:rsidR="00000000" w:rsidDel="00000000" w:rsidP="00000000" w:rsidRDefault="00000000" w:rsidRPr="00000000" w14:paraId="00000154">
      <w:pPr>
        <w:numPr>
          <w:ilvl w:val="0"/>
          <w:numId w:val="2"/>
        </w:numPr>
        <w:ind w:left="720" w:hanging="360"/>
      </w:pPr>
      <w:r w:rsidDel="00000000" w:rsidR="00000000" w:rsidRPr="00000000">
        <w:rPr>
          <w:b w:val="1"/>
          <w:bCs w:val="1"/>
          <w:rtl w:val="0"/>
        </w:rPr>
        <w:t xml:space="preserve">Finland (Tietosuoja):</w:t>
      </w:r>
      <w:r w:rsidDel="00000000" w:rsidR="00000000" w:rsidRPr="00000000">
        <w:rPr>
          <w:rtl w:val="0"/>
        </w:rPr>
        <w:t xml:space="preserve"> legitimate-interest permitted; note the nuance that marketing to a named work email can depend on whether the product is materially connected to that person's professional responsibilities — assess and document role-relevance. Telephone prospecting is treated differently but the individual retains a right to object.</w:t>
      </w:r>
    </w:p>
    <w:p w:rsidR="00000000" w:rsidDel="00000000" w:rsidP="00000000" w:rsidRDefault="00000000" w:rsidRPr="00000000" w14:paraId="00000155">
      <w:pPr>
        <w:numPr>
          <w:ilvl w:val="0"/>
          <w:numId w:val="2"/>
        </w:numPr>
        <w:ind w:left="720" w:hanging="360"/>
      </w:pPr>
      <w:r w:rsidDel="00000000" w:rsidR="00000000" w:rsidRPr="00000000">
        <w:rPr>
          <w:b w:val="1"/>
          <w:bCs w:val="1"/>
          <w:rtl w:val="0"/>
        </w:rPr>
        <w:t xml:space="preserve">DK / NO / IS:</w:t>
      </w:r>
      <w:r w:rsidDel="00000000" w:rsidR="00000000" w:rsidRPr="00000000">
        <w:rPr>
          <w:rtl w:val="0"/>
        </w:rPr>
        <w:t xml:space="preserve"> GDPR applies but country-specific detail was </w:t>
      </w:r>
      <w:r w:rsidDel="00000000" w:rsidR="00000000" w:rsidRPr="00000000">
        <w:rPr>
          <w:b w:val="1"/>
          <w:bCs w:val="1"/>
          <w:rtl w:val="0"/>
        </w:rPr>
        <w:t xml:space="preserve">not</w:t>
      </w:r>
      <w:r w:rsidDel="00000000" w:rsidR="00000000" w:rsidRPr="00000000">
        <w:rPr>
          <w:rtl w:val="0"/>
        </w:rPr>
        <w:t xml:space="preserve"> researched here — verify before scaling. (See §11.)</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rPr/>
      </w:pPr>
      <w:bookmarkStart w:colFirst="0" w:colLast="0" w:name="_u5bvrleafnk1" w:id="23"/>
      <w:bookmarkEnd w:id="23"/>
      <w:r w:rsidDel="00000000" w:rsidR="00000000" w:rsidRPr="00000000">
        <w:rPr>
          <w:rtl w:val="0"/>
        </w:rPr>
        <w:t xml:space="preserve">9. Measurement &amp; test plan</w:t>
      </w:r>
    </w:p>
    <w:p w:rsidR="00000000" w:rsidDel="00000000" w:rsidP="00000000" w:rsidRDefault="00000000" w:rsidRPr="00000000" w14:paraId="00000159">
      <w:pPr>
        <w:rPr/>
      </w:pPr>
      <w:r w:rsidDel="00000000" w:rsidR="00000000" w:rsidRPr="00000000">
        <w:rPr>
          <w:b w:val="1"/>
          <w:bCs w:val="1"/>
          <w:rtl w:val="0"/>
        </w:rPr>
        <w:t xml:space="preserve">Optimise for meetings and pipeline, never opens.</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Primary metrics — per 100 targeted ACCOUNTS (not per contact):</w:t>
      </w:r>
      <w:r w:rsidDel="00000000" w:rsidR="00000000" w:rsidRPr="00000000">
        <w:rPr>
          <w:rtl w:val="0"/>
        </w:rPr>
        <w:t xml:space="preserve"> positive replies · meetings held · qualified opportunities · pipeline created · engaged buying-group members.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Segment every metric by:</w:t>
      </w:r>
      <w:r w:rsidDel="00000000" w:rsidR="00000000" w:rsidRPr="00000000">
        <w:rPr>
          <w:rtl w:val="0"/>
        </w:rPr>
        <w:t xml:space="preserve"> country · persona · product · trigger type · tier · language · phone-first vs email-first · sequence duration · stakeholders contacted.</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Diagnostic metrics:</w:t>
      </w:r>
      <w:r w:rsidDel="00000000" w:rsidR="00000000" w:rsidRPr="00000000">
        <w:rPr>
          <w:rtl w:val="0"/>
        </w:rPr>
        <w:t xml:space="preserve"> call-connect rate · conversation-to-meeting · LinkedIn acceptance · reply rate by email step · referral rate · bounce · unsubscribe/complaint · time from first touch to meaningful engagement.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Test methodology:</w:t>
      </w:r>
      <w:r w:rsidDel="00000000" w:rsidR="00000000" w:rsidRPr="00000000">
        <w:rPr>
          <w:rtl w:val="0"/>
        </w:rPr>
        <w:t xml:space="preserve"> one meaningful variable at a time; </w:t>
      </w:r>
      <w:r w:rsidDel="00000000" w:rsidR="00000000" w:rsidRPr="00000000">
        <w:rPr>
          <w:b w:val="1"/>
          <w:bCs w:val="1"/>
          <w:rtl w:val="0"/>
        </w:rPr>
        <w:t xml:space="preserve">randomise accounts across variants</w:t>
      </w:r>
      <w:r w:rsidDel="00000000" w:rsidR="00000000" w:rsidRPr="00000000">
        <w:rPr>
          <w:rtl w:val="0"/>
        </w:rPr>
        <w:t xml:space="preserve"> (never let rep choice decide which accounts get the "good" version — it biases the result). First tests worth running:</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numPr>
          <w:ilvl w:val="0"/>
          <w:numId w:val="3"/>
        </w:numPr>
        <w:ind w:left="720" w:hanging="360"/>
      </w:pPr>
      <w:r w:rsidDel="00000000" w:rsidR="00000000" w:rsidRPr="00000000">
        <w:rPr>
          <w:rtl w:val="0"/>
        </w:rPr>
        <w:t xml:space="preserve">Trigger-led vs account-led opening</w:t>
      </w:r>
    </w:p>
    <w:p w:rsidR="00000000" w:rsidDel="00000000" w:rsidP="00000000" w:rsidRDefault="00000000" w:rsidRPr="00000000" w14:paraId="00000164">
      <w:pPr>
        <w:numPr>
          <w:ilvl w:val="0"/>
          <w:numId w:val="3"/>
        </w:numPr>
        <w:ind w:left="720" w:hanging="360"/>
      </w:pPr>
      <w:r w:rsidDel="00000000" w:rsidR="00000000" w:rsidRPr="00000000">
        <w:rPr>
          <w:rtl w:val="0"/>
        </w:rPr>
        <w:t xml:space="preserve">Interest CTA vs meeting CTA</w:t>
      </w:r>
    </w:p>
    <w:p w:rsidR="00000000" w:rsidDel="00000000" w:rsidP="00000000" w:rsidRDefault="00000000" w:rsidRPr="00000000" w14:paraId="00000165">
      <w:pPr>
        <w:numPr>
          <w:ilvl w:val="0"/>
          <w:numId w:val="3"/>
        </w:numPr>
        <w:ind w:left="720" w:hanging="360"/>
      </w:pPr>
      <w:r w:rsidDel="00000000" w:rsidR="00000000" w:rsidRPr="00000000">
        <w:rPr>
          <w:rtl w:val="0"/>
        </w:rPr>
        <w:t xml:space="preserve">Phone at touch 1 vs touch 3 (IT Tier A)</w:t>
      </w:r>
    </w:p>
    <w:p w:rsidR="00000000" w:rsidDel="00000000" w:rsidP="00000000" w:rsidRDefault="00000000" w:rsidRPr="00000000" w14:paraId="00000166">
      <w:pPr>
        <w:numPr>
          <w:ilvl w:val="0"/>
          <w:numId w:val="3"/>
        </w:numPr>
        <w:ind w:left="720" w:hanging="360"/>
      </w:pPr>
      <w:r w:rsidDel="00000000" w:rsidR="00000000" w:rsidRPr="00000000">
        <w:rPr>
          <w:rtl w:val="0"/>
        </w:rPr>
        <w:t xml:space="preserve">Swedish vs English (Swedish accounts)</w:t>
      </w:r>
    </w:p>
    <w:p w:rsidR="00000000" w:rsidDel="00000000" w:rsidP="00000000" w:rsidRDefault="00000000" w:rsidRPr="00000000" w14:paraId="00000167">
      <w:pPr>
        <w:numPr>
          <w:ilvl w:val="0"/>
          <w:numId w:val="3"/>
        </w:numPr>
        <w:ind w:left="720" w:hanging="360"/>
      </w:pPr>
      <w:r w:rsidDel="00000000" w:rsidR="00000000" w:rsidRPr="00000000">
        <w:rPr>
          <w:rtl w:val="0"/>
        </w:rPr>
        <w:t xml:space="preserve">Customer-evidence vs diagnostic-framework in Email 3</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rPr/>
      </w:pPr>
      <w:bookmarkStart w:colFirst="0" w:colLast="0" w:name="_oaughtde1kxf" w:id="24"/>
      <w:bookmarkEnd w:id="24"/>
      <w:r w:rsidDel="00000000" w:rsidR="00000000" w:rsidRPr="00000000">
        <w:rPr>
          <w:rtl w:val="0"/>
        </w:rPr>
        <w:t xml:space="preserve">10. Do / Don't</w:t>
      </w:r>
    </w:p>
    <w:p w:rsidR="00000000" w:rsidDel="00000000" w:rsidP="00000000" w:rsidRDefault="00000000" w:rsidRPr="00000000" w14:paraId="0000016B">
      <w:pPr>
        <w:rPr/>
      </w:pPr>
      <w:r w:rsidDel="00000000" w:rsidR="00000000" w:rsidRPr="00000000">
        <w:rPr>
          <w:b w:val="1"/>
          <w:bCs w:val="1"/>
          <w:rtl w:val="0"/>
        </w:rPr>
        <w:t xml:space="preserve">Do:</w:t>
      </w:r>
      <w:r w:rsidDel="00000000" w:rsidR="00000000" w:rsidRPr="00000000">
        <w:rPr>
          <w:rFonts w:ascii="Arial Unicode MS" w:cs="Arial Unicode MS" w:eastAsia="Arial Unicode MS" w:hAnsi="Arial Unicode MS"/>
          <w:rtl w:val="0"/>
        </w:rPr>
        <w:t xml:space="preserve"> lead with a credible reason for contacting them · one central problem per message · ≤100-word first email · introduce </w:t>
      </w:r>
      <w:r w:rsidDel="00000000" w:rsidR="00000000" w:rsidRPr="00000000">
        <w:rPr>
          <w:i w:val="1"/>
          <w:iCs w:val="1"/>
          <w:rtl w:val="0"/>
        </w:rPr>
        <w:t xml:space="preserve">new</w:t>
      </w:r>
      <w:r w:rsidDel="00000000" w:rsidR="00000000" w:rsidRPr="00000000">
        <w:rPr>
          <w:rtl w:val="0"/>
        </w:rPr>
        <w:t xml:space="preserve"> value each follow-up · map the buying group (Wave 1 of three) · interest CTA before any meeting ask · offer decision support (Sense Making) · pause when someone engages · recycle strong accounts on a </w:t>
      </w:r>
      <w:r w:rsidDel="00000000" w:rsidR="00000000" w:rsidRPr="00000000">
        <w:rPr>
          <w:i w:val="1"/>
          <w:iCs w:val="1"/>
          <w:rtl w:val="0"/>
        </w:rPr>
        <w:t xml:space="preserve">new</w:t>
      </w:r>
      <w:r w:rsidDel="00000000" w:rsidR="00000000" w:rsidRPr="00000000">
        <w:rPr>
          <w:rtl w:val="0"/>
        </w:rPr>
        <w:t xml:space="preserve"> trigger · track by account/product/persona/country.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Don't:</w:t>
      </w:r>
      <w:r w:rsidDel="00000000" w:rsidR="00000000" w:rsidRPr="00000000">
        <w:rPr>
          <w:rtl w:val="0"/>
        </w:rPr>
        <w:t xml:space="preserve"> generic "checking in" emails · product-dump on touch 1 · treat personalisation as naming their hobby/university · send identical copy to a whole account · send </w:t>
      </w:r>
      <w:r w:rsidDel="00000000" w:rsidR="00000000" w:rsidRPr="00000000">
        <w:rPr>
          <w:i w:val="1"/>
          <w:iCs w:val="1"/>
          <w:rtl w:val="0"/>
        </w:rPr>
        <w:t xml:space="preserve">conflicting</w:t>
      </w:r>
      <w:r w:rsidDel="00000000" w:rsidR="00000000" w:rsidRPr="00000000">
        <w:rPr>
          <w:rtl w:val="0"/>
        </w:rPr>
        <w:t xml:space="preserve"> propositions across an account (breaks consensus) · assume a content download = active demand · chase opens · repeat voicemails · put a calendar link in every message · manufacture urgency · attack the incumbent without understanding the environment · continue after opt-out · keep an account in sequence just because the cadence hasn't finished.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rPr/>
      </w:pPr>
      <w:bookmarkStart w:colFirst="0" w:colLast="0" w:name="_8cqsfh8a4lpq" w:id="25"/>
      <w:bookmarkEnd w:id="25"/>
      <w:r w:rsidDel="00000000" w:rsidR="00000000" w:rsidRPr="00000000">
        <w:rPr>
          <w:rtl w:val="0"/>
        </w:rPr>
        <w:t xml:space="preserve">11. Open questions &amp; unverified claims (load-bearing but thin — read before finalising)</w:t>
      </w:r>
    </w:p>
    <w:p w:rsidR="00000000" w:rsidDel="00000000" w:rsidP="00000000" w:rsidRDefault="00000000" w:rsidRPr="00000000" w14:paraId="00000171">
      <w:pPr>
        <w:rPr/>
      </w:pPr>
      <w:r w:rsidDel="00000000" w:rsidR="00000000" w:rsidRPr="00000000">
        <w:rPr>
          <w:rtl w:val="0"/>
        </w:rPr>
        <w:t xml:space="preserve">These are the things the playbook rests on that are </w:t>
      </w:r>
      <w:r w:rsidDel="00000000" w:rsidR="00000000" w:rsidRPr="00000000">
        <w:rPr>
          <w:i w:val="1"/>
          <w:iCs w:val="1"/>
          <w:rtl w:val="0"/>
        </w:rPr>
        <w:t xml:space="preserve">not</w:t>
      </w:r>
      <w:r w:rsidDel="00000000" w:rsidR="00000000" w:rsidRPr="00000000">
        <w:rPr>
          <w:rtl w:val="0"/>
        </w:rPr>
        <w:t xml:space="preserve"> solidly established. Do not silently harden them into rules.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4"/>
        </w:numPr>
        <w:ind w:left="720" w:hanging="360"/>
      </w:pPr>
      <w:r w:rsidDel="00000000" w:rsidR="00000000" w:rsidRPr="00000000">
        <w:rPr>
          <w:b w:val="1"/>
          <w:bCs w:val="1"/>
          <w:rtl w:val="0"/>
        </w:rPr>
        <w:t xml:space="preserve">Gartner 59% consensus finding</w:t>
      </w:r>
      <w:r w:rsidDel="00000000" w:rsidR="00000000" w:rsidRPr="00000000">
        <w:rPr>
          <w:rtl w:val="0"/>
        </w:rPr>
        <w:t xml:space="preserve"> (one-narrative-per-account): n=632, press release without full methodology, measured during </w:t>
      </w:r>
      <w:r w:rsidDel="00000000" w:rsidR="00000000" w:rsidRPr="00000000">
        <w:rPr>
          <w:i w:val="1"/>
          <w:iCs w:val="1"/>
          <w:rtl w:val="0"/>
        </w:rPr>
        <w:t xml:space="preserve">active evaluation</w:t>
      </w:r>
      <w:r w:rsidDel="00000000" w:rsidR="00000000" w:rsidRPr="00000000">
        <w:rPr>
          <w:rtl w:val="0"/>
        </w:rPr>
        <w:t xml:space="preserve"> not cold outreach. Applying it to three cold contacts is an inference. Direction credible, magnitude soft.</w:t>
      </w:r>
    </w:p>
    <w:p w:rsidR="00000000" w:rsidDel="00000000" w:rsidP="00000000" w:rsidRDefault="00000000" w:rsidRPr="00000000" w14:paraId="00000174">
      <w:pPr>
        <w:numPr>
          <w:ilvl w:val="0"/>
          <w:numId w:val="4"/>
        </w:numPr>
        <w:ind w:left="720" w:hanging="360"/>
      </w:pPr>
      <w:r w:rsidDel="00000000" w:rsidR="00000000" w:rsidRPr="00000000">
        <w:rPr>
          <w:b w:val="1"/>
          <w:bCs w:val="1"/>
          <w:rtl w:val="0"/>
        </w:rPr>
        <w:t xml:space="preserve">Gartner doc 5768615, </w:t>
      </w:r>
      <w:r w:rsidDel="00000000" w:rsidR="00000000" w:rsidRPr="00000000">
        <w:rPr>
          <w:b w:val="1"/>
          <w:bCs w:val="1"/>
          <w:i w:val="1"/>
          <w:iCs w:val="1"/>
          <w:rtl w:val="0"/>
        </w:rPr>
        <w:t xml:space="preserve">Contextualize Messaging to Appeal to Different Buyer Audiences</w:t>
      </w:r>
      <w:r w:rsidDel="00000000" w:rsidR="00000000" w:rsidRPr="00000000">
        <w:rPr>
          <w:b w:val="1"/>
          <w:bCs w:val="1"/>
          <w:rtl w:val="0"/>
        </w:rPr>
        <w:t xml:space="preserve">:</w:t>
      </w:r>
      <w:r w:rsidDel="00000000" w:rsidR="00000000" w:rsidRPr="00000000">
        <w:rPr>
          <w:rtl w:val="0"/>
        </w:rPr>
        <w:t xml:space="preserve"> client-gated, not read by either researcher. It reportedly reconciles the personalisation tension (combine org/role/personal value stories). </w:t>
      </w:r>
      <w:r w:rsidDel="00000000" w:rsidR="00000000" w:rsidRPr="00000000">
        <w:rPr>
          <w:b w:val="1"/>
          <w:bCs w:val="1"/>
          <w:rtl w:val="0"/>
        </w:rPr>
        <w:t xml:space="preserve">Freshworks has Gartner access but Moe can't reach it right now — pull this before finalising the messaging architecture if access opens up.</w:t>
      </w:r>
      <w:r w:rsidDel="00000000" w:rsidR="00000000" w:rsidRPr="00000000">
        <w:rPr>
          <w:rtl w:val="0"/>
        </w:rPr>
      </w:r>
    </w:p>
    <w:p w:rsidR="00000000" w:rsidDel="00000000" w:rsidP="00000000" w:rsidRDefault="00000000" w:rsidRPr="00000000" w14:paraId="00000175">
      <w:pPr>
        <w:numPr>
          <w:ilvl w:val="0"/>
          <w:numId w:val="4"/>
        </w:numPr>
        <w:ind w:left="720" w:hanging="360"/>
      </w:pPr>
      <w:r w:rsidDel="00000000" w:rsidR="00000000" w:rsidRPr="00000000">
        <w:rPr>
          <w:b w:val="1"/>
          <w:bCs w:val="1"/>
          <w:rtl w:val="0"/>
        </w:rPr>
        <w:t xml:space="preserve">Forrester "68% have a front-runner / front-runner wins ~80%":</w:t>
      </w:r>
      <w:r w:rsidDel="00000000" w:rsidR="00000000" w:rsidRPr="00000000">
        <w:rPr>
          <w:rtl w:val="0"/>
        </w:rPr>
        <w:t xml:space="preserve"> appears in the companion doc, </w:t>
      </w:r>
      <w:r w:rsidDel="00000000" w:rsidR="00000000" w:rsidRPr="00000000">
        <w:rPr>
          <w:b w:val="1"/>
          <w:bCs w:val="1"/>
          <w:rtl w:val="0"/>
        </w:rPr>
        <w:t xml:space="preserve">uncorroborated</w:t>
      </w:r>
      <w:r w:rsidDel="00000000" w:rsidR="00000000" w:rsidRPr="00000000">
        <w:rPr>
          <w:rtl w:val="0"/>
        </w:rPr>
        <w:t xml:space="preserve"> in independent search. Load-bearing for the "shape demand before the project" argument. Verify or drop the specific numbers and keep the qualitative point.</w:t>
      </w:r>
    </w:p>
    <w:p w:rsidR="00000000" w:rsidDel="00000000" w:rsidP="00000000" w:rsidRDefault="00000000" w:rsidRPr="00000000" w14:paraId="00000176">
      <w:pPr>
        <w:numPr>
          <w:ilvl w:val="0"/>
          <w:numId w:val="4"/>
        </w:numPr>
        <w:ind w:left="720" w:hanging="360"/>
      </w:pPr>
      <w:r w:rsidDel="00000000" w:rsidR="00000000" w:rsidRPr="00000000">
        <w:rPr>
          <w:b w:val="1"/>
          <w:bCs w:val="1"/>
          <w:rtl w:val="0"/>
        </w:rPr>
        <w:t xml:space="preserve">Nordic-specific cadence:</w:t>
      </w:r>
      <w:r w:rsidDel="00000000" w:rsidR="00000000" w:rsidRPr="00000000">
        <w:rPr>
          <w:rtl w:val="0"/>
        </w:rPr>
        <w:t xml:space="preserve"> </w:t>
      </w:r>
      <w:r w:rsidDel="00000000" w:rsidR="00000000" w:rsidRPr="00000000">
        <w:rPr>
          <w:i w:val="1"/>
          <w:iCs w:val="1"/>
          <w:rtl w:val="0"/>
        </w:rPr>
        <w:t xml:space="preserve">no</w:t>
      </w:r>
      <w:r w:rsidDel="00000000" w:rsidR="00000000" w:rsidRPr="00000000">
        <w:rPr>
          <w:rtl w:val="0"/>
        </w:rPr>
        <w:t xml:space="preserve"> research establishes touch counts, spacing, or channel order for Nordic enterprise tech buyers. Every day-number here is US/UK-derived. Moe's territory data and Swedish-language instinct are better inputs — instrument and override.</w:t>
      </w:r>
    </w:p>
    <w:p w:rsidR="00000000" w:rsidDel="00000000" w:rsidP="00000000" w:rsidRDefault="00000000" w:rsidRPr="00000000" w14:paraId="00000177">
      <w:pPr>
        <w:numPr>
          <w:ilvl w:val="0"/>
          <w:numId w:val="4"/>
        </w:numPr>
        <w:ind w:left="720" w:hanging="360"/>
      </w:pPr>
      <w:r w:rsidDel="00000000" w:rsidR="00000000" w:rsidRPr="00000000">
        <w:rPr>
          <w:b w:val="1"/>
          <w:bCs w:val="1"/>
          <w:rtl w:val="0"/>
        </w:rPr>
        <w:t xml:space="preserve">LinkedIn benchmarks:</w:t>
      </w:r>
      <w:r w:rsidDel="00000000" w:rsidR="00000000" w:rsidRPr="00000000">
        <w:rPr>
          <w:rtl w:val="0"/>
        </w:rPr>
        <w:t xml:space="preserve"> published InMail response range 6–25%, high end unsourced/circular. Treat LinkedIn as an unmeasured channel; instrument your own.</w:t>
      </w:r>
    </w:p>
    <w:p w:rsidR="00000000" w:rsidDel="00000000" w:rsidP="00000000" w:rsidRDefault="00000000" w:rsidRPr="00000000" w14:paraId="00000178">
      <w:pPr>
        <w:numPr>
          <w:ilvl w:val="0"/>
          <w:numId w:val="4"/>
        </w:numPr>
        <w:ind w:left="720" w:hanging="360"/>
      </w:pPr>
      <w:r w:rsidDel="00000000" w:rsidR="00000000" w:rsidRPr="00000000">
        <w:rPr>
          <w:b w:val="1"/>
          <w:bCs w:val="1"/>
          <w:rtl w:val="0"/>
        </w:rPr>
        <w:t xml:space="preserve">Cognism phone-first claim:</w:t>
      </w:r>
      <w:r w:rsidDel="00000000" w:rsidR="00000000" w:rsidRPr="00000000">
        <w:rPr>
          <w:rtl w:val="0"/>
        </w:rPr>
        <w:t xml:space="preserve"> vendor-internal SDR data from a company that sells phone data — weakest evidence class. Don't weight it against better-supported positions.</w:t>
      </w:r>
    </w:p>
    <w:p w:rsidR="00000000" w:rsidDel="00000000" w:rsidP="00000000" w:rsidRDefault="00000000" w:rsidRPr="00000000" w14:paraId="00000179">
      <w:pPr>
        <w:numPr>
          <w:ilvl w:val="0"/>
          <w:numId w:val="4"/>
        </w:numPr>
        <w:ind w:left="720" w:hanging="360"/>
      </w:pPr>
      <w:r w:rsidDel="00000000" w:rsidR="00000000" w:rsidRPr="00000000">
        <w:rPr>
          <w:b w:val="1"/>
          <w:bCs w:val="1"/>
          <w:rtl w:val="0"/>
        </w:rPr>
        <w:t xml:space="preserve">Swedish-vs-English uplift:</w:t>
      </w:r>
      <w:r w:rsidDel="00000000" w:rsidR="00000000" w:rsidRPr="00000000">
        <w:rPr>
          <w:rtl w:val="0"/>
        </w:rPr>
        <w:t xml:space="preserve"> the "Swedish adds 10–15%" figure is invented; the qualitative point (Swedish helps with operational buyers) is plausible but unsourced.</w:t>
      </w:r>
    </w:p>
    <w:p w:rsidR="00000000" w:rsidDel="00000000" w:rsidP="00000000" w:rsidRDefault="00000000" w:rsidRPr="00000000" w14:paraId="0000017A">
      <w:pPr>
        <w:numPr>
          <w:ilvl w:val="0"/>
          <w:numId w:val="4"/>
        </w:numPr>
        <w:ind w:left="720" w:hanging="360"/>
      </w:pPr>
      <w:r w:rsidDel="00000000" w:rsidR="00000000" w:rsidRPr="00000000">
        <w:rPr>
          <w:b w:val="1"/>
          <w:bCs w:val="1"/>
          <w:rtl w:val="0"/>
        </w:rPr>
        <w:t xml:space="preserve">Signal-decay windows (§3.3):</w:t>
      </w:r>
      <w:r w:rsidDel="00000000" w:rsidR="00000000" w:rsidRPr="00000000">
        <w:rPr>
          <w:rtl w:val="0"/>
        </w:rPr>
        <w:t xml:space="preserve"> vendor-sourced, plausible, unvalidated. Recalibrate on your own conversion data.</w:t>
      </w:r>
    </w:p>
    <w:p w:rsidR="00000000" w:rsidDel="00000000" w:rsidP="00000000" w:rsidRDefault="00000000" w:rsidRPr="00000000" w14:paraId="0000017B">
      <w:pPr>
        <w:numPr>
          <w:ilvl w:val="0"/>
          <w:numId w:val="4"/>
        </w:numPr>
        <w:ind w:left="720" w:hanging="360"/>
      </w:pPr>
      <w:r w:rsidDel="00000000" w:rsidR="00000000" w:rsidRPr="00000000">
        <w:rPr>
          <w:b w:val="1"/>
          <w:bCs w:val="1"/>
          <w:rtl w:val="0"/>
        </w:rPr>
        <w:t xml:space="preserve">Phone timing (email-first vs call-first):</w:t>
      </w:r>
      <w:r w:rsidDel="00000000" w:rsidR="00000000" w:rsidRPr="00000000">
        <w:rPr>
          <w:rtl w:val="0"/>
        </w:rPr>
        <w:t xml:space="preserve"> genuinely contested — Gong </w:t>
      </w:r>
      <w:r w:rsidDel="00000000" w:rsidR="00000000" w:rsidRPr="00000000">
        <w:rPr>
          <w:i w:val="1"/>
          <w:iCs w:val="1"/>
          <w:rtl w:val="0"/>
        </w:rPr>
        <w:t xml:space="preserve">product</w:t>
      </w:r>
      <w:r w:rsidDel="00000000" w:rsidR="00000000" w:rsidRPr="00000000">
        <w:rPr>
          <w:rtl w:val="0"/>
        </w:rPr>
        <w:t xml:space="preserve"> data supports call-first (doubles email reply within flow); sequence-position data supports call-at-touch-3. Resolved here by Moe's situation (has/will have local numbers, will navigate the interim), not by settled evidence. This is the one live disagreement with the companion doc, now closed in favour of allowing Day-1 Tier-A calls.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i w:val="1"/>
          <w:iCs w:val="1"/>
          <w:rtl w:val="0"/>
        </w:rPr>
        <w:t xml:space="preserve">Sources referenced: Gong Labs (cold email/call/CTA/voicemail telemetry), Cognism State of Cold Calling, Yesware email-thread analysis, Belkins call/LinkedIn benchmarks, Gartner (rep-free, buying-team conflict, Sense Making, buying-group size), Forrester State of Business Buying 2026. Full confidence caveats in §1 and §11.</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