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D9E3" w14:textId="77777777" w:rsidR="007B22E2" w:rsidRDefault="00000000" w:rsidP="00D0701A">
      <w:pPr>
        <w:spacing w:after="0" w:line="241" w:lineRule="auto"/>
      </w:pPr>
      <w:r>
        <w:rPr>
          <w:b/>
          <w:color w:val="4B7196"/>
          <w:sz w:val="64"/>
        </w:rPr>
        <w:t xml:space="preserve">Loan Portfolio Risk &amp; Lending Strategy Dashboard </w:t>
      </w:r>
    </w:p>
    <w:p w14:paraId="0879BB2D" w14:textId="1C0AEF2F" w:rsidR="007B22E2" w:rsidRDefault="00000000">
      <w:pPr>
        <w:spacing w:after="0" w:line="240" w:lineRule="auto"/>
        <w:ind w:left="1404" w:hanging="793"/>
      </w:pPr>
      <w:r>
        <w:rPr>
          <w:color w:val="5B5754"/>
          <w:sz w:val="40"/>
        </w:rPr>
        <w:t xml:space="preserve">Data-driven insights to reduce default risk and optimize lending decisions (FY 2024) </w:t>
      </w:r>
      <w:r w:rsidR="00D0701A">
        <w:rPr>
          <w:noProof/>
        </w:rPr>
        <mc:AlternateContent>
          <mc:Choice Requires="wps">
            <w:drawing>
              <wp:inline distT="0" distB="0" distL="0" distR="0" wp14:anchorId="78AA1735" wp14:editId="29BB9334">
                <wp:extent cx="304800" cy="304800"/>
                <wp:effectExtent l="0" t="0" r="0" b="0"/>
                <wp:docPr id="5640154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D99B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0E5B6E" w14:textId="567DFEFC" w:rsidR="007B22E2" w:rsidRDefault="00D0701A">
      <w:pPr>
        <w:spacing w:after="265" w:line="259" w:lineRule="auto"/>
        <w:ind w:left="0" w:right="-6" w:firstLine="0"/>
      </w:pPr>
      <w:r>
        <w:rPr>
          <w:noProof/>
        </w:rPr>
        <w:drawing>
          <wp:inline distT="0" distB="0" distL="0" distR="0" wp14:anchorId="3AABEE2D" wp14:editId="4D653034">
            <wp:extent cx="6229379" cy="5532120"/>
            <wp:effectExtent l="0" t="0" r="0" b="0"/>
            <wp:docPr id="556013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3024" name="Picture 556013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988" cy="555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7D40" w14:textId="77777777" w:rsidR="00D0701A" w:rsidRDefault="00D0701A">
      <w:pPr>
        <w:spacing w:after="0" w:line="259" w:lineRule="auto"/>
        <w:ind w:left="6" w:firstLine="0"/>
        <w:jc w:val="center"/>
        <w:rPr>
          <w:color w:val="5B5754"/>
          <w:sz w:val="36"/>
        </w:rPr>
      </w:pPr>
    </w:p>
    <w:p w14:paraId="79A6FFA9" w14:textId="2CAE2B8A" w:rsidR="00D0701A" w:rsidRDefault="00D0701A">
      <w:pPr>
        <w:spacing w:after="0" w:line="259" w:lineRule="auto"/>
        <w:ind w:left="6" w:firstLine="0"/>
        <w:jc w:val="center"/>
        <w:rPr>
          <w:color w:val="5B5754"/>
          <w:sz w:val="36"/>
        </w:rPr>
      </w:pPr>
      <w:r>
        <w:rPr>
          <w:color w:val="5B5754"/>
          <w:sz w:val="36"/>
        </w:rPr>
        <w:t>Mohsin Saifi</w:t>
      </w:r>
    </w:p>
    <w:p w14:paraId="6039916A" w14:textId="58DEE293" w:rsidR="007B22E2" w:rsidRDefault="00000000">
      <w:pPr>
        <w:spacing w:after="0" w:line="259" w:lineRule="auto"/>
        <w:ind w:left="6" w:firstLine="0"/>
        <w:jc w:val="center"/>
      </w:pPr>
      <w:r>
        <w:t xml:space="preserve">Data Analyst Intern  </w:t>
      </w:r>
    </w:p>
    <w:p w14:paraId="1B8C6920" w14:textId="77777777" w:rsidR="007B22E2" w:rsidRDefault="00000000">
      <w:pPr>
        <w:pStyle w:val="Heading1"/>
        <w:ind w:left="-5"/>
      </w:pPr>
      <w:r>
        <w:lastRenderedPageBreak/>
        <w:t xml:space="preserve">Objective </w:t>
      </w:r>
    </w:p>
    <w:p w14:paraId="74A9AD64" w14:textId="77777777" w:rsidR="007B22E2" w:rsidRDefault="00000000">
      <w:pPr>
        <w:spacing w:after="424"/>
        <w:ind w:left="-5"/>
      </w:pPr>
      <w:r>
        <w:t xml:space="preserve">Identify key risk drivers, quantify loss concentration, and recommend data-driven strategies to optimize lending decisions. </w:t>
      </w:r>
    </w:p>
    <w:p w14:paraId="2C6DBB15" w14:textId="77777777" w:rsidR="007B22E2" w:rsidRDefault="00000000">
      <w:pPr>
        <w:pStyle w:val="Heading1"/>
        <w:ind w:left="-5"/>
      </w:pPr>
      <w:r>
        <w:t xml:space="preserve">Business Questions </w:t>
      </w:r>
    </w:p>
    <w:p w14:paraId="08AEE1E2" w14:textId="77777777" w:rsidR="007B22E2" w:rsidRDefault="00000000">
      <w:pPr>
        <w:numPr>
          <w:ilvl w:val="0"/>
          <w:numId w:val="1"/>
        </w:numPr>
        <w:ind w:hanging="390"/>
      </w:pPr>
      <w:r>
        <w:t xml:space="preserve">Where is the bank losing the most money? </w:t>
      </w:r>
    </w:p>
    <w:p w14:paraId="381C58FE" w14:textId="77777777" w:rsidR="007B22E2" w:rsidRDefault="00000000">
      <w:pPr>
        <w:numPr>
          <w:ilvl w:val="0"/>
          <w:numId w:val="1"/>
        </w:numPr>
        <w:ind w:hanging="390"/>
      </w:pPr>
      <w:r>
        <w:t xml:space="preserve">Which customer segments are high-risk? </w:t>
      </w:r>
    </w:p>
    <w:p w14:paraId="328EE376" w14:textId="77777777" w:rsidR="007B22E2" w:rsidRDefault="00000000">
      <w:pPr>
        <w:numPr>
          <w:ilvl w:val="0"/>
          <w:numId w:val="1"/>
        </w:numPr>
        <w:ind w:hanging="390"/>
      </w:pPr>
      <w:r>
        <w:t xml:space="preserve">What factors drive loan defaults? </w:t>
      </w:r>
    </w:p>
    <w:p w14:paraId="2EB901E1" w14:textId="77777777" w:rsidR="007B22E2" w:rsidRDefault="00000000">
      <w:pPr>
        <w:numPr>
          <w:ilvl w:val="0"/>
          <w:numId w:val="1"/>
        </w:numPr>
        <w:spacing w:after="433"/>
        <w:ind w:hanging="390"/>
      </w:pPr>
      <w:r>
        <w:t xml:space="preserve">Where can the bank safely increase lending? </w:t>
      </w:r>
    </w:p>
    <w:p w14:paraId="0A89F0AE" w14:textId="77777777" w:rsidR="007B22E2" w:rsidRDefault="00000000">
      <w:pPr>
        <w:pStyle w:val="Heading1"/>
        <w:ind w:left="-5"/>
      </w:pPr>
      <w:r>
        <w:t xml:space="preserve">Data Overview </w:t>
      </w:r>
    </w:p>
    <w:p w14:paraId="68E2F1D0" w14:textId="77777777" w:rsidR="007B22E2" w:rsidRDefault="00000000">
      <w:pPr>
        <w:spacing w:after="40"/>
        <w:ind w:left="-5"/>
      </w:pPr>
      <w:r>
        <w:t xml:space="preserve">Dataset of 10,000 loan records including: </w:t>
      </w:r>
    </w:p>
    <w:p w14:paraId="6563B803" w14:textId="77777777" w:rsidR="007B22E2" w:rsidRDefault="00000000">
      <w:pPr>
        <w:numPr>
          <w:ilvl w:val="0"/>
          <w:numId w:val="2"/>
        </w:numPr>
        <w:ind w:hanging="167"/>
      </w:pPr>
      <w:r>
        <w:t xml:space="preserve">Credit Score (banded) </w:t>
      </w:r>
    </w:p>
    <w:p w14:paraId="3D974A2B" w14:textId="77777777" w:rsidR="007B22E2" w:rsidRDefault="00000000">
      <w:pPr>
        <w:numPr>
          <w:ilvl w:val="0"/>
          <w:numId w:val="2"/>
        </w:numPr>
        <w:ind w:hanging="167"/>
      </w:pPr>
      <w:r>
        <w:t xml:space="preserve">Debt-to-Income Ratio (DTI) </w:t>
      </w:r>
    </w:p>
    <w:p w14:paraId="70052FDB" w14:textId="77777777" w:rsidR="007B22E2" w:rsidRDefault="00000000">
      <w:pPr>
        <w:numPr>
          <w:ilvl w:val="0"/>
          <w:numId w:val="2"/>
        </w:numPr>
        <w:spacing w:after="288"/>
        <w:ind w:hanging="167"/>
      </w:pPr>
      <w:r>
        <w:t xml:space="preserve">Loan Amount </w:t>
      </w:r>
      <w:r>
        <w:rPr>
          <w:sz w:val="31"/>
        </w:rPr>
        <w:t xml:space="preserve">• </w:t>
      </w:r>
      <w:r>
        <w:t xml:space="preserve">Default Flag (0/1) </w:t>
      </w:r>
    </w:p>
    <w:p w14:paraId="1209D567" w14:textId="77777777" w:rsidR="007B22E2" w:rsidRDefault="00000000">
      <w:pPr>
        <w:spacing w:after="39"/>
        <w:ind w:left="-5"/>
      </w:pPr>
      <w:r>
        <w:t xml:space="preserve">Derived features: </w:t>
      </w:r>
    </w:p>
    <w:p w14:paraId="1E4C992D" w14:textId="77777777" w:rsidR="007B22E2" w:rsidRDefault="00000000">
      <w:pPr>
        <w:numPr>
          <w:ilvl w:val="0"/>
          <w:numId w:val="2"/>
        </w:numPr>
        <w:ind w:hanging="167"/>
      </w:pPr>
      <w:r>
        <w:t xml:space="preserve">Credit Score Bands </w:t>
      </w:r>
    </w:p>
    <w:p w14:paraId="7B9D1522" w14:textId="77777777" w:rsidR="007B22E2" w:rsidRDefault="00000000">
      <w:pPr>
        <w:numPr>
          <w:ilvl w:val="0"/>
          <w:numId w:val="2"/>
        </w:numPr>
        <w:ind w:hanging="167"/>
      </w:pPr>
      <w:r>
        <w:t xml:space="preserve">DTI Bands </w:t>
      </w:r>
    </w:p>
    <w:p w14:paraId="5440A59F" w14:textId="77777777" w:rsidR="007B22E2" w:rsidRDefault="00000000">
      <w:pPr>
        <w:numPr>
          <w:ilvl w:val="0"/>
          <w:numId w:val="2"/>
        </w:numPr>
        <w:spacing w:after="385"/>
        <w:ind w:hanging="167"/>
      </w:pPr>
      <w:r>
        <w:t xml:space="preserve">Default Rate (%) </w:t>
      </w:r>
    </w:p>
    <w:p w14:paraId="4F1EB0BC" w14:textId="77777777" w:rsidR="007B22E2" w:rsidRDefault="00000000">
      <w:pPr>
        <w:pStyle w:val="Heading1"/>
        <w:ind w:left="-5"/>
      </w:pPr>
      <w:r>
        <w:t xml:space="preserve">Key Insights </w:t>
      </w:r>
    </w:p>
    <w:p w14:paraId="676EEC51" w14:textId="77777777" w:rsidR="007B22E2" w:rsidRDefault="00000000">
      <w:pPr>
        <w:spacing w:after="45"/>
        <w:ind w:left="-5"/>
      </w:pPr>
      <w:r>
        <w:t xml:space="preserve">1. Loss Concentration </w:t>
      </w:r>
    </w:p>
    <w:p w14:paraId="256CDF55" w14:textId="77777777" w:rsidR="007B22E2" w:rsidRDefault="00000000">
      <w:pPr>
        <w:numPr>
          <w:ilvl w:val="0"/>
          <w:numId w:val="3"/>
        </w:numPr>
        <w:ind w:hanging="456"/>
      </w:pPr>
      <w:r>
        <w:t xml:space="preserve">Highest losses in 500–549 segment (~$114M) </w:t>
      </w:r>
    </w:p>
    <w:p w14:paraId="5CC075AD" w14:textId="77777777" w:rsidR="007B22E2" w:rsidRDefault="00000000">
      <w:pPr>
        <w:numPr>
          <w:ilvl w:val="0"/>
          <w:numId w:val="3"/>
        </w:numPr>
        <w:spacing w:after="284"/>
        <w:ind w:hanging="456"/>
      </w:pPr>
      <w:r>
        <w:t xml:space="preserve">Driven by high exposure, not highest risk </w:t>
      </w:r>
    </w:p>
    <w:p w14:paraId="5E6F57B8" w14:textId="77777777" w:rsidR="007B22E2" w:rsidRDefault="00000000">
      <w:pPr>
        <w:spacing w:after="45"/>
        <w:ind w:left="-5"/>
      </w:pPr>
      <w:r>
        <w:t xml:space="preserve">2. Credit Risk Threshold </w:t>
      </w:r>
    </w:p>
    <w:p w14:paraId="708520EE" w14:textId="77777777" w:rsidR="007B22E2" w:rsidRDefault="00000000">
      <w:pPr>
        <w:numPr>
          <w:ilvl w:val="0"/>
          <w:numId w:val="4"/>
        </w:numPr>
        <w:ind w:hanging="456"/>
      </w:pPr>
      <w:r>
        <w:t xml:space="preserve">Default rate ~45% until CS ~650 </w:t>
      </w:r>
    </w:p>
    <w:p w14:paraId="3E4D4AAA" w14:textId="77777777" w:rsidR="007B22E2" w:rsidRDefault="00000000">
      <w:pPr>
        <w:numPr>
          <w:ilvl w:val="0"/>
          <w:numId w:val="4"/>
        </w:numPr>
        <w:spacing w:after="284"/>
        <w:ind w:hanging="456"/>
      </w:pPr>
      <w:r>
        <w:t xml:space="preserve">Drops sharply beyond this point </w:t>
      </w:r>
    </w:p>
    <w:p w14:paraId="36362D81" w14:textId="77777777" w:rsidR="007B22E2" w:rsidRDefault="00000000">
      <w:pPr>
        <w:spacing w:after="45"/>
        <w:ind w:left="-5"/>
      </w:pPr>
      <w:r>
        <w:t xml:space="preserve">3. DTI as a Risk Driver </w:t>
      </w:r>
    </w:p>
    <w:p w14:paraId="577C8E38" w14:textId="77777777" w:rsidR="007B22E2" w:rsidRDefault="00000000">
      <w:pPr>
        <w:numPr>
          <w:ilvl w:val="0"/>
          <w:numId w:val="5"/>
        </w:numPr>
        <w:ind w:hanging="456"/>
      </w:pPr>
      <w:r>
        <w:t xml:space="preserve">Low risk for DTI &lt;40% </w:t>
      </w:r>
    </w:p>
    <w:p w14:paraId="6068EACF" w14:textId="77777777" w:rsidR="007B22E2" w:rsidRDefault="00000000">
      <w:pPr>
        <w:numPr>
          <w:ilvl w:val="0"/>
          <w:numId w:val="5"/>
        </w:numPr>
        <w:ind w:hanging="456"/>
      </w:pPr>
      <w:r>
        <w:t xml:space="preserve">Sharp increase beyond 40%, extreme above 60% </w:t>
      </w:r>
    </w:p>
    <w:p w14:paraId="3404F9B1" w14:textId="77777777" w:rsidR="007B22E2" w:rsidRDefault="00000000">
      <w:pPr>
        <w:spacing w:after="45"/>
        <w:ind w:left="-5"/>
      </w:pPr>
      <w:r>
        <w:lastRenderedPageBreak/>
        <w:t xml:space="preserve">4. Interaction Effect (CS × DTI) </w:t>
      </w:r>
    </w:p>
    <w:p w14:paraId="3DEBC3C2" w14:textId="77777777" w:rsidR="007B22E2" w:rsidRDefault="00000000">
      <w:pPr>
        <w:numPr>
          <w:ilvl w:val="0"/>
          <w:numId w:val="6"/>
        </w:numPr>
        <w:ind w:hanging="456"/>
      </w:pPr>
      <w:r>
        <w:t xml:space="preserve">Low-score borrowers highly sensitive to DTI </w:t>
      </w:r>
    </w:p>
    <w:p w14:paraId="18C1B5C2" w14:textId="77777777" w:rsidR="007B22E2" w:rsidRDefault="00000000">
      <w:pPr>
        <w:numPr>
          <w:ilvl w:val="0"/>
          <w:numId w:val="6"/>
        </w:numPr>
        <w:spacing w:after="709"/>
        <w:ind w:hanging="456"/>
      </w:pPr>
      <w:r>
        <w:t xml:space="preserve">High-score borrowers remain relatively stable </w:t>
      </w:r>
    </w:p>
    <w:p w14:paraId="5A668381" w14:textId="77777777" w:rsidR="007B22E2" w:rsidRDefault="00000000">
      <w:pPr>
        <w:pStyle w:val="Heading1"/>
        <w:spacing w:after="407"/>
        <w:ind w:left="-5"/>
      </w:pPr>
      <w:r>
        <w:t xml:space="preserve">Business Impact </w:t>
      </w:r>
    </w:p>
    <w:p w14:paraId="29CFD643" w14:textId="77777777" w:rsidR="007B22E2" w:rsidRDefault="00000000">
      <w:pPr>
        <w:numPr>
          <w:ilvl w:val="0"/>
          <w:numId w:val="7"/>
        </w:numPr>
        <w:ind w:hanging="167"/>
      </w:pPr>
      <w:r>
        <w:t xml:space="preserve">Identified major loss concentration in mid-credit segments </w:t>
      </w:r>
    </w:p>
    <w:p w14:paraId="255B9F7C" w14:textId="77777777" w:rsidR="007B22E2" w:rsidRDefault="00000000">
      <w:pPr>
        <w:numPr>
          <w:ilvl w:val="0"/>
          <w:numId w:val="7"/>
        </w:numPr>
        <w:ind w:hanging="167"/>
      </w:pPr>
      <w:r>
        <w:t xml:space="preserve">Highlighted high-risk exposure areas affecting portfolio quality </w:t>
      </w:r>
    </w:p>
    <w:p w14:paraId="4702150A" w14:textId="77777777" w:rsidR="007B22E2" w:rsidRDefault="00000000">
      <w:pPr>
        <w:numPr>
          <w:ilvl w:val="0"/>
          <w:numId w:val="7"/>
        </w:numPr>
        <w:spacing w:after="715"/>
        <w:ind w:hanging="167"/>
      </w:pPr>
      <w:r>
        <w:t xml:space="preserve">Established clear thresholds (CS 650, DTI 40%) for risk control </w:t>
      </w:r>
    </w:p>
    <w:p w14:paraId="35EDF4EE" w14:textId="77777777" w:rsidR="007B22E2" w:rsidRDefault="00000000">
      <w:pPr>
        <w:pStyle w:val="Heading1"/>
        <w:spacing w:after="401"/>
        <w:ind w:left="-5"/>
      </w:pPr>
      <w:r>
        <w:t xml:space="preserve">Recommendations </w:t>
      </w:r>
    </w:p>
    <w:p w14:paraId="04DA0F34" w14:textId="77777777" w:rsidR="007B22E2" w:rsidRDefault="00000000">
      <w:pPr>
        <w:numPr>
          <w:ilvl w:val="0"/>
          <w:numId w:val="8"/>
        </w:numPr>
        <w:ind w:hanging="167"/>
      </w:pPr>
      <w:r>
        <w:t xml:space="preserve">Scale lending to CS ≥650 &amp; DTI &lt;40% </w:t>
      </w:r>
    </w:p>
    <w:p w14:paraId="3C85EEF8" w14:textId="77777777" w:rsidR="007B22E2" w:rsidRDefault="00000000">
      <w:pPr>
        <w:numPr>
          <w:ilvl w:val="0"/>
          <w:numId w:val="8"/>
        </w:numPr>
        <w:ind w:hanging="167"/>
      </w:pPr>
      <w:r>
        <w:t xml:space="preserve">Restrict exposure for DTI ≥40%, especially CS &lt;650 </w:t>
      </w:r>
    </w:p>
    <w:p w14:paraId="792D78F5" w14:textId="77777777" w:rsidR="007B22E2" w:rsidRDefault="00000000">
      <w:pPr>
        <w:numPr>
          <w:ilvl w:val="0"/>
          <w:numId w:val="8"/>
        </w:numPr>
        <w:ind w:hanging="167"/>
      </w:pPr>
      <w:r>
        <w:t xml:space="preserve">Rebalance portfolio toward low-risk, high-quality borrowers </w:t>
      </w:r>
    </w:p>
    <w:p w14:paraId="6086392D" w14:textId="77777777" w:rsidR="007B22E2" w:rsidRDefault="00000000">
      <w:pPr>
        <w:numPr>
          <w:ilvl w:val="0"/>
          <w:numId w:val="8"/>
        </w:numPr>
        <w:spacing w:after="386"/>
        <w:ind w:hanging="167"/>
      </w:pPr>
      <w:r>
        <w:t xml:space="preserve">Monitor high-risk segments with high exposure </w:t>
      </w:r>
    </w:p>
    <w:p w14:paraId="184C5C06" w14:textId="77777777" w:rsidR="007B22E2" w:rsidRDefault="00000000">
      <w:pPr>
        <w:pStyle w:val="Heading1"/>
        <w:spacing w:after="0"/>
        <w:ind w:left="-5"/>
      </w:pPr>
      <w:r>
        <w:t xml:space="preserve">Segment Strategy </w:t>
      </w:r>
    </w:p>
    <w:tbl>
      <w:tblPr>
        <w:tblStyle w:val="TableGrid"/>
        <w:tblW w:w="9280" w:type="dxa"/>
        <w:tblInd w:w="0" w:type="dxa"/>
        <w:tblCellMar>
          <w:top w:w="1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39"/>
        <w:gridCol w:w="2641"/>
      </w:tblGrid>
      <w:tr w:rsidR="007B22E2" w14:paraId="578E45AF" w14:textId="77777777">
        <w:trPr>
          <w:trHeight w:val="520"/>
        </w:trPr>
        <w:tc>
          <w:tcPr>
            <w:tcW w:w="6639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</w:tcPr>
          <w:p w14:paraId="44732281" w14:textId="77777777" w:rsidR="007B22E2" w:rsidRDefault="00000000">
            <w:pPr>
              <w:spacing w:after="0" w:line="259" w:lineRule="auto"/>
              <w:ind w:left="1919" w:firstLine="0"/>
            </w:pPr>
            <w:r>
              <w:rPr>
                <w:rFonts w:ascii="Times New Roman" w:eastAsia="Times New Roman" w:hAnsi="Times New Roman" w:cs="Times New Roman"/>
                <w:b/>
                <w:color w:val="314924"/>
                <w:sz w:val="28"/>
              </w:rPr>
              <w:t>Segment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</w:tcPr>
          <w:p w14:paraId="0FFF7DEA" w14:textId="77777777" w:rsidR="007B22E2" w:rsidRDefault="00000000">
            <w:pPr>
              <w:spacing w:after="0" w:line="259" w:lineRule="auto"/>
              <w:ind w:left="37" w:firstLine="0"/>
            </w:pPr>
            <w:r>
              <w:rPr>
                <w:rFonts w:ascii="Times New Roman" w:eastAsia="Times New Roman" w:hAnsi="Times New Roman" w:cs="Times New Roman"/>
                <w:b/>
                <w:color w:val="314924"/>
                <w:sz w:val="28"/>
              </w:rPr>
              <w:t>Action</w:t>
            </w:r>
          </w:p>
        </w:tc>
      </w:tr>
      <w:tr w:rsidR="007B22E2" w14:paraId="15FA3085" w14:textId="77777777">
        <w:trPr>
          <w:trHeight w:val="600"/>
        </w:trPr>
        <w:tc>
          <w:tcPr>
            <w:tcW w:w="6639" w:type="dxa"/>
            <w:tcBorders>
              <w:top w:val="nil"/>
              <w:left w:val="nil"/>
              <w:bottom w:val="nil"/>
              <w:right w:val="nil"/>
            </w:tcBorders>
            <w:shd w:val="clear" w:color="auto" w:fill="E6EDE1"/>
            <w:vAlign w:val="center"/>
          </w:tcPr>
          <w:p w14:paraId="081435F3" w14:textId="77777777" w:rsidR="007B22E2" w:rsidRDefault="00000000">
            <w:pPr>
              <w:spacing w:after="0" w:line="259" w:lineRule="auto"/>
              <w:ind w:left="1091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High Risk + High Exposure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shd w:val="clear" w:color="auto" w:fill="E6EDE1"/>
            <w:vAlign w:val="center"/>
          </w:tcPr>
          <w:p w14:paraId="0A6669EC" w14:textId="77777777" w:rsidR="007B22E2" w:rsidRDefault="00000000">
            <w:pPr>
              <w:spacing w:after="0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Reduce</w:t>
            </w:r>
          </w:p>
        </w:tc>
      </w:tr>
      <w:tr w:rsidR="007B22E2" w14:paraId="7A44AB3E" w14:textId="77777777">
        <w:trPr>
          <w:trHeight w:val="600"/>
        </w:trPr>
        <w:tc>
          <w:tcPr>
            <w:tcW w:w="6639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  <w:vAlign w:val="center"/>
          </w:tcPr>
          <w:p w14:paraId="3A24111E" w14:textId="77777777" w:rsidR="007B22E2" w:rsidRDefault="00000000">
            <w:pPr>
              <w:spacing w:after="0" w:line="259" w:lineRule="auto"/>
              <w:ind w:left="1111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High Risk + Low Exposure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  <w:vAlign w:val="center"/>
          </w:tcPr>
          <w:p w14:paraId="14B18B96" w14:textId="77777777" w:rsidR="007B22E2" w:rsidRDefault="00000000">
            <w:pPr>
              <w:spacing w:after="0" w:line="259" w:lineRule="auto"/>
              <w:ind w:left="40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Monitor</w:t>
            </w:r>
          </w:p>
        </w:tc>
      </w:tr>
      <w:tr w:rsidR="007B22E2" w14:paraId="453607A7" w14:textId="77777777">
        <w:trPr>
          <w:trHeight w:val="600"/>
        </w:trPr>
        <w:tc>
          <w:tcPr>
            <w:tcW w:w="6639" w:type="dxa"/>
            <w:tcBorders>
              <w:top w:val="nil"/>
              <w:left w:val="nil"/>
              <w:bottom w:val="nil"/>
              <w:right w:val="nil"/>
            </w:tcBorders>
            <w:shd w:val="clear" w:color="auto" w:fill="E6EDE1"/>
            <w:vAlign w:val="center"/>
          </w:tcPr>
          <w:p w14:paraId="376A5ABE" w14:textId="77777777" w:rsidR="007B22E2" w:rsidRDefault="00000000">
            <w:pPr>
              <w:spacing w:after="0" w:line="259" w:lineRule="auto"/>
              <w:ind w:left="1111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Low Risk + High Exposure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shd w:val="clear" w:color="auto" w:fill="E6EDE1"/>
            <w:vAlign w:val="center"/>
          </w:tcPr>
          <w:p w14:paraId="0627F030" w14:textId="77777777" w:rsidR="007B22E2" w:rsidRDefault="00000000">
            <w:pPr>
              <w:spacing w:after="0" w:line="259" w:lineRule="auto"/>
              <w:ind w:left="173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Scale</w:t>
            </w:r>
          </w:p>
        </w:tc>
      </w:tr>
      <w:tr w:rsidR="007B22E2" w14:paraId="5DAD0048" w14:textId="77777777">
        <w:trPr>
          <w:trHeight w:val="600"/>
        </w:trPr>
        <w:tc>
          <w:tcPr>
            <w:tcW w:w="6639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  <w:vAlign w:val="center"/>
          </w:tcPr>
          <w:p w14:paraId="44D05D92" w14:textId="77777777" w:rsidR="007B22E2" w:rsidRDefault="00000000">
            <w:pPr>
              <w:spacing w:after="0" w:line="259" w:lineRule="auto"/>
              <w:ind w:left="1132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Low Risk + Low Exposure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shd w:val="clear" w:color="auto" w:fill="F4F8EE"/>
            <w:vAlign w:val="center"/>
          </w:tcPr>
          <w:p w14:paraId="08A283F5" w14:textId="77777777" w:rsidR="007B22E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314924"/>
                <w:sz w:val="24"/>
              </w:rPr>
              <w:t>Maintain</w:t>
            </w:r>
          </w:p>
        </w:tc>
      </w:tr>
    </w:tbl>
    <w:p w14:paraId="50F09F6D" w14:textId="77777777" w:rsidR="007B22E2" w:rsidRDefault="00000000">
      <w:pPr>
        <w:pStyle w:val="Heading1"/>
        <w:spacing w:after="367"/>
        <w:ind w:left="-5"/>
      </w:pPr>
      <w:r>
        <w:lastRenderedPageBreak/>
        <w:t xml:space="preserve">Conclusion </w:t>
      </w:r>
    </w:p>
    <w:p w14:paraId="3A20E733" w14:textId="77777777" w:rsidR="007B22E2" w:rsidRDefault="00000000">
      <w:pPr>
        <w:spacing w:after="328"/>
        <w:ind w:left="-5"/>
      </w:pPr>
      <w:r>
        <w:t xml:space="preserve">Financial losses are driven more by exposure concentration than default probability alone. </w:t>
      </w:r>
    </w:p>
    <w:p w14:paraId="1B5257C3" w14:textId="77777777" w:rsidR="007B22E2" w:rsidRDefault="00000000">
      <w:pPr>
        <w:spacing w:after="753"/>
        <w:ind w:left="-5"/>
      </w:pPr>
      <w:r>
        <w:t xml:space="preserve">Combining credit score thresholds and DTI controls enables both risk reduction and strategic growth. </w:t>
      </w:r>
    </w:p>
    <w:p w14:paraId="40FD8B36" w14:textId="77777777" w:rsidR="007B22E2" w:rsidRDefault="00000000">
      <w:pPr>
        <w:pStyle w:val="Heading1"/>
        <w:spacing w:after="78"/>
        <w:ind w:left="-5"/>
      </w:pPr>
      <w:r>
        <w:t xml:space="preserve">Tools Used </w:t>
      </w:r>
    </w:p>
    <w:p w14:paraId="59D2795F" w14:textId="77777777" w:rsidR="007B22E2" w:rsidRDefault="00000000">
      <w:pPr>
        <w:numPr>
          <w:ilvl w:val="0"/>
          <w:numId w:val="9"/>
        </w:numPr>
        <w:ind w:hanging="167"/>
      </w:pPr>
      <w:r>
        <w:t xml:space="preserve">Microsoft Excel (Pivot Tables, Dashboarding) </w:t>
      </w:r>
    </w:p>
    <w:p w14:paraId="7A871AC8" w14:textId="77777777" w:rsidR="007B22E2" w:rsidRDefault="00000000">
      <w:pPr>
        <w:numPr>
          <w:ilvl w:val="0"/>
          <w:numId w:val="9"/>
        </w:numPr>
        <w:ind w:hanging="167"/>
      </w:pPr>
      <w:r>
        <w:t xml:space="preserve">Data Visualization </w:t>
      </w:r>
    </w:p>
    <w:p w14:paraId="2C1B72BA" w14:textId="77777777" w:rsidR="007B22E2" w:rsidRDefault="00000000">
      <w:pPr>
        <w:numPr>
          <w:ilvl w:val="0"/>
          <w:numId w:val="9"/>
        </w:numPr>
        <w:spacing w:after="715"/>
        <w:ind w:hanging="167"/>
      </w:pPr>
      <w:r>
        <w:t xml:space="preserve">Risk Segmentation Analysis </w:t>
      </w:r>
    </w:p>
    <w:p w14:paraId="340D1E04" w14:textId="77777777" w:rsidR="007B22E2" w:rsidRDefault="00000000">
      <w:pPr>
        <w:pStyle w:val="Heading1"/>
        <w:ind w:left="-5"/>
      </w:pPr>
      <w:r>
        <w:t xml:space="preserve">Project Outcome </w:t>
      </w:r>
    </w:p>
    <w:p w14:paraId="76454E20" w14:textId="77777777" w:rsidR="007B22E2" w:rsidRDefault="00000000">
      <w:pPr>
        <w:spacing w:after="40"/>
        <w:ind w:left="-5"/>
      </w:pPr>
      <w:r>
        <w:t xml:space="preserve">Developed a decision-focused dashboard that: </w:t>
      </w:r>
    </w:p>
    <w:p w14:paraId="5BD31730" w14:textId="77777777" w:rsidR="007B22E2" w:rsidRDefault="00000000">
      <w:pPr>
        <w:numPr>
          <w:ilvl w:val="0"/>
          <w:numId w:val="10"/>
        </w:numPr>
        <w:ind w:hanging="167"/>
      </w:pPr>
      <w:r>
        <w:t xml:space="preserve">Identifies key risk drivers </w:t>
      </w:r>
    </w:p>
    <w:p w14:paraId="4C2D6620" w14:textId="77777777" w:rsidR="007B22E2" w:rsidRDefault="00000000">
      <w:pPr>
        <w:numPr>
          <w:ilvl w:val="0"/>
          <w:numId w:val="10"/>
        </w:numPr>
        <w:ind w:hanging="167"/>
      </w:pPr>
      <w:r>
        <w:t xml:space="preserve">Highlights loss concentration </w:t>
      </w:r>
    </w:p>
    <w:p w14:paraId="04B3C3BA" w14:textId="77777777" w:rsidR="007B22E2" w:rsidRDefault="00000000">
      <w:pPr>
        <w:numPr>
          <w:ilvl w:val="0"/>
          <w:numId w:val="10"/>
        </w:numPr>
        <w:spacing w:after="386"/>
        <w:ind w:hanging="167"/>
      </w:pPr>
      <w:r>
        <w:t xml:space="preserve">Provides actionable lending strategy </w:t>
      </w:r>
    </w:p>
    <w:p w14:paraId="7F6871D6" w14:textId="77777777" w:rsidR="007B22E2" w:rsidRDefault="00000000">
      <w:pPr>
        <w:pStyle w:val="Heading1"/>
        <w:ind w:left="-5"/>
      </w:pPr>
      <w:r>
        <w:t xml:space="preserve">Key Takeaway </w:t>
      </w:r>
    </w:p>
    <w:p w14:paraId="64E41294" w14:textId="77777777" w:rsidR="007B22E2" w:rsidRDefault="00000000">
      <w:pPr>
        <w:ind w:left="-5"/>
      </w:pPr>
      <w:r>
        <w:t>Effective lending requires balancing risk (default rate) and exposure (loan volume) while considering how multiple factors interact.</w:t>
      </w:r>
    </w:p>
    <w:sectPr w:rsidR="007B22E2">
      <w:pgSz w:w="12240" w:h="15840"/>
      <w:pgMar w:top="1441" w:right="1446" w:bottom="16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3DB"/>
    <w:multiLevelType w:val="hybridMultilevel"/>
    <w:tmpl w:val="6660CE74"/>
    <w:lvl w:ilvl="0" w:tplc="F112C94A">
      <w:start w:val="1"/>
      <w:numFmt w:val="bullet"/>
      <w:lvlText w:val="•"/>
      <w:lvlJc w:val="left"/>
      <w:pPr>
        <w:ind w:left="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AF140E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41E08E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02A83D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74283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720A57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114626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07AED6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1E9A69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843ADF"/>
    <w:multiLevelType w:val="hybridMultilevel"/>
    <w:tmpl w:val="54F0F4CE"/>
    <w:lvl w:ilvl="0" w:tplc="0BB8FD92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6A72F3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917855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277881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814E1C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2D8A92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0BBC9E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0A360E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B9CCE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75C9E"/>
    <w:multiLevelType w:val="hybridMultilevel"/>
    <w:tmpl w:val="ECD8A49A"/>
    <w:lvl w:ilvl="0" w:tplc="52166E64">
      <w:start w:val="1"/>
      <w:numFmt w:val="bullet"/>
      <w:lvlText w:val="•"/>
      <w:lvlJc w:val="left"/>
      <w:pPr>
        <w:ind w:left="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92822D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14899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8DF680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B6E281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4D4480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479A60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9CCEF7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BA6675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9F515B"/>
    <w:multiLevelType w:val="hybridMultilevel"/>
    <w:tmpl w:val="8C980B9A"/>
    <w:lvl w:ilvl="0" w:tplc="7D28F884">
      <w:start w:val="1"/>
      <w:numFmt w:val="bullet"/>
      <w:lvlText w:val="•"/>
      <w:lvlJc w:val="left"/>
      <w:pPr>
        <w:ind w:left="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66F437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44C19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8858FF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BC3CF4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106C48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0AF832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5860E2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A45AB4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BF50B1"/>
    <w:multiLevelType w:val="hybridMultilevel"/>
    <w:tmpl w:val="BA48CCA2"/>
    <w:lvl w:ilvl="0" w:tplc="E6FAABBC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EF763F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F5520C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AE4E64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F59AB9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AE48A5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636233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F8CE92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3C0CE3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53064A"/>
    <w:multiLevelType w:val="hybridMultilevel"/>
    <w:tmpl w:val="E16A50CC"/>
    <w:lvl w:ilvl="0" w:tplc="15081D40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6DDCF3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037AD6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A2365C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E6945D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53EE45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6BC256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AC0271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BF9C3F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281469"/>
    <w:multiLevelType w:val="hybridMultilevel"/>
    <w:tmpl w:val="624219B6"/>
    <w:lvl w:ilvl="0" w:tplc="99E09B62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71AEAE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7DE42C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1430F9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CF0EED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2710F8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0636C5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F9B099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56A672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1F3710"/>
    <w:multiLevelType w:val="hybridMultilevel"/>
    <w:tmpl w:val="57224606"/>
    <w:lvl w:ilvl="0" w:tplc="A1560B62">
      <w:start w:val="1"/>
      <w:numFmt w:val="bullet"/>
      <w:lvlText w:val="•"/>
      <w:lvlJc w:val="left"/>
      <w:pPr>
        <w:ind w:left="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2D08DC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0FFCAD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BAA02C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333E3D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6A5246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BA668A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CFD493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FF2CEF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B52D11"/>
    <w:multiLevelType w:val="hybridMultilevel"/>
    <w:tmpl w:val="75DE282A"/>
    <w:lvl w:ilvl="0" w:tplc="57EA0872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1E81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E067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2C5D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A435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E686A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4A3F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8ABF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4BEA1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F00561"/>
    <w:multiLevelType w:val="hybridMultilevel"/>
    <w:tmpl w:val="1426422E"/>
    <w:lvl w:ilvl="0" w:tplc="687CBCCC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622817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4D505A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8B3C26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722692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1180DE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0624D6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52A027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55D085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310905">
    <w:abstractNumId w:val="8"/>
  </w:num>
  <w:num w:numId="2" w16cid:durableId="51583693">
    <w:abstractNumId w:val="6"/>
  </w:num>
  <w:num w:numId="3" w16cid:durableId="570115833">
    <w:abstractNumId w:val="0"/>
  </w:num>
  <w:num w:numId="4" w16cid:durableId="1566260270">
    <w:abstractNumId w:val="7"/>
  </w:num>
  <w:num w:numId="5" w16cid:durableId="633102391">
    <w:abstractNumId w:val="3"/>
  </w:num>
  <w:num w:numId="6" w16cid:durableId="71203085">
    <w:abstractNumId w:val="2"/>
  </w:num>
  <w:num w:numId="7" w16cid:durableId="42338149">
    <w:abstractNumId w:val="5"/>
  </w:num>
  <w:num w:numId="8" w16cid:durableId="2079555127">
    <w:abstractNumId w:val="9"/>
  </w:num>
  <w:num w:numId="9" w16cid:durableId="761417721">
    <w:abstractNumId w:val="1"/>
  </w:num>
  <w:num w:numId="10" w16cid:durableId="851257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2E2"/>
    <w:rsid w:val="007B22E2"/>
    <w:rsid w:val="00934D4C"/>
    <w:rsid w:val="00D0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5A36"/>
  <w15:docId w15:val="{599867CE-042A-47B7-B6EF-F4D1CDED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6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Arial" w:eastAsia="Arial" w:hAnsi="Arial" w:cs="Arial"/>
      <w:b/>
      <w:color w:val="5A5754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5A575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Risk Intelligence: Default Analysis &amp; Lending Strategy</dc:title>
  <dc:subject/>
  <dc:creator>Mohsin Saifi</dc:creator>
  <cp:keywords/>
  <cp:lastModifiedBy>Mohsin Saifi</cp:lastModifiedBy>
  <cp:revision>2</cp:revision>
  <dcterms:created xsi:type="dcterms:W3CDTF">2026-07-12T17:25:00Z</dcterms:created>
  <dcterms:modified xsi:type="dcterms:W3CDTF">2026-07-12T17:25:00Z</dcterms:modified>
</cp:coreProperties>
</file>