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0E604A" w14:textId="77777777" w:rsidR="00B93F06" w:rsidRDefault="00000000">
      <w:pPr>
        <w:spacing w:before="480" w:after="120"/>
        <w:jc w:val="center"/>
      </w:pPr>
      <w:r>
        <w:rPr>
          <w:b/>
          <w:bCs/>
          <w:color w:val="1E4D78"/>
          <w:sz w:val="52"/>
          <w:szCs w:val="52"/>
        </w:rPr>
        <w:t>Nintendo Video Game Market Analysis</w:t>
      </w:r>
    </w:p>
    <w:p w14:paraId="1890DF8F" w14:textId="7D579FFB" w:rsidR="00B93F06" w:rsidRDefault="00000000">
      <w:pPr>
        <w:spacing w:after="80"/>
        <w:jc w:val="center"/>
      </w:pPr>
      <w:r>
        <w:rPr>
          <w:color w:val="555555"/>
          <w:sz w:val="26"/>
          <w:szCs w:val="26"/>
        </w:rPr>
        <w:t>Assignment</w:t>
      </w:r>
    </w:p>
    <w:p w14:paraId="08DD4147" w14:textId="77777777" w:rsidR="00B93F06" w:rsidRDefault="00000000">
      <w:pPr>
        <w:spacing w:after="80"/>
        <w:jc w:val="center"/>
      </w:pPr>
      <w:r>
        <w:rPr>
          <w:i/>
          <w:iCs/>
          <w:color w:val="555555"/>
          <w:sz w:val="20"/>
          <w:szCs w:val="20"/>
        </w:rPr>
        <w:t xml:space="preserve">Submission Format: Packaged Tableau </w:t>
      </w:r>
      <w:proofErr w:type="gramStart"/>
      <w:r>
        <w:rPr>
          <w:i/>
          <w:iCs/>
          <w:color w:val="555555"/>
          <w:sz w:val="20"/>
          <w:szCs w:val="20"/>
        </w:rPr>
        <w:t>Workbook (.</w:t>
      </w:r>
      <w:proofErr w:type="spellStart"/>
      <w:proofErr w:type="gramEnd"/>
      <w:r>
        <w:rPr>
          <w:i/>
          <w:iCs/>
          <w:color w:val="555555"/>
          <w:sz w:val="20"/>
          <w:szCs w:val="20"/>
        </w:rPr>
        <w:t>twbx</w:t>
      </w:r>
      <w:proofErr w:type="spellEnd"/>
      <w:r>
        <w:rPr>
          <w:i/>
          <w:iCs/>
          <w:color w:val="555555"/>
          <w:sz w:val="20"/>
          <w:szCs w:val="20"/>
        </w:rPr>
        <w:t>) &amp; Summary</w:t>
      </w:r>
    </w:p>
    <w:p w14:paraId="2B1DE97B" w14:textId="77777777" w:rsidR="00B93F06" w:rsidRDefault="00000000">
      <w:pPr>
        <w:pBdr>
          <w:bottom w:val="single" w:sz="8" w:space="2" w:color="1E4D78"/>
        </w:pBdr>
        <w:spacing w:after="480"/>
        <w:jc w:val="center"/>
      </w:pPr>
      <w:r>
        <w:rPr>
          <w:sz w:val="20"/>
          <w:szCs w:val="20"/>
        </w:rPr>
        <w:t xml:space="preserve"> </w:t>
      </w:r>
    </w:p>
    <w:p w14:paraId="3592DF5D" w14:textId="77777777" w:rsidR="00B93F06" w:rsidRDefault="00000000">
      <w:pPr>
        <w:pStyle w:val="Heading1"/>
        <w:pBdr>
          <w:bottom w:val="single" w:sz="6" w:space="1" w:color="1E4D78"/>
        </w:pBdr>
      </w:pPr>
      <w:r>
        <w:t>1. Introduction &amp; Objective</w:t>
      </w:r>
    </w:p>
    <w:p w14:paraId="5E8FB7CB" w14:textId="77777777" w:rsidR="00B93F06" w:rsidRDefault="00000000">
      <w:pPr>
        <w:spacing w:after="120"/>
      </w:pPr>
      <w:r>
        <w:t>The goal of this project was to analyze historical Nintendo video game data to uncover key market patterns and portfolio trends. Using a 4-panel Tableau dashboard, we examined critical acclaim, historical release volume, demographic targeting (ESRB), and consumer satisfaction across genres.</w:t>
      </w:r>
    </w:p>
    <w:p w14:paraId="4A8ACBC0" w14:textId="77777777" w:rsidR="00B93F06" w:rsidRDefault="00B93F06">
      <w:pPr>
        <w:spacing w:after="120"/>
      </w:pPr>
    </w:p>
    <w:p w14:paraId="49B758E5" w14:textId="77777777" w:rsidR="00B93F06" w:rsidRDefault="00000000">
      <w:pPr>
        <w:pStyle w:val="Heading1"/>
        <w:pBdr>
          <w:bottom w:val="single" w:sz="6" w:space="1" w:color="1E4D78"/>
        </w:pBdr>
      </w:pPr>
      <w:r>
        <w:t>2. Technical Features &amp; Calculations</w:t>
      </w:r>
    </w:p>
    <w:p w14:paraId="19DA225C" w14:textId="77777777" w:rsidR="00B93F06" w:rsidRDefault="00000000">
      <w:pPr>
        <w:spacing w:after="120"/>
      </w:pPr>
      <w:r>
        <w:t xml:space="preserve">To fulfill the technical requirements, a custom Calculated Field named </w:t>
      </w:r>
    </w:p>
    <w:p w14:paraId="6064DCBE" w14:textId="77777777" w:rsidR="00B93F06" w:rsidRDefault="00000000">
      <w:pPr>
        <w:spacing w:after="120"/>
      </w:pPr>
      <w:r>
        <w:t xml:space="preserve">To fulfill the technical requirements, a custom Calculated Field named </w:t>
      </w:r>
      <w:r>
        <w:rPr>
          <w:rFonts w:ascii="Courier New" w:eastAsia="Courier New" w:hAnsi="Courier New" w:cs="Courier New"/>
          <w:b/>
          <w:bCs/>
        </w:rPr>
        <w:t>[Critic Rating Class]</w:t>
      </w:r>
      <w:r>
        <w:t xml:space="preserve"> was built to isolate top-tier software using the following logic:</w:t>
      </w:r>
    </w:p>
    <w:p w14:paraId="18753D24" w14:textId="77777777" w:rsidR="00B93F06" w:rsidRDefault="00000000">
      <w:pPr>
        <w:pBdr>
          <w:left w:val="single" w:sz="12" w:space="8" w:color="1E4D78"/>
        </w:pBdr>
        <w:shd w:val="clear" w:color="auto" w:fill="F4F4F4"/>
        <w:spacing w:before="80" w:after="80"/>
        <w:ind w:left="72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>IF [</w:t>
      </w: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meta_score</w:t>
      </w:r>
      <w:proofErr w:type="spellEnd"/>
      <w:r>
        <w:rPr>
          <w:rFonts w:ascii="Courier New" w:eastAsia="Courier New" w:hAnsi="Courier New" w:cs="Courier New"/>
          <w:color w:val="333333"/>
          <w:sz w:val="20"/>
          <w:szCs w:val="20"/>
        </w:rPr>
        <w:t>] &gt;= 90 THEN "Elite (90+)" ELSE "Standard (&lt;90)" END</w:t>
      </w:r>
    </w:p>
    <w:p w14:paraId="64B758EE" w14:textId="77777777" w:rsidR="00B93F06" w:rsidRDefault="00B93F06">
      <w:pPr>
        <w:spacing w:after="80"/>
      </w:pPr>
    </w:p>
    <w:p w14:paraId="68DB8DE8" w14:textId="77777777" w:rsidR="00B93F06" w:rsidRDefault="00000000">
      <w:pPr>
        <w:spacing w:after="120"/>
      </w:pPr>
      <w:r>
        <w:t xml:space="preserve">This calculation was mapped to the dashboard's color framework to immediately distinguish premier titles. Built-in </w:t>
      </w:r>
      <w:proofErr w:type="gramStart"/>
      <w:r>
        <w:t>Top-N</w:t>
      </w:r>
      <w:proofErr w:type="gramEnd"/>
      <w:r>
        <w:t xml:space="preserve"> filters were also applied to isolate the highest-performing data segments.</w:t>
      </w:r>
    </w:p>
    <w:p w14:paraId="49DFE941" w14:textId="77777777" w:rsidR="00B93F06" w:rsidRDefault="00B93F06">
      <w:pPr>
        <w:spacing w:after="120"/>
      </w:pPr>
    </w:p>
    <w:p w14:paraId="2E0432A3" w14:textId="77777777" w:rsidR="00B93F06" w:rsidRDefault="00000000">
      <w:pPr>
        <w:pStyle w:val="Heading1"/>
        <w:pBdr>
          <w:bottom w:val="single" w:sz="6" w:space="1" w:color="1E4D78"/>
        </w:pBdr>
      </w:pPr>
      <w:r>
        <w:t>3. Dashboard Breakdown</w:t>
      </w:r>
    </w:p>
    <w:p w14:paraId="721770C0" w14:textId="77777777" w:rsidR="00B93F06" w:rsidRDefault="00000000">
      <w:pPr>
        <w:spacing w:after="120"/>
      </w:pPr>
      <w:r>
        <w:t>The dashboard comprises four analytically distinct panels, each targeting a separate dimension of the Nintendo software portfolio:</w:t>
      </w:r>
    </w:p>
    <w:p w14:paraId="084D7847" w14:textId="77777777" w:rsidR="00B93F06" w:rsidRDefault="00B93F06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B93F06" w14:paraId="612D20BB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1E4D78"/>
              <w:left w:val="single" w:sz="1" w:space="0" w:color="1E4D78"/>
              <w:bottom w:val="single" w:sz="1" w:space="0" w:color="1E4D78"/>
              <w:right w:val="single" w:sz="1" w:space="0" w:color="1E4D78"/>
            </w:tcBorders>
            <w:shd w:val="clear" w:color="auto" w:fill="1E4D7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0BFF75" w14:textId="77777777" w:rsidR="00B93F06" w:rsidRDefault="00000000">
            <w:r>
              <w:rPr>
                <w:b/>
                <w:bCs/>
                <w:color w:val="FFFFFF"/>
                <w:sz w:val="20"/>
                <w:szCs w:val="20"/>
              </w:rPr>
              <w:t>Panel</w:t>
            </w:r>
          </w:p>
        </w:tc>
        <w:tc>
          <w:tcPr>
            <w:tcW w:w="2340" w:type="dxa"/>
            <w:tcBorders>
              <w:top w:val="single" w:sz="1" w:space="0" w:color="1E4D78"/>
              <w:left w:val="single" w:sz="1" w:space="0" w:color="1E4D78"/>
              <w:bottom w:val="single" w:sz="1" w:space="0" w:color="1E4D78"/>
              <w:right w:val="single" w:sz="1" w:space="0" w:color="1E4D78"/>
            </w:tcBorders>
            <w:shd w:val="clear" w:color="auto" w:fill="1E4D7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53DFCE" w14:textId="77777777" w:rsidR="00B93F06" w:rsidRDefault="00000000">
            <w:r>
              <w:rPr>
                <w:b/>
                <w:bCs/>
                <w:color w:val="FFFFFF"/>
                <w:sz w:val="20"/>
                <w:szCs w:val="20"/>
              </w:rPr>
              <w:t>Chart Type</w:t>
            </w:r>
          </w:p>
        </w:tc>
        <w:tc>
          <w:tcPr>
            <w:tcW w:w="2340" w:type="dxa"/>
            <w:tcBorders>
              <w:top w:val="single" w:sz="1" w:space="0" w:color="1E4D78"/>
              <w:left w:val="single" w:sz="1" w:space="0" w:color="1E4D78"/>
              <w:bottom w:val="single" w:sz="1" w:space="0" w:color="1E4D78"/>
              <w:right w:val="single" w:sz="1" w:space="0" w:color="1E4D78"/>
            </w:tcBorders>
            <w:shd w:val="clear" w:color="auto" w:fill="1E4D7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EBDB36E" w14:textId="77777777" w:rsidR="00B93F06" w:rsidRDefault="00000000">
            <w:r>
              <w:rPr>
                <w:b/>
                <w:bCs/>
                <w:color w:val="FFFFFF"/>
                <w:sz w:val="20"/>
                <w:szCs w:val="20"/>
              </w:rPr>
              <w:t>Key Metric</w:t>
            </w:r>
          </w:p>
        </w:tc>
        <w:tc>
          <w:tcPr>
            <w:tcW w:w="2340" w:type="dxa"/>
            <w:tcBorders>
              <w:top w:val="single" w:sz="1" w:space="0" w:color="1E4D78"/>
              <w:left w:val="single" w:sz="1" w:space="0" w:color="1E4D78"/>
              <w:bottom w:val="single" w:sz="1" w:space="0" w:color="1E4D78"/>
              <w:right w:val="single" w:sz="1" w:space="0" w:color="1E4D78"/>
            </w:tcBorders>
            <w:shd w:val="clear" w:color="auto" w:fill="1E4D7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E997BBE" w14:textId="77777777" w:rsidR="00B93F06" w:rsidRDefault="00000000">
            <w:r>
              <w:rPr>
                <w:b/>
                <w:bCs/>
                <w:color w:val="FFFFFF"/>
                <w:sz w:val="20"/>
                <w:szCs w:val="20"/>
              </w:rPr>
              <w:t>Key Finding</w:t>
            </w:r>
          </w:p>
        </w:tc>
      </w:tr>
      <w:tr w:rsidR="00B93F06" w14:paraId="4DCF7F6D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4D97C1" w14:textId="77777777" w:rsidR="00B93F06" w:rsidRDefault="00000000">
            <w:r>
              <w:rPr>
                <w:sz w:val="20"/>
                <w:szCs w:val="20"/>
              </w:rPr>
              <w:t>Top 10 by Critic Score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C37739" w14:textId="77777777" w:rsidR="00B93F06" w:rsidRDefault="00000000">
            <w:r>
              <w:rPr>
                <w:sz w:val="20"/>
                <w:szCs w:val="20"/>
              </w:rPr>
              <w:t>Ranked Bar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C16A5A" w14:textId="77777777" w:rsidR="00B93F06" w:rsidRDefault="00000000">
            <w:proofErr w:type="spellStart"/>
            <w:r>
              <w:rPr>
                <w:sz w:val="20"/>
                <w:szCs w:val="20"/>
              </w:rPr>
              <w:t>Metascore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19AB5B" w14:textId="77777777" w:rsidR="00B93F06" w:rsidRDefault="00000000">
            <w:r>
              <w:rPr>
                <w:sz w:val="20"/>
                <w:szCs w:val="20"/>
              </w:rPr>
              <w:t xml:space="preserve">OoT leads at 99; all </w:t>
            </w:r>
            <w:proofErr w:type="gramStart"/>
            <w:r>
              <w:rPr>
                <w:sz w:val="20"/>
                <w:szCs w:val="20"/>
              </w:rPr>
              <w:t>top-10</w:t>
            </w:r>
            <w:proofErr w:type="gramEnd"/>
            <w:r>
              <w:rPr>
                <w:sz w:val="20"/>
                <w:szCs w:val="20"/>
              </w:rPr>
              <w:t xml:space="preserve"> are Elite (90+)</w:t>
            </w:r>
          </w:p>
        </w:tc>
      </w:tr>
      <w:tr w:rsidR="00B93F06" w14:paraId="4194E090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58495F" w14:textId="77777777" w:rsidR="00B93F06" w:rsidRDefault="00000000">
            <w:r>
              <w:rPr>
                <w:sz w:val="20"/>
                <w:szCs w:val="20"/>
              </w:rPr>
              <w:t>Games Released by Year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039402" w14:textId="77777777" w:rsidR="00B93F06" w:rsidRDefault="00000000">
            <w:r>
              <w:rPr>
                <w:sz w:val="20"/>
                <w:szCs w:val="20"/>
              </w:rPr>
              <w:t>Line Chart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51EA0A" w14:textId="77777777" w:rsidR="00B93F06" w:rsidRDefault="00000000">
            <w:r>
              <w:rPr>
                <w:sz w:val="20"/>
                <w:szCs w:val="20"/>
              </w:rPr>
              <w:t>Release Volume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8C6F40" w14:textId="77777777" w:rsidR="00B93F06" w:rsidRDefault="00000000">
            <w:r>
              <w:rPr>
                <w:sz w:val="20"/>
                <w:szCs w:val="20"/>
              </w:rPr>
              <w:t>Peak: late 2000s–early 2010s (Wii/DS era)</w:t>
            </w:r>
          </w:p>
        </w:tc>
      </w:tr>
      <w:tr w:rsidR="00B93F06" w14:paraId="6A83B2D1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77C6E3" w14:textId="77777777" w:rsidR="00B93F06" w:rsidRDefault="00000000">
            <w:r>
              <w:rPr>
                <w:sz w:val="20"/>
                <w:szCs w:val="20"/>
              </w:rPr>
              <w:lastRenderedPageBreak/>
              <w:t>Games by ESRB Rating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15AC63" w14:textId="77777777" w:rsidR="00B93F06" w:rsidRDefault="00000000">
            <w:r>
              <w:rPr>
                <w:sz w:val="20"/>
                <w:szCs w:val="20"/>
              </w:rPr>
              <w:t>Distribution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831519" w14:textId="77777777" w:rsidR="00B93F06" w:rsidRDefault="00000000">
            <w:r>
              <w:rPr>
                <w:sz w:val="20"/>
                <w:szCs w:val="20"/>
              </w:rPr>
              <w:t>Rating Count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D56B2" w14:textId="77777777" w:rsidR="00B93F06" w:rsidRDefault="00000000">
            <w:r>
              <w:rPr>
                <w:sz w:val="20"/>
                <w:szCs w:val="20"/>
              </w:rPr>
              <w:t>631 titles rated '</w:t>
            </w:r>
            <w:proofErr w:type="gramStart"/>
            <w:r>
              <w:rPr>
                <w:sz w:val="20"/>
                <w:szCs w:val="20"/>
              </w:rPr>
              <w:t>E' —</w:t>
            </w:r>
            <w:proofErr w:type="gramEnd"/>
            <w:r>
              <w:rPr>
                <w:sz w:val="20"/>
                <w:szCs w:val="20"/>
              </w:rPr>
              <w:t xml:space="preserve"> family-first strategy</w:t>
            </w:r>
          </w:p>
        </w:tc>
      </w:tr>
      <w:tr w:rsidR="00B93F06" w14:paraId="500FEE82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6FF90E" w14:textId="77777777" w:rsidR="00B93F06" w:rsidRDefault="00000000">
            <w:r>
              <w:rPr>
                <w:sz w:val="20"/>
                <w:szCs w:val="20"/>
              </w:rPr>
              <w:t>Top Genres by User Score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B274F7" w14:textId="77777777" w:rsidR="00B93F06" w:rsidRDefault="00000000">
            <w:r>
              <w:rPr>
                <w:sz w:val="20"/>
                <w:szCs w:val="20"/>
              </w:rPr>
              <w:t>Bar Chart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3DEA44" w14:textId="77777777" w:rsidR="00B93F06" w:rsidRDefault="00000000">
            <w:r>
              <w:rPr>
                <w:sz w:val="20"/>
                <w:szCs w:val="20"/>
              </w:rPr>
              <w:t>Avg. User Score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5117EE" w14:textId="77777777" w:rsidR="00B93F06" w:rsidRDefault="00000000">
            <w:r>
              <w:rPr>
                <w:sz w:val="20"/>
                <w:szCs w:val="20"/>
              </w:rPr>
              <w:t>RPG &amp; Action-RPG average &gt;9.1/10</w:t>
            </w:r>
          </w:p>
        </w:tc>
      </w:tr>
    </w:tbl>
    <w:p w14:paraId="0E3DE465" w14:textId="77777777" w:rsidR="00B93F06" w:rsidRDefault="00B93F06">
      <w:pPr>
        <w:spacing w:after="160"/>
      </w:pPr>
    </w:p>
    <w:p w14:paraId="776FB122" w14:textId="77777777" w:rsidR="00B93F06" w:rsidRDefault="00000000">
      <w:pPr>
        <w:pStyle w:val="Heading2"/>
      </w:pPr>
      <w:r>
        <w:t>Panel Details</w:t>
      </w:r>
    </w:p>
    <w:p w14:paraId="12EB5945" w14:textId="77777777" w:rsidR="00B93F06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Top 10 Games by Critic Score: </w:t>
      </w:r>
      <w:r>
        <w:t xml:space="preserve">Identifies flagship software. The Legend of Zelda: Ocarina of Time holds the peak position with a </w:t>
      </w:r>
      <w:proofErr w:type="spellStart"/>
      <w:r>
        <w:t>Metascore</w:t>
      </w:r>
      <w:proofErr w:type="spellEnd"/>
      <w:r>
        <w:t xml:space="preserve"> of 99. All </w:t>
      </w:r>
      <w:proofErr w:type="gramStart"/>
      <w:r>
        <w:t>top-10</w:t>
      </w:r>
      <w:proofErr w:type="gramEnd"/>
      <w:r>
        <w:t xml:space="preserve"> titles automatically filter into the custom "Elite" class.</w:t>
      </w:r>
    </w:p>
    <w:p w14:paraId="69CC5F8A" w14:textId="77777777" w:rsidR="00B93F06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Games Released by Year: </w:t>
      </w:r>
      <w:r>
        <w:t>A line chart tracking production velocity. Software volume peaked sharply during the late 2000s and early 2010s (the Nintendo Wii and DS era) before stabilizing.</w:t>
      </w:r>
    </w:p>
    <w:p w14:paraId="607A292B" w14:textId="77777777" w:rsidR="00B93F06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Games by ESRB Rating: </w:t>
      </w:r>
      <w:r>
        <w:t xml:space="preserve">A distribution chart showing market targeting. </w:t>
      </w:r>
      <w:proofErr w:type="gramStart"/>
      <w:r>
        <w:t>The vast majority of</w:t>
      </w:r>
      <w:proofErr w:type="gramEnd"/>
      <w:r>
        <w:t xml:space="preserve"> titles (631 games) are rated "E" (Everyone), reflecting a strict corporate focus on family-friendly accessibility.</w:t>
      </w:r>
    </w:p>
    <w:p w14:paraId="498A3003" w14:textId="77777777" w:rsidR="00B93F06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Top Genres by User Score: </w:t>
      </w:r>
      <w:r>
        <w:t>A bar chart isolating consumer scores. Niche categories like Role Playing and Action RPGs command the highest player loyalty, averaging over 9.1/10.</w:t>
      </w:r>
    </w:p>
    <w:p w14:paraId="5560B150" w14:textId="77777777" w:rsidR="00B93F06" w:rsidRDefault="00B93F06">
      <w:pPr>
        <w:spacing w:after="120"/>
      </w:pPr>
    </w:p>
    <w:p w14:paraId="797F3C2D" w14:textId="77777777" w:rsidR="00B93F06" w:rsidRDefault="00000000">
      <w:pPr>
        <w:pStyle w:val="Heading1"/>
        <w:pBdr>
          <w:bottom w:val="single" w:sz="6" w:space="1" w:color="1E4D78"/>
        </w:pBdr>
      </w:pPr>
      <w:r>
        <w:t>4. Key "Hidden Secrets" Discovered</w:t>
      </w:r>
    </w:p>
    <w:p w14:paraId="21347CB1" w14:textId="77777777" w:rsidR="00B93F06" w:rsidRDefault="00000000">
      <w:pPr>
        <w:pStyle w:val="Heading2"/>
      </w:pPr>
      <w:r>
        <w:t>Quality Over Quantity</w:t>
      </w:r>
    </w:p>
    <w:p w14:paraId="75A04CF7" w14:textId="4988FEC5" w:rsidR="00B93F06" w:rsidRDefault="00000000">
      <w:pPr>
        <w:spacing w:after="120"/>
      </w:pPr>
      <w:r>
        <w:t>The trend line proves that Nintendo scaled back its raw annual release volume after 2012. However, the data shows a successful pivot away from mass production toward a high-margin strategy focused on elite, flagship titles. This represents a deliberate portfolio repositioning fewer releases, higher average critical acclaim.</w:t>
      </w:r>
    </w:p>
    <w:p w14:paraId="21B5A88D" w14:textId="77777777" w:rsidR="00B93F06" w:rsidRDefault="00B93F06">
      <w:pPr>
        <w:spacing w:after="80"/>
      </w:pPr>
    </w:p>
    <w:p w14:paraId="510FF6C6" w14:textId="77777777" w:rsidR="00B93F06" w:rsidRDefault="00000000">
      <w:pPr>
        <w:pStyle w:val="Heading2"/>
      </w:pPr>
      <w:r>
        <w:t>The Loyalty Gap</w:t>
      </w:r>
    </w:p>
    <w:p w14:paraId="6C7AE3B1" w14:textId="77777777" w:rsidR="00B93F06" w:rsidRDefault="00000000">
      <w:pPr>
        <w:spacing w:after="120"/>
      </w:pPr>
      <w:r>
        <w:t xml:space="preserve">While the volume chart confirms Nintendo targets casual markets via "E" ratings, the user score chart reveals a counter-intuitive pattern: their strongest grassroots consumer satisfaction resides within complex, core-gamer genres such as RPGs. This divergence between marketing reach (broad, family-focused) and engagement depth (niche, core-gamer loyalty) constitutes a significant strategic insight </w:t>
      </w:r>
      <w:proofErr w:type="gramStart"/>
      <w:r>
        <w:t>for</w:t>
      </w:r>
      <w:proofErr w:type="gramEnd"/>
      <w:r>
        <w:t xml:space="preserve"> product and brand analysis.</w:t>
      </w:r>
    </w:p>
    <w:p w14:paraId="417DEE5E" w14:textId="77777777" w:rsidR="00B93F06" w:rsidRDefault="00B93F06">
      <w:pPr>
        <w:spacing w:after="80"/>
      </w:pPr>
    </w:p>
    <w:p w14:paraId="172E69BD" w14:textId="12D1941D" w:rsidR="00B93F06" w:rsidRDefault="00000000">
      <w:pPr>
        <w:pBdr>
          <w:top w:val="single" w:sz="6" w:space="4" w:color="1E4D78"/>
          <w:left w:val="single" w:sz="16" w:space="8" w:color="1E4D78"/>
          <w:bottom w:val="single" w:sz="6" w:space="4" w:color="1E4D78"/>
          <w:right w:val="single" w:sz="6" w:space="4" w:color="1E4D78"/>
        </w:pBdr>
        <w:shd w:val="clear" w:color="auto" w:fill="EAF1FB"/>
        <w:spacing w:before="160" w:after="160"/>
        <w:ind w:left="360" w:right="360"/>
      </w:pPr>
      <w:r>
        <w:rPr>
          <w:b/>
          <w:bCs/>
          <w:color w:val="1E4D78"/>
        </w:rPr>
        <w:t xml:space="preserve">Strategic Takeaway: </w:t>
      </w:r>
      <w:r>
        <w:rPr>
          <w:color w:val="333333"/>
        </w:rPr>
        <w:t xml:space="preserve">Nintendo's data profile demonstrates a company successfully operating two parallel strategies </w:t>
      </w:r>
      <w:r w:rsidR="00C64DB4">
        <w:rPr>
          <w:color w:val="333333"/>
        </w:rPr>
        <w:t>as</w:t>
      </w:r>
      <w:r>
        <w:rPr>
          <w:color w:val="333333"/>
        </w:rPr>
        <w:t xml:space="preserve"> mass-market accessibility through ESRB-E titles and deep brand loyalty through premium, genre-defining core titles. This dual-track approach insulates the portfolio against both casual churn and core-gamer attrition.</w:t>
      </w:r>
    </w:p>
    <w:sectPr w:rsidR="00B93F06">
      <w:footerReference w:type="default" r:id="rId7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B11616" w14:textId="77777777" w:rsidR="001E4FDB" w:rsidRDefault="001E4FDB">
      <w:r>
        <w:separator/>
      </w:r>
    </w:p>
  </w:endnote>
  <w:endnote w:type="continuationSeparator" w:id="0">
    <w:p w14:paraId="2523A4CB" w14:textId="77777777" w:rsidR="001E4FDB" w:rsidRDefault="001E4FD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B9A8EA" w14:textId="77777777" w:rsidR="00B93F06" w:rsidRDefault="00000000">
    <w:pPr>
      <w:jc w:val="center"/>
    </w:pPr>
    <w:r>
      <w:rPr>
        <w:color w:val="555555"/>
        <w:sz w:val="18"/>
        <w:szCs w:val="18"/>
      </w:rPr>
      <w:t xml:space="preserve">Nintendo Market </w:t>
    </w:r>
    <w:proofErr w:type="gramStart"/>
    <w:r>
      <w:rPr>
        <w:color w:val="555555"/>
        <w:sz w:val="18"/>
        <w:szCs w:val="18"/>
      </w:rPr>
      <w:t>Analysis  |</w:t>
    </w:r>
    <w:proofErr w:type="gramEnd"/>
    <w:r>
      <w:rPr>
        <w:color w:val="555555"/>
        <w:sz w:val="18"/>
        <w:szCs w:val="18"/>
      </w:rPr>
      <w:t xml:space="preserve">  Page </w:t>
    </w:r>
    <w:r>
      <w:rPr>
        <w:color w:val="555555"/>
        <w:sz w:val="18"/>
        <w:szCs w:val="18"/>
      </w:rPr>
      <w:fldChar w:fldCharType="begin"/>
    </w:r>
    <w:r>
      <w:rPr>
        <w:color w:val="555555"/>
        <w:sz w:val="18"/>
        <w:szCs w:val="18"/>
      </w:rPr>
      <w:instrText>PAGE</w:instrText>
    </w:r>
    <w:r>
      <w:rPr>
        <w:color w:val="555555"/>
        <w:sz w:val="18"/>
        <w:szCs w:val="18"/>
      </w:rPr>
      <w:fldChar w:fldCharType="separate"/>
    </w:r>
    <w:r w:rsidR="00C64DB4">
      <w:rPr>
        <w:noProof/>
        <w:color w:val="555555"/>
        <w:sz w:val="18"/>
        <w:szCs w:val="18"/>
      </w:rPr>
      <w:t>1</w:t>
    </w:r>
    <w:r>
      <w:rPr>
        <w:color w:val="555555"/>
        <w:sz w:val="18"/>
        <w:szCs w:val="18"/>
      </w:rPr>
      <w:fldChar w:fldCharType="end"/>
    </w:r>
    <w:r>
      <w:rPr>
        <w:color w:val="555555"/>
        <w:sz w:val="18"/>
        <w:szCs w:val="18"/>
      </w:rPr>
      <w:t xml:space="preserve"> of </w:t>
    </w:r>
    <w:r>
      <w:rPr>
        <w:color w:val="555555"/>
        <w:sz w:val="18"/>
        <w:szCs w:val="18"/>
      </w:rPr>
      <w:fldChar w:fldCharType="begin"/>
    </w:r>
    <w:r>
      <w:rPr>
        <w:color w:val="555555"/>
        <w:sz w:val="18"/>
        <w:szCs w:val="18"/>
      </w:rPr>
      <w:instrText>NUMPAGES</w:instrText>
    </w:r>
    <w:r>
      <w:rPr>
        <w:color w:val="555555"/>
        <w:sz w:val="18"/>
        <w:szCs w:val="18"/>
      </w:rPr>
      <w:fldChar w:fldCharType="separate"/>
    </w:r>
    <w:r w:rsidR="00C64DB4">
      <w:rPr>
        <w:noProof/>
        <w:color w:val="555555"/>
        <w:sz w:val="18"/>
        <w:szCs w:val="18"/>
      </w:rPr>
      <w:t>2</w:t>
    </w:r>
    <w:r>
      <w:rPr>
        <w:color w:val="555555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B76609" w14:textId="77777777" w:rsidR="001E4FDB" w:rsidRDefault="001E4FDB">
      <w:r>
        <w:separator/>
      </w:r>
    </w:p>
  </w:footnote>
  <w:footnote w:type="continuationSeparator" w:id="0">
    <w:p w14:paraId="58607D9C" w14:textId="77777777" w:rsidR="001E4FDB" w:rsidRDefault="001E4FD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3D3DB6"/>
    <w:multiLevelType w:val="hybridMultilevel"/>
    <w:tmpl w:val="5554EF76"/>
    <w:lvl w:ilvl="0" w:tplc="0A907B16">
      <w:start w:val="1"/>
      <w:numFmt w:val="bullet"/>
      <w:lvlText w:val="•"/>
      <w:lvlJc w:val="left"/>
      <w:pPr>
        <w:ind w:left="720" w:hanging="360"/>
      </w:pPr>
    </w:lvl>
    <w:lvl w:ilvl="1" w:tplc="95A2D244">
      <w:numFmt w:val="decimal"/>
      <w:lvlText w:val=""/>
      <w:lvlJc w:val="left"/>
    </w:lvl>
    <w:lvl w:ilvl="2" w:tplc="FBC66A26">
      <w:numFmt w:val="decimal"/>
      <w:lvlText w:val=""/>
      <w:lvlJc w:val="left"/>
    </w:lvl>
    <w:lvl w:ilvl="3" w:tplc="BCE8BE9E">
      <w:numFmt w:val="decimal"/>
      <w:lvlText w:val=""/>
      <w:lvlJc w:val="left"/>
    </w:lvl>
    <w:lvl w:ilvl="4" w:tplc="6AACCC60">
      <w:numFmt w:val="decimal"/>
      <w:lvlText w:val=""/>
      <w:lvlJc w:val="left"/>
    </w:lvl>
    <w:lvl w:ilvl="5" w:tplc="3BB635C0">
      <w:numFmt w:val="decimal"/>
      <w:lvlText w:val=""/>
      <w:lvlJc w:val="left"/>
    </w:lvl>
    <w:lvl w:ilvl="6" w:tplc="70529646">
      <w:numFmt w:val="decimal"/>
      <w:lvlText w:val=""/>
      <w:lvlJc w:val="left"/>
    </w:lvl>
    <w:lvl w:ilvl="7" w:tplc="A0F45EA0">
      <w:numFmt w:val="decimal"/>
      <w:lvlText w:val=""/>
      <w:lvlJc w:val="left"/>
    </w:lvl>
    <w:lvl w:ilvl="8" w:tplc="7E2E15D2">
      <w:numFmt w:val="decimal"/>
      <w:lvlText w:val=""/>
      <w:lvlJc w:val="left"/>
    </w:lvl>
  </w:abstractNum>
  <w:abstractNum w:abstractNumId="1" w15:restartNumberingAfterBreak="0">
    <w:nsid w:val="6E237DBA"/>
    <w:multiLevelType w:val="hybridMultilevel"/>
    <w:tmpl w:val="0880969A"/>
    <w:lvl w:ilvl="0" w:tplc="40820674">
      <w:start w:val="1"/>
      <w:numFmt w:val="bullet"/>
      <w:lvlText w:val="●"/>
      <w:lvlJc w:val="left"/>
      <w:pPr>
        <w:ind w:left="720" w:hanging="360"/>
      </w:pPr>
    </w:lvl>
    <w:lvl w:ilvl="1" w:tplc="F7669394">
      <w:start w:val="1"/>
      <w:numFmt w:val="bullet"/>
      <w:lvlText w:val="○"/>
      <w:lvlJc w:val="left"/>
      <w:pPr>
        <w:ind w:left="1440" w:hanging="360"/>
      </w:pPr>
    </w:lvl>
    <w:lvl w:ilvl="2" w:tplc="18A26B7E">
      <w:start w:val="1"/>
      <w:numFmt w:val="bullet"/>
      <w:lvlText w:val="■"/>
      <w:lvlJc w:val="left"/>
      <w:pPr>
        <w:ind w:left="2160" w:hanging="360"/>
      </w:pPr>
    </w:lvl>
    <w:lvl w:ilvl="3" w:tplc="23420FB0">
      <w:start w:val="1"/>
      <w:numFmt w:val="bullet"/>
      <w:lvlText w:val="●"/>
      <w:lvlJc w:val="left"/>
      <w:pPr>
        <w:ind w:left="2880" w:hanging="360"/>
      </w:pPr>
    </w:lvl>
    <w:lvl w:ilvl="4" w:tplc="21F8ADC8">
      <w:start w:val="1"/>
      <w:numFmt w:val="bullet"/>
      <w:lvlText w:val="○"/>
      <w:lvlJc w:val="left"/>
      <w:pPr>
        <w:ind w:left="3600" w:hanging="360"/>
      </w:pPr>
    </w:lvl>
    <w:lvl w:ilvl="5" w:tplc="73121D80">
      <w:start w:val="1"/>
      <w:numFmt w:val="bullet"/>
      <w:lvlText w:val="■"/>
      <w:lvlJc w:val="left"/>
      <w:pPr>
        <w:ind w:left="4320" w:hanging="360"/>
      </w:pPr>
    </w:lvl>
    <w:lvl w:ilvl="6" w:tplc="30547944">
      <w:start w:val="1"/>
      <w:numFmt w:val="bullet"/>
      <w:lvlText w:val="●"/>
      <w:lvlJc w:val="left"/>
      <w:pPr>
        <w:ind w:left="5040" w:hanging="360"/>
      </w:pPr>
    </w:lvl>
    <w:lvl w:ilvl="7" w:tplc="BD6C52A0">
      <w:start w:val="1"/>
      <w:numFmt w:val="bullet"/>
      <w:lvlText w:val="●"/>
      <w:lvlJc w:val="left"/>
      <w:pPr>
        <w:ind w:left="5760" w:hanging="360"/>
      </w:pPr>
    </w:lvl>
    <w:lvl w:ilvl="8" w:tplc="5B483F8C">
      <w:start w:val="1"/>
      <w:numFmt w:val="bullet"/>
      <w:lvlText w:val="●"/>
      <w:lvlJc w:val="left"/>
      <w:pPr>
        <w:ind w:left="6480" w:hanging="360"/>
      </w:pPr>
    </w:lvl>
  </w:abstractNum>
  <w:num w:numId="1" w16cid:durableId="1613367121">
    <w:abstractNumId w:val="1"/>
    <w:lvlOverride w:ilvl="0">
      <w:startOverride w:val="1"/>
    </w:lvlOverride>
  </w:num>
  <w:num w:numId="2" w16cid:durableId="201702692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93F06"/>
    <w:rsid w:val="001E4FDB"/>
    <w:rsid w:val="00B93F06"/>
    <w:rsid w:val="00C64DB4"/>
    <w:rsid w:val="00F975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543172"/>
  <w15:docId w15:val="{D7799C38-6DFC-4695-8A32-D07F6A8751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20"/>
      <w:outlineLvl w:val="0"/>
    </w:pPr>
    <w:rPr>
      <w:b/>
      <w:bCs/>
      <w:color w:val="1E4D78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8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520</Words>
  <Characters>2966</Characters>
  <Application>Microsoft Office Word</Application>
  <DocSecurity>0</DocSecurity>
  <Lines>24</Lines>
  <Paragraphs>6</Paragraphs>
  <ScaleCrop>false</ScaleCrop>
  <Company/>
  <LinksUpToDate>false</LinksUpToDate>
  <CharactersWithSpaces>3480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Muhammad Mohsin</cp:lastModifiedBy>
  <cp:revision>2</cp:revision>
  <dcterms:created xsi:type="dcterms:W3CDTF">2026-05-30T23:29:00Z</dcterms:created>
  <dcterms:modified xsi:type="dcterms:W3CDTF">2026-05-30T23:34:00Z</dcterms:modified>
</cp:coreProperties>
</file>