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2F5496"/>
          <w:sz w:val="56"/>
          <w:szCs w:val="56"/>
        </w:rPr>
        <w:t xml:space="preserve">How Trading Works</w:t>
      </w:r>
    </w:p>
    <w:p>
      <w:pPr>
        <w:spacing w:after="400"/>
      </w:pPr>
      <w:r>
        <w:rPr>
          <w:color w:val="595959"/>
          <w:sz w:val="26"/>
          <w:szCs w:val="26"/>
        </w:rPr>
        <w:t xml:space="preserve">Market Mechanics, Requirements, and How Professional Trading Apps Are Built</w:t>
      </w:r>
    </w:p>
    <w:p>
      <w:pPr>
        <w:pBdr>
          <w:bottom w:val="single" w:color="BFBFBF" w:sz="6" w:space="8"/>
        </w:pBdr>
        <w:spacing w:after="400"/>
      </w:pPr>
      <w:r>
        <w:rPr>
          <w:i/>
          <w:iCs/>
          <w:color w:val="808080"/>
          <w:sz w:val="20"/>
          <w:szCs w:val="20"/>
        </w:rPr>
        <w:t xml:space="preserve">Educational overview — not financial or investment advice.</w:t>
      </w:r>
    </w:p>
    <w:p>
      <w:pPr>
        <w:pStyle w:val="Heading1"/>
        <w:spacing w:after="150" w:before="300"/>
      </w:pPr>
      <w:r>
        <w:t xml:space="preserve">1. What Trading Actually Is</w:t>
      </w:r>
    </w:p>
    <w:p>
      <w:pPr>
        <w:spacing w:after="160"/>
      </w:pPr>
      <w:r>
        <w:t xml:space="preserve">Trading is the act of buying and selling financial instruments — stocks, bonds, currencies (forex), commodities, derivatives, or cryptocurrencies — with the goal of profiting from price movements or income (dividends, interest). It differs from long-term "investing" mainly in time horizon and intent: traders typically hold positions from seconds to months, while investors hold for years.</w:t>
      </w:r>
    </w:p>
    <w:p>
      <w:pPr>
        <w:spacing w:after="160"/>
      </w:pPr>
      <w:r>
        <w:t xml:space="preserve">Every trade has two sides: a buyer and a seller, matched at an agreed price. Markets exist to make that matching fast, fair, and transparent.</w:t>
      </w:r>
    </w:p>
    <w:p>
      <w:pPr>
        <w:pStyle w:val="Heading1"/>
        <w:spacing w:after="150" w:before="300"/>
      </w:pPr>
      <w:r>
        <w:t xml:space="preserve">2. The Core Building Blocks</w:t>
      </w:r>
    </w:p>
    <w:p>
      <w:pPr>
        <w:pStyle w:val="Heading2"/>
        <w:spacing w:after="150" w:before="300"/>
      </w:pPr>
      <w:r>
        <w:t xml:space="preserve">2.1 Exchanges and Order Books</w:t>
      </w:r>
    </w:p>
    <w:p>
      <w:pPr>
        <w:spacing w:after="160"/>
      </w:pPr>
      <w:r>
        <w:t xml:space="preserve">An exchange (e.g., NYSE, NASDAQ, LSE, Binance, a forex ECN) is a marketplace that matches buy and sell orders. Most modern exchanges use an electronic order book:</w:t>
      </w:r>
    </w:p>
    <w:p>
      <w:pPr>
        <w:pStyle w:val="ListParagraph"/>
        <w:numPr>
          <w:ilvl w:val="0"/>
          <w:numId w:val="2"/>
        </w:numPr>
        <w:spacing w:after="80"/>
      </w:pPr>
      <w:r>
        <w:t xml:space="preserve">Bid: the highest price a buyer is currently willing to pay.</w:t>
      </w:r>
    </w:p>
    <w:p>
      <w:pPr>
        <w:pStyle w:val="ListParagraph"/>
        <w:numPr>
          <w:ilvl w:val="0"/>
          <w:numId w:val="2"/>
        </w:numPr>
        <w:spacing w:after="80"/>
      </w:pPr>
      <w:r>
        <w:t xml:space="preserve">Ask (Offer): the lowest price a seller is currently willing to accept.</w:t>
      </w:r>
    </w:p>
    <w:p>
      <w:pPr>
        <w:pStyle w:val="ListParagraph"/>
        <w:numPr>
          <w:ilvl w:val="0"/>
          <w:numId w:val="2"/>
        </w:numPr>
        <w:spacing w:after="80"/>
      </w:pPr>
      <w:r>
        <w:t xml:space="preserve">Spread: the gap between bid and ask — a cost embedded in every trade.</w:t>
      </w:r>
    </w:p>
    <w:p>
      <w:pPr>
        <w:pStyle w:val="ListParagraph"/>
        <w:numPr>
          <w:ilvl w:val="0"/>
          <w:numId w:val="2"/>
        </w:numPr>
        <w:spacing w:after="80"/>
      </w:pPr>
      <w:r>
        <w:t xml:space="preserve">Depth: the volume of orders waiting at each price level.</w:t>
      </w:r>
    </w:p>
    <w:p>
      <w:pPr>
        <w:pStyle w:val="Heading2"/>
        <w:spacing w:after="150" w:before="300"/>
      </w:pPr>
      <w:r>
        <w:t xml:space="preserve">2.2 Order Types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tblHeader/>
        </w:trPr>
        <w:tc>
          <w:tcPr>
            <w:tcW w:type="dxa" w:w="3200"/>
            <w:shd w:fill="2F5496" w:color="auto" w:val="clear"/>
            <w:tcMar>
              <w:top w:type="dxa" w:w="80"/>
              <w:left w:type="dxa" w:w="100"/>
              <w:bottom w:type="dxa" w:w="80"/>
              <w:right w:type="dxa" w:w="100"/>
            </w:tcMar>
          </w:tcPr>
          <w:p>
            <w:r>
              <w:rPr>
                <w:b/>
                <w:bCs/>
                <w:color w:val="FFFFFF"/>
              </w:rPr>
              <w:t xml:space="preserve">Order Type</w:t>
            </w:r>
          </w:p>
        </w:tc>
        <w:tc>
          <w:tcPr>
            <w:tcW w:type="dxa" w:w="6300"/>
            <w:shd w:fill="2F5496" w:color="auto" w:val="clear"/>
            <w:tcMar>
              <w:top w:type="dxa" w:w="80"/>
              <w:left w:type="dxa" w:w="100"/>
              <w:bottom w:type="dxa" w:w="80"/>
              <w:right w:type="dxa" w:w="100"/>
            </w:tcMar>
          </w:tcPr>
          <w:p>
            <w:r>
              <w:rPr>
                <w:b/>
                <w:bCs/>
                <w:color w:val="FFFFFF"/>
              </w:rPr>
              <w:t xml:space="preserve">What It Does</w:t>
            </w:r>
          </w:p>
        </w:tc>
      </w:tr>
      <w:tr>
        <w:tc>
          <w:tcPr>
            <w:tcW w:type="dxa" w:w="3200"/>
            <w:tcMar>
              <w:top w:type="dxa" w:w="80"/>
              <w:left w:type="dxa" w:w="100"/>
              <w:bottom w:type="dxa" w:w="80"/>
              <w:right w:type="dxa" w:w="100"/>
            </w:tcMar>
          </w:tcPr>
          <w:p>
            <w:r>
              <w:t xml:space="preserve">Market order</w:t>
            </w:r>
          </w:p>
        </w:tc>
        <w:tc>
          <w:tcPr>
            <w:tcW w:type="dxa" w:w="6300"/>
            <w:tcMar>
              <w:top w:type="dxa" w:w="80"/>
              <w:left w:type="dxa" w:w="100"/>
              <w:bottom w:type="dxa" w:w="80"/>
              <w:right w:type="dxa" w:w="100"/>
            </w:tcMar>
          </w:tcPr>
          <w:p>
            <w:r>
              <w:t xml:space="preserve">Executes immediately at the best available price.</w:t>
            </w:r>
          </w:p>
        </w:tc>
      </w:tr>
      <w:tr>
        <w:tc>
          <w:tcPr>
            <w:tcW w:type="dxa" w:w="3200"/>
            <w:tcMar>
              <w:top w:type="dxa" w:w="80"/>
              <w:left w:type="dxa" w:w="100"/>
              <w:bottom w:type="dxa" w:w="80"/>
              <w:right w:type="dxa" w:w="100"/>
            </w:tcMar>
          </w:tcPr>
          <w:p>
            <w:r>
              <w:t xml:space="preserve">Limit order</w:t>
            </w:r>
          </w:p>
        </w:tc>
        <w:tc>
          <w:tcPr>
            <w:tcW w:type="dxa" w:w="6300"/>
            <w:tcMar>
              <w:top w:type="dxa" w:w="80"/>
              <w:left w:type="dxa" w:w="100"/>
              <w:bottom w:type="dxa" w:w="80"/>
              <w:right w:type="dxa" w:w="100"/>
            </w:tcMar>
          </w:tcPr>
          <w:p>
            <w:r>
              <w:t xml:space="preserve">Executes only at a specified price or better.</w:t>
            </w:r>
          </w:p>
        </w:tc>
      </w:tr>
      <w:tr>
        <w:tc>
          <w:tcPr>
            <w:tcW w:type="dxa" w:w="3200"/>
            <w:tcMar>
              <w:top w:type="dxa" w:w="80"/>
              <w:left w:type="dxa" w:w="100"/>
              <w:bottom w:type="dxa" w:w="80"/>
              <w:right w:type="dxa" w:w="100"/>
            </w:tcMar>
          </w:tcPr>
          <w:p>
            <w:r>
              <w:t xml:space="preserve">Stop order</w:t>
            </w:r>
          </w:p>
        </w:tc>
        <w:tc>
          <w:tcPr>
            <w:tcW w:type="dxa" w:w="6300"/>
            <w:tcMar>
              <w:top w:type="dxa" w:w="80"/>
              <w:left w:type="dxa" w:w="100"/>
              <w:bottom w:type="dxa" w:w="80"/>
              <w:right w:type="dxa" w:w="100"/>
            </w:tcMar>
          </w:tcPr>
          <w:p>
            <w:r>
              <w:t xml:space="preserve">Becomes a market order once a trigger price is hit.</w:t>
            </w:r>
          </w:p>
        </w:tc>
      </w:tr>
      <w:tr>
        <w:tc>
          <w:tcPr>
            <w:tcW w:type="dxa" w:w="3200"/>
            <w:tcMar>
              <w:top w:type="dxa" w:w="80"/>
              <w:left w:type="dxa" w:w="100"/>
              <w:bottom w:type="dxa" w:w="80"/>
              <w:right w:type="dxa" w:w="100"/>
            </w:tcMar>
          </w:tcPr>
          <w:p>
            <w:r>
              <w:t xml:space="preserve">Stop-limit</w:t>
            </w:r>
          </w:p>
        </w:tc>
        <w:tc>
          <w:tcPr>
            <w:tcW w:type="dxa" w:w="6300"/>
            <w:tcMar>
              <w:top w:type="dxa" w:w="80"/>
              <w:left w:type="dxa" w:w="100"/>
              <w:bottom w:type="dxa" w:w="80"/>
              <w:right w:type="dxa" w:w="100"/>
            </w:tcMar>
          </w:tcPr>
          <w:p>
            <w:r>
              <w:t xml:space="preserve">Becomes a limit order once a trigger price is hit.</w:t>
            </w:r>
          </w:p>
        </w:tc>
      </w:tr>
      <w:tr>
        <w:tc>
          <w:tcPr>
            <w:tcW w:type="dxa" w:w="3200"/>
            <w:tcMar>
              <w:top w:type="dxa" w:w="80"/>
              <w:left w:type="dxa" w:w="100"/>
              <w:bottom w:type="dxa" w:w="80"/>
              <w:right w:type="dxa" w:w="100"/>
            </w:tcMar>
          </w:tcPr>
          <w:p>
            <w:r>
              <w:t xml:space="preserve">Trailing stop</w:t>
            </w:r>
          </w:p>
        </w:tc>
        <w:tc>
          <w:tcPr>
            <w:tcW w:type="dxa" w:w="6300"/>
            <w:tcMar>
              <w:top w:type="dxa" w:w="80"/>
              <w:left w:type="dxa" w:w="100"/>
              <w:bottom w:type="dxa" w:w="80"/>
              <w:right w:type="dxa" w:w="100"/>
            </w:tcMar>
          </w:tcPr>
          <w:p>
            <w:r>
              <w:t xml:space="preserve">Stop price that moves with favorable price action.</w:t>
            </w:r>
          </w:p>
        </w:tc>
      </w:tr>
    </w:tbl>
    <w:p>
      <w:pPr>
        <w:spacing w:after="200"/>
      </w:pPr>
    </w:p>
    <w:p>
      <w:pPr>
        <w:pStyle w:val="Heading2"/>
        <w:spacing w:after="150" w:before="300"/>
      </w:pPr>
      <w:r>
        <w:t xml:space="preserve">2.3 Settlement and Clearing</w:t>
      </w:r>
    </w:p>
    <w:p>
      <w:pPr>
        <w:spacing w:after="160"/>
      </w:pPr>
      <w:r>
        <w:t xml:space="preserve">A trade being "executed" isn't the end of the story. A clearinghouse verifies both sides, manages counterparty risk, and settlement transfers actual ownership and funds. In equities this historically took T+2 (trade date plus two days); many markets have moved toward T+1 or, for crypto, near-instant settlement.</w:t>
      </w:r>
    </w:p>
    <w:p>
      <w:pPr>
        <w:pStyle w:val="Heading1"/>
        <w:spacing w:after="150" w:before="300"/>
      </w:pPr>
      <w:r>
        <w:t xml:space="preserve">3. What Trading Requires</w:t>
      </w:r>
    </w:p>
    <w:p>
      <w:pPr>
        <w:pStyle w:val="Heading2"/>
        <w:spacing w:after="150" w:before="300"/>
      </w:pPr>
      <w:r>
        <w:t xml:space="preserve">3.1 To Trade Legally and Practically, You Need:</w:t>
      </w:r>
    </w:p>
    <w:p>
      <w:pPr>
        <w:pStyle w:val="ListParagraph"/>
        <w:numPr>
          <w:ilvl w:val="0"/>
          <w:numId w:val="3"/>
        </w:numPr>
        <w:spacing w:after="80"/>
      </w:pPr>
      <w:r>
        <w:t xml:space="preserve">A brokerage account — a regulated intermediary that routes your orders to exchanges (e.g., Interactive Brokers, Fidelity, a forex broker, or a licensed crypto exchange).</w:t>
      </w:r>
    </w:p>
    <w:p>
      <w:pPr>
        <w:pStyle w:val="ListParagraph"/>
        <w:numPr>
          <w:ilvl w:val="0"/>
          <w:numId w:val="3"/>
        </w:numPr>
        <w:spacing w:after="80"/>
      </w:pPr>
      <w:r>
        <w:t xml:space="preserve">Identity verification (KYC) — government ID, proof of address, tax information, required by law almost everywhere (AML/KYC regulations).</w:t>
      </w:r>
    </w:p>
    <w:p>
      <w:pPr>
        <w:pStyle w:val="ListParagraph"/>
        <w:numPr>
          <w:ilvl w:val="0"/>
          <w:numId w:val="3"/>
        </w:numPr>
        <w:spacing w:after="80"/>
      </w:pPr>
      <w:r>
        <w:t xml:space="preserve">Funding — capital deposited via bank transfer, card, or wire, held in a segregated account distinct from the broker's own funds under most regulatory regimes.</w:t>
      </w:r>
    </w:p>
    <w:p>
      <w:pPr>
        <w:pStyle w:val="ListParagraph"/>
        <w:numPr>
          <w:ilvl w:val="0"/>
          <w:numId w:val="3"/>
        </w:numPr>
        <w:spacing w:after="80"/>
      </w:pPr>
      <w:r>
        <w:t xml:space="preserve">Market data access — real-time or delayed price feeds; real-time data is often a paid add-on.</w:t>
      </w:r>
    </w:p>
    <w:p>
      <w:pPr>
        <w:pStyle w:val="ListParagraph"/>
        <w:numPr>
          <w:ilvl w:val="0"/>
          <w:numId w:val="3"/>
        </w:numPr>
        <w:spacing w:after="80"/>
      </w:pPr>
      <w:r>
        <w:t xml:space="preserve">A trading platform or app — the software interface used to place, monitor, and manage orders.</w:t>
      </w:r>
    </w:p>
    <w:p>
      <w:pPr>
        <w:pStyle w:val="ListParagraph"/>
        <w:numPr>
          <w:ilvl w:val="0"/>
          <w:numId w:val="3"/>
        </w:numPr>
        <w:spacing w:after="80"/>
      </w:pPr>
      <w:r>
        <w:t xml:space="preserve">Risk capital and a risk framework — an amount you can afford to lose, plus rules for position sizing and stop-losses.</w:t>
      </w:r>
    </w:p>
    <w:p>
      <w:pPr>
        <w:pStyle w:val="ListParagraph"/>
        <w:numPr>
          <w:ilvl w:val="0"/>
          <w:numId w:val="3"/>
        </w:numPr>
        <w:spacing w:after="80"/>
      </w:pPr>
      <w:r>
        <w:t xml:space="preserve">Regulatory eligibility — some products (margin, options, futures) require approval tiers, minimum account sizes, or accredited-investor status depending on jurisdiction.</w:t>
      </w:r>
    </w:p>
    <w:p>
      <w:pPr>
        <w:pStyle w:val="Heading2"/>
        <w:spacing w:after="150" w:before="300"/>
      </w:pPr>
      <w:r>
        <w:t xml:space="preserve">3.2 Underlying Infrastructure (What Sits Behind the Scenes)</w:t>
      </w:r>
    </w:p>
    <w:p>
      <w:pPr>
        <w:pStyle w:val="ListParagraph"/>
        <w:numPr>
          <w:ilvl w:val="0"/>
          <w:numId w:val="2"/>
        </w:numPr>
        <w:spacing w:after="80"/>
      </w:pPr>
      <w:r>
        <w:t xml:space="preserve">Broker-dealer license and exchange membership — legal authorization to route and execute trades.</w:t>
      </w:r>
    </w:p>
    <w:p>
      <w:pPr>
        <w:pStyle w:val="ListParagraph"/>
        <w:numPr>
          <w:ilvl w:val="0"/>
          <w:numId w:val="2"/>
        </w:numPr>
        <w:spacing w:after="80"/>
      </w:pPr>
      <w:r>
        <w:t xml:space="preserve">Custody arrangements — where securities/assets are actually held (often via a custodian bank or the Depository Trust Company for U.S. equities).</w:t>
      </w:r>
    </w:p>
    <w:p>
      <w:pPr>
        <w:pStyle w:val="ListParagraph"/>
        <w:numPr>
          <w:ilvl w:val="0"/>
          <w:numId w:val="2"/>
        </w:numPr>
        <w:spacing w:after="80"/>
      </w:pPr>
      <w:r>
        <w:t xml:space="preserve">Market data licensing — brokers pay exchanges for the right to redistribute live quotes.</w:t>
      </w:r>
    </w:p>
    <w:p>
      <w:pPr>
        <w:pStyle w:val="ListParagraph"/>
        <w:numPr>
          <w:ilvl w:val="0"/>
          <w:numId w:val="2"/>
        </w:numPr>
        <w:spacing w:after="80"/>
      </w:pPr>
      <w:r>
        <w:t xml:space="preserve">Payment and banking rails — for deposits, withdrawals, and currency conversion.</w:t>
      </w:r>
    </w:p>
    <w:p>
      <w:pPr>
        <w:pStyle w:val="ListParagraph"/>
        <w:numPr>
          <w:ilvl w:val="0"/>
          <w:numId w:val="2"/>
        </w:numPr>
        <w:spacing w:after="80"/>
      </w:pPr>
      <w:r>
        <w:t xml:space="preserve">Regulatory compliance systems — surveillance for market manipulation, suitability checks, tax reporting (e.g., 1099s in the U.S.).</w:t>
      </w:r>
    </w:p>
    <w:p>
      <w:pPr>
        <w:pStyle w:val="Heading1"/>
        <w:spacing w:after="150" w:before="300"/>
      </w:pPr>
      <w:r>
        <w:t xml:space="preserve">4. How Professional Trading Apps Are Built</w:t>
      </w:r>
    </w:p>
    <w:p>
      <w:pPr>
        <w:spacing w:after="160"/>
      </w:pPr>
      <w:r>
        <w:t xml:space="preserve">Consumer-facing apps like Robinhood, Interactive Brokers, Zerodha, Binance, or MetaTrader all sit on top of a similar technical stack, even though their UIs differ.</w:t>
      </w:r>
    </w:p>
    <w:p>
      <w:pPr>
        <w:pStyle w:val="Heading2"/>
        <w:spacing w:after="150" w:before="300"/>
      </w:pPr>
      <w:r>
        <w:t xml:space="preserve">4.1 Layered Architecture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rPr>
          <w:tblHeader/>
        </w:trPr>
        <w:tc>
          <w:tcPr>
            <w:tcW w:type="dxa" w:w="3000"/>
            <w:shd w:fill="2F5496" w:color="auto" w:val="clear"/>
            <w:tcMar>
              <w:top w:type="dxa" w:w="80"/>
              <w:left w:type="dxa" w:w="100"/>
              <w:bottom w:type="dxa" w:w="80"/>
              <w:right w:type="dxa" w:w="100"/>
            </w:tcMar>
          </w:tcPr>
          <w:p>
            <w:r>
              <w:rPr>
                <w:b/>
                <w:bCs/>
                <w:color w:val="FFFFFF"/>
              </w:rPr>
              <w:t xml:space="preserve">Layer</w:t>
            </w:r>
          </w:p>
        </w:tc>
        <w:tc>
          <w:tcPr>
            <w:tcW w:type="dxa" w:w="6500"/>
            <w:shd w:fill="2F5496" w:color="auto" w:val="clear"/>
            <w:tcMar>
              <w:top w:type="dxa" w:w="80"/>
              <w:left w:type="dxa" w:w="100"/>
              <w:bottom w:type="dxa" w:w="80"/>
              <w:right w:type="dxa" w:w="100"/>
            </w:tcMar>
          </w:tcPr>
          <w:p>
            <w:r>
              <w:rPr>
                <w:b/>
                <w:bCs/>
                <w:color w:val="FFFFFF"/>
              </w:rPr>
              <w:t xml:space="preserve">Function</w:t>
            </w:r>
          </w:p>
        </w:tc>
      </w:tr>
      <w:tr>
        <w:tc>
          <w:tcPr>
            <w:tcW w:type="dxa" w:w="3000"/>
            <w:tcMar>
              <w:top w:type="dxa" w:w="80"/>
              <w:left w:type="dxa" w:w="100"/>
              <w:bottom w:type="dxa" w:w="80"/>
              <w:right w:type="dxa" w:w="100"/>
            </w:tcMar>
          </w:tcPr>
          <w:p>
            <w:r>
              <w:t xml:space="preserve">Client app</w:t>
            </w:r>
          </w:p>
        </w:tc>
        <w:tc>
          <w:tcPr>
            <w:tcW w:type="dxa" w:w="6500"/>
            <w:tcMar>
              <w:top w:type="dxa" w:w="80"/>
              <w:left w:type="dxa" w:w="100"/>
              <w:bottom w:type="dxa" w:w="80"/>
              <w:right w:type="dxa" w:w="100"/>
            </w:tcMar>
          </w:tcPr>
          <w:p>
            <w:r>
              <w:t xml:space="preserve">Mobile/web/desktop UI: charts, order tickets, portfolio views.</w:t>
            </w:r>
          </w:p>
        </w:tc>
      </w:tr>
      <w:tr>
        <w:tc>
          <w:tcPr>
            <w:tcW w:type="dxa" w:w="3000"/>
            <w:tcMar>
              <w:top w:type="dxa" w:w="80"/>
              <w:left w:type="dxa" w:w="100"/>
              <w:bottom w:type="dxa" w:w="80"/>
              <w:right w:type="dxa" w:w="100"/>
            </w:tcMar>
          </w:tcPr>
          <w:p>
            <w:r>
              <w:t xml:space="preserve">API gateway</w:t>
            </w:r>
          </w:p>
        </w:tc>
        <w:tc>
          <w:tcPr>
            <w:tcW w:type="dxa" w:w="6500"/>
            <w:tcMar>
              <w:top w:type="dxa" w:w="80"/>
              <w:left w:type="dxa" w:w="100"/>
              <w:bottom w:type="dxa" w:w="80"/>
              <w:right w:type="dxa" w:w="100"/>
            </w:tcMar>
          </w:tcPr>
          <w:p>
            <w:r>
              <w:t xml:space="preserve">Authenticates requests, enforces rate limits, routes to backend services.</w:t>
            </w:r>
          </w:p>
        </w:tc>
      </w:tr>
      <w:tr>
        <w:tc>
          <w:tcPr>
            <w:tcW w:type="dxa" w:w="3000"/>
            <w:tcMar>
              <w:top w:type="dxa" w:w="80"/>
              <w:left w:type="dxa" w:w="100"/>
              <w:bottom w:type="dxa" w:w="80"/>
              <w:right w:type="dxa" w:w="100"/>
            </w:tcMar>
          </w:tcPr>
          <w:p>
            <w:r>
              <w:t xml:space="preserve">Order management system (OMS)</w:t>
            </w:r>
          </w:p>
        </w:tc>
        <w:tc>
          <w:tcPr>
            <w:tcW w:type="dxa" w:w="6500"/>
            <w:tcMar>
              <w:top w:type="dxa" w:w="80"/>
              <w:left w:type="dxa" w:w="100"/>
              <w:bottom w:type="dxa" w:w="80"/>
              <w:right w:type="dxa" w:w="100"/>
            </w:tcMar>
          </w:tcPr>
          <w:p>
            <w:r>
              <w:t xml:space="preserve">Validates, sequences, and tracks the lifecycle of every order.</w:t>
            </w:r>
          </w:p>
        </w:tc>
      </w:tr>
      <w:tr>
        <w:tc>
          <w:tcPr>
            <w:tcW w:type="dxa" w:w="3000"/>
            <w:tcMar>
              <w:top w:type="dxa" w:w="80"/>
              <w:left w:type="dxa" w:w="100"/>
              <w:bottom w:type="dxa" w:w="80"/>
              <w:right w:type="dxa" w:w="100"/>
            </w:tcMar>
          </w:tcPr>
          <w:p>
            <w:r>
              <w:t xml:space="preserve">Execution / smart order router</w:t>
            </w:r>
          </w:p>
        </w:tc>
        <w:tc>
          <w:tcPr>
            <w:tcW w:type="dxa" w:w="6500"/>
            <w:tcMar>
              <w:top w:type="dxa" w:w="80"/>
              <w:left w:type="dxa" w:w="100"/>
              <w:bottom w:type="dxa" w:w="80"/>
              <w:right w:type="dxa" w:w="100"/>
            </w:tcMar>
          </w:tcPr>
          <w:p>
            <w:r>
              <w:t xml:space="preserve">Decides which exchange or liquidity venue to send an order to for best price and speed.</w:t>
            </w:r>
          </w:p>
        </w:tc>
      </w:tr>
      <w:tr>
        <w:tc>
          <w:tcPr>
            <w:tcW w:type="dxa" w:w="3000"/>
            <w:tcMar>
              <w:top w:type="dxa" w:w="80"/>
              <w:left w:type="dxa" w:w="100"/>
              <w:bottom w:type="dxa" w:w="80"/>
              <w:right w:type="dxa" w:w="100"/>
            </w:tcMar>
          </w:tcPr>
          <w:p>
            <w:r>
              <w:t xml:space="preserve">Risk engine</w:t>
            </w:r>
          </w:p>
        </w:tc>
        <w:tc>
          <w:tcPr>
            <w:tcW w:type="dxa" w:w="6500"/>
            <w:tcMar>
              <w:top w:type="dxa" w:w="80"/>
              <w:left w:type="dxa" w:w="100"/>
              <w:bottom w:type="dxa" w:w="80"/>
              <w:right w:type="dxa" w:w="100"/>
            </w:tcMar>
          </w:tcPr>
          <w:p>
            <w:r>
              <w:t xml:space="preserve">Real-time checks: buying power, margin requirements, position limits, pattern-day-trader rules.</w:t>
            </w:r>
          </w:p>
        </w:tc>
      </w:tr>
      <w:tr>
        <w:tc>
          <w:tcPr>
            <w:tcW w:type="dxa" w:w="3000"/>
            <w:tcMar>
              <w:top w:type="dxa" w:w="80"/>
              <w:left w:type="dxa" w:w="100"/>
              <w:bottom w:type="dxa" w:w="80"/>
              <w:right w:type="dxa" w:w="100"/>
            </w:tcMar>
          </w:tcPr>
          <w:p>
            <w:r>
              <w:t xml:space="preserve">Market data engine</w:t>
            </w:r>
          </w:p>
        </w:tc>
        <w:tc>
          <w:tcPr>
            <w:tcW w:type="dxa" w:w="6500"/>
            <w:tcMar>
              <w:top w:type="dxa" w:w="80"/>
              <w:left w:type="dxa" w:w="100"/>
              <w:bottom w:type="dxa" w:w="80"/>
              <w:right w:type="dxa" w:w="100"/>
            </w:tcMar>
          </w:tcPr>
          <w:p>
            <w:r>
              <w:t xml:space="preserve">Ingests and normalizes live feeds from exchanges; distributes to clients via WebSocket/streaming.</w:t>
            </w:r>
          </w:p>
        </w:tc>
      </w:tr>
      <w:tr>
        <w:tc>
          <w:tcPr>
            <w:tcW w:type="dxa" w:w="3000"/>
            <w:tcMar>
              <w:top w:type="dxa" w:w="80"/>
              <w:left w:type="dxa" w:w="100"/>
              <w:bottom w:type="dxa" w:w="80"/>
              <w:right w:type="dxa" w:w="100"/>
            </w:tcMar>
          </w:tcPr>
          <w:p>
            <w:r>
              <w:t xml:space="preserve">Ledger / accounting system</w:t>
            </w:r>
          </w:p>
        </w:tc>
        <w:tc>
          <w:tcPr>
            <w:tcW w:type="dxa" w:w="6500"/>
            <w:tcMar>
              <w:top w:type="dxa" w:w="80"/>
              <w:left w:type="dxa" w:w="100"/>
              <w:bottom w:type="dxa" w:w="80"/>
              <w:right w:type="dxa" w:w="100"/>
            </w:tcMar>
          </w:tcPr>
          <w:p>
            <w:r>
              <w:t xml:space="preserve">Tracks cash, positions, cost basis, and P&amp;L per account.</w:t>
            </w:r>
          </w:p>
        </w:tc>
      </w:tr>
      <w:tr>
        <w:tc>
          <w:tcPr>
            <w:tcW w:type="dxa" w:w="3000"/>
            <w:tcMar>
              <w:top w:type="dxa" w:w="80"/>
              <w:left w:type="dxa" w:w="100"/>
              <w:bottom w:type="dxa" w:w="80"/>
              <w:right w:type="dxa" w:w="100"/>
            </w:tcMar>
          </w:tcPr>
          <w:p>
            <w:r>
              <w:t xml:space="preserve">Clearing &amp; settlement interface</w:t>
            </w:r>
          </w:p>
        </w:tc>
        <w:tc>
          <w:tcPr>
            <w:tcW w:type="dxa" w:w="6500"/>
            <w:tcMar>
              <w:top w:type="dxa" w:w="80"/>
              <w:left w:type="dxa" w:w="100"/>
              <w:bottom w:type="dxa" w:w="80"/>
              <w:right w:type="dxa" w:w="100"/>
            </w:tcMar>
          </w:tcPr>
          <w:p>
            <w:r>
              <w:t xml:space="preserve">Connects to clearinghouses to finalize trades.</w:t>
            </w:r>
          </w:p>
        </w:tc>
      </w:tr>
      <w:tr>
        <w:tc>
          <w:tcPr>
            <w:tcW w:type="dxa" w:w="3000"/>
            <w:tcMar>
              <w:top w:type="dxa" w:w="80"/>
              <w:left w:type="dxa" w:w="100"/>
              <w:bottom w:type="dxa" w:w="80"/>
              <w:right w:type="dxa" w:w="100"/>
            </w:tcMar>
          </w:tcPr>
          <w:p>
            <w:r>
              <w:t xml:space="preserve">Compliance &amp; surveillance</w:t>
            </w:r>
          </w:p>
        </w:tc>
        <w:tc>
          <w:tcPr>
            <w:tcW w:type="dxa" w:w="6500"/>
            <w:tcMar>
              <w:top w:type="dxa" w:w="80"/>
              <w:left w:type="dxa" w:w="100"/>
              <w:bottom w:type="dxa" w:w="80"/>
              <w:right w:type="dxa" w:w="100"/>
            </w:tcMar>
          </w:tcPr>
          <w:p>
            <w:r>
              <w:t xml:space="preserve">Monitors for fraud, wash trading, insider patterns; generates regulatory reports.</w:t>
            </w:r>
          </w:p>
        </w:tc>
      </w:tr>
    </w:tbl>
    <w:p>
      <w:pPr>
        <w:spacing w:after="200"/>
      </w:pPr>
    </w:p>
    <w:p>
      <w:pPr>
        <w:pStyle w:val="Heading2"/>
        <w:spacing w:after="150" w:before="300"/>
      </w:pPr>
      <w:r>
        <w:t xml:space="preserve">4.2 The Life of an Order, End to End</w:t>
      </w:r>
    </w:p>
    <w:p>
      <w:pPr>
        <w:pStyle w:val="ListParagraph"/>
        <w:numPr>
          <w:ilvl w:val="0"/>
          <w:numId w:val="4"/>
        </w:numPr>
        <w:spacing w:after="80"/>
      </w:pPr>
      <w:r>
        <w:t xml:space="preserve">User submits an order in the app (e.g., "Buy 10 shares of X at market").</w:t>
      </w:r>
    </w:p>
    <w:p>
      <w:pPr>
        <w:pStyle w:val="ListParagraph"/>
        <w:numPr>
          <w:ilvl w:val="0"/>
          <w:numId w:val="4"/>
        </w:numPr>
        <w:spacing w:after="80"/>
      </w:pPr>
      <w:r>
        <w:t xml:space="preserve">Client app sends the request over an encrypted API call to the broker's backend.</w:t>
      </w:r>
    </w:p>
    <w:p>
      <w:pPr>
        <w:pStyle w:val="ListParagraph"/>
        <w:numPr>
          <w:ilvl w:val="0"/>
          <w:numId w:val="4"/>
        </w:numPr>
        <w:spacing w:after="80"/>
      </w:pPr>
      <w:r>
        <w:t xml:space="preserve">Risk engine checks buying power, margin, and regulatory constraints in milliseconds.</w:t>
      </w:r>
    </w:p>
    <w:p>
      <w:pPr>
        <w:pStyle w:val="ListParagraph"/>
        <w:numPr>
          <w:ilvl w:val="0"/>
          <w:numId w:val="4"/>
        </w:numPr>
        <w:spacing w:after="80"/>
      </w:pPr>
      <w:r>
        <w:t xml:space="preserve">Order management system records the order and assigns it a unique ID.</w:t>
      </w:r>
    </w:p>
    <w:p>
      <w:pPr>
        <w:pStyle w:val="ListParagraph"/>
        <w:numPr>
          <w:ilvl w:val="0"/>
          <w:numId w:val="4"/>
        </w:numPr>
        <w:spacing w:after="80"/>
      </w:pPr>
      <w:r>
        <w:t xml:space="preserve">Smart order router selects a venue — this may be a public exchange or, in many U.S. equity trades, a wholesale market maker via payment for order flow (PFOF) arrangements.</w:t>
      </w:r>
    </w:p>
    <w:p>
      <w:pPr>
        <w:pStyle w:val="ListParagraph"/>
        <w:numPr>
          <w:ilvl w:val="0"/>
          <w:numId w:val="4"/>
        </w:numPr>
        <w:spacing w:after="80"/>
      </w:pPr>
      <w:r>
        <w:t xml:space="preserve">Execution occurs; a fill confirmation returns through the same pipeline.</w:t>
      </w:r>
    </w:p>
    <w:p>
      <w:pPr>
        <w:pStyle w:val="ListParagraph"/>
        <w:numPr>
          <w:ilvl w:val="0"/>
          <w:numId w:val="4"/>
        </w:numPr>
        <w:spacing w:after="80"/>
      </w:pPr>
      <w:r>
        <w:t xml:space="preserve">Ledger updates the user's cash and position balances; the UI reflects the new state, typically within milliseconds.</w:t>
      </w:r>
    </w:p>
    <w:p>
      <w:pPr>
        <w:pStyle w:val="ListParagraph"/>
        <w:numPr>
          <w:ilvl w:val="0"/>
          <w:numId w:val="4"/>
        </w:numPr>
        <w:spacing w:after="80"/>
      </w:pPr>
      <w:r>
        <w:t xml:space="preserve">Clearing &amp; settlement finalize the transfer of ownership and funds over the following 1–2 business days (equities) or instantly (many crypto trades).</w:t>
      </w:r>
    </w:p>
    <w:p>
      <w:pPr>
        <w:pStyle w:val="Heading2"/>
        <w:spacing w:after="150" w:before="300"/>
      </w:pPr>
      <w:r>
        <w:t xml:space="preserve">4.3 Real-Time Data and Charting</w:t>
      </w:r>
    </w:p>
    <w:p>
      <w:pPr>
        <w:spacing w:after="160"/>
      </w:pPr>
      <w:r>
        <w:t xml:space="preserve">Professional apps stream tick-by-tick price data over persistent connections (WebSockets), which power live order books, candlestick charts, and technical indicators (moving averages, RSI, MACD, etc.). This requires:</w:t>
      </w:r>
    </w:p>
    <w:p>
      <w:pPr>
        <w:pStyle w:val="ListParagraph"/>
        <w:numPr>
          <w:ilvl w:val="0"/>
          <w:numId w:val="2"/>
        </w:numPr>
        <w:spacing w:after="80"/>
      </w:pPr>
      <w:r>
        <w:t xml:space="preserve">Low-latency data pipelines, often colocated near exchange data centers for speed.</w:t>
      </w:r>
    </w:p>
    <w:p>
      <w:pPr>
        <w:pStyle w:val="ListParagraph"/>
        <w:numPr>
          <w:ilvl w:val="0"/>
          <w:numId w:val="2"/>
        </w:numPr>
        <w:spacing w:after="80"/>
      </w:pPr>
      <w:r>
        <w:t xml:space="preserve">Efficient client-side rendering (charting libraries built for high-frequency updates).</w:t>
      </w:r>
    </w:p>
    <w:p>
      <w:pPr>
        <w:pStyle w:val="ListParagraph"/>
        <w:numPr>
          <w:ilvl w:val="0"/>
          <w:numId w:val="2"/>
        </w:numPr>
        <w:spacing w:after="80"/>
      </w:pPr>
      <w:r>
        <w:t xml:space="preserve">Data normalization, since each exchange formats and timestamps data differently.</w:t>
      </w:r>
    </w:p>
    <w:p>
      <w:pPr>
        <w:pStyle w:val="Heading2"/>
        <w:spacing w:after="150" w:before="300"/>
      </w:pPr>
      <w:r>
        <w:t xml:space="preserve">4.4 Security and Reliability Requirements</w:t>
      </w:r>
    </w:p>
    <w:p>
      <w:pPr>
        <w:pStyle w:val="ListParagraph"/>
        <w:numPr>
          <w:ilvl w:val="0"/>
          <w:numId w:val="2"/>
        </w:numPr>
        <w:spacing w:after="80"/>
      </w:pPr>
      <w:r>
        <w:t xml:space="preserve">Two-factor authentication and encrypted credential storage.</w:t>
      </w:r>
    </w:p>
    <w:p>
      <w:pPr>
        <w:pStyle w:val="ListParagraph"/>
        <w:numPr>
          <w:ilvl w:val="0"/>
          <w:numId w:val="2"/>
        </w:numPr>
        <w:spacing w:after="80"/>
      </w:pPr>
      <w:r>
        <w:t xml:space="preserve">Idempotent order handling — protection against duplicate order submission on retries.</w:t>
      </w:r>
    </w:p>
    <w:p>
      <w:pPr>
        <w:pStyle w:val="ListParagraph"/>
        <w:numPr>
          <w:ilvl w:val="0"/>
          <w:numId w:val="2"/>
        </w:numPr>
        <w:spacing w:after="80"/>
      </w:pPr>
      <w:r>
        <w:t xml:space="preserve">High availability — trading platforms design for near-zero downtime given financial and legal consequences of outages.</w:t>
      </w:r>
    </w:p>
    <w:p>
      <w:pPr>
        <w:pStyle w:val="ListParagraph"/>
        <w:numPr>
          <w:ilvl w:val="0"/>
          <w:numId w:val="2"/>
        </w:numPr>
        <w:spacing w:after="80"/>
      </w:pPr>
      <w:r>
        <w:t xml:space="preserve">Audit trails — every order, modification, and cancellation is logged immutably for regulatory review.</w:t>
      </w:r>
    </w:p>
    <w:p>
      <w:pPr>
        <w:pStyle w:val="ListParagraph"/>
        <w:numPr>
          <w:ilvl w:val="0"/>
          <w:numId w:val="2"/>
        </w:numPr>
        <w:spacing w:after="80"/>
      </w:pPr>
      <w:r>
        <w:t xml:space="preserve">Disaster recovery — failover systems in case of data center or connectivity failure.</w:t>
      </w:r>
    </w:p>
    <w:p>
      <w:pPr>
        <w:pStyle w:val="Heading2"/>
        <w:spacing w:after="150" w:before="300"/>
      </w:pPr>
      <w:r>
        <w:t xml:space="preserve">4.5 Monetization Models</w:t>
      </w:r>
    </w:p>
    <w:p>
      <w:pPr>
        <w:pStyle w:val="ListParagraph"/>
        <w:numPr>
          <w:ilvl w:val="0"/>
          <w:numId w:val="2"/>
        </w:numPr>
        <w:spacing w:after="80"/>
      </w:pPr>
      <w:r>
        <w:t xml:space="preserve">Commissions — a fee per trade (declining industry-wide for retail equities).</w:t>
      </w:r>
    </w:p>
    <w:p>
      <w:pPr>
        <w:pStyle w:val="ListParagraph"/>
        <w:numPr>
          <w:ilvl w:val="0"/>
          <w:numId w:val="2"/>
        </w:numPr>
        <w:spacing w:after="80"/>
      </w:pPr>
      <w:r>
        <w:t xml:space="preserve">Spreads — brokers may profit from the bid-ask spread, especially in forex/CFDs.</w:t>
      </w:r>
    </w:p>
    <w:p>
      <w:pPr>
        <w:pStyle w:val="ListParagraph"/>
        <w:numPr>
          <w:ilvl w:val="0"/>
          <w:numId w:val="2"/>
        </w:numPr>
        <w:spacing w:after="80"/>
      </w:pPr>
      <w:r>
        <w:t xml:space="preserve">Payment for order flow (PFOF) — market makers pay brokers for the right to execute retail orders.</w:t>
      </w:r>
    </w:p>
    <w:p>
      <w:pPr>
        <w:pStyle w:val="ListParagraph"/>
        <w:numPr>
          <w:ilvl w:val="0"/>
          <w:numId w:val="2"/>
        </w:numPr>
        <w:spacing w:after="80"/>
      </w:pPr>
      <w:r>
        <w:t xml:space="preserve">Margin interest — interest charged on borrowed funds for leveraged trading.</w:t>
      </w:r>
    </w:p>
    <w:p>
      <w:pPr>
        <w:pStyle w:val="ListParagraph"/>
        <w:numPr>
          <w:ilvl w:val="0"/>
          <w:numId w:val="2"/>
        </w:numPr>
        <w:spacing w:after="80"/>
      </w:pPr>
      <w:r>
        <w:t xml:space="preserve">Subscription tiers — premium data, advanced order types, or lower margin rates.</w:t>
      </w:r>
    </w:p>
    <w:p>
      <w:pPr>
        <w:pStyle w:val="ListParagraph"/>
        <w:numPr>
          <w:ilvl w:val="0"/>
          <w:numId w:val="2"/>
        </w:numPr>
        <w:spacing w:after="80"/>
      </w:pPr>
      <w:r>
        <w:t xml:space="preserve">Interest on uninvested cash — brokers often earn interest on client cash balances.</w:t>
      </w:r>
    </w:p>
    <w:p>
      <w:pPr>
        <w:pStyle w:val="Heading1"/>
        <w:spacing w:after="150" w:before="300"/>
      </w:pPr>
      <w:r>
        <w:t xml:space="preserve">5. Types of Trading Apps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tblHeader/>
        </w:trPr>
        <w:tc>
          <w:tcPr>
            <w:tcW w:type="dxa" w:w="3200"/>
            <w:shd w:fill="2F5496" w:color="auto" w:val="clear"/>
            <w:tcMar>
              <w:top w:type="dxa" w:w="80"/>
              <w:left w:type="dxa" w:w="100"/>
              <w:bottom w:type="dxa" w:w="80"/>
              <w:right w:type="dxa" w:w="100"/>
            </w:tcMar>
          </w:tcPr>
          <w:p>
            <w:r>
              <w:rPr>
                <w:b/>
                <w:bCs/>
                <w:color w:val="FFFFFF"/>
              </w:rPr>
              <w:t xml:space="preserve">Category</w:t>
            </w:r>
          </w:p>
        </w:tc>
        <w:tc>
          <w:tcPr>
            <w:tcW w:type="dxa" w:w="6300"/>
            <w:shd w:fill="2F5496" w:color="auto" w:val="clear"/>
            <w:tcMar>
              <w:top w:type="dxa" w:w="80"/>
              <w:left w:type="dxa" w:w="100"/>
              <w:bottom w:type="dxa" w:w="80"/>
              <w:right w:type="dxa" w:w="100"/>
            </w:tcMar>
          </w:tcPr>
          <w:p>
            <w:r>
              <w:rPr>
                <w:b/>
                <w:bCs/>
                <w:color w:val="FFFFFF"/>
              </w:rPr>
              <w:t xml:space="preserve">Example Use Case</w:t>
            </w:r>
          </w:p>
        </w:tc>
      </w:tr>
      <w:tr>
        <w:tc>
          <w:tcPr>
            <w:tcW w:type="dxa" w:w="3200"/>
            <w:tcMar>
              <w:top w:type="dxa" w:w="80"/>
              <w:left w:type="dxa" w:w="100"/>
              <w:bottom w:type="dxa" w:w="80"/>
              <w:right w:type="dxa" w:w="100"/>
            </w:tcMar>
          </w:tcPr>
          <w:p>
            <w:r>
              <w:t xml:space="preserve">Full-service brokerage apps</w:t>
            </w:r>
          </w:p>
        </w:tc>
        <w:tc>
          <w:tcPr>
            <w:tcW w:type="dxa" w:w="6300"/>
            <w:tcMar>
              <w:top w:type="dxa" w:w="80"/>
              <w:left w:type="dxa" w:w="100"/>
              <w:bottom w:type="dxa" w:w="80"/>
              <w:right w:type="dxa" w:w="100"/>
            </w:tcMar>
          </w:tcPr>
          <w:p>
            <w:r>
              <w:t xml:space="preserve">Stocks, ETFs, options, bonds — Fidelity, Schwab, Interactive Brokers.</w:t>
            </w:r>
          </w:p>
        </w:tc>
      </w:tr>
      <w:tr>
        <w:tc>
          <w:tcPr>
            <w:tcW w:type="dxa" w:w="3200"/>
            <w:tcMar>
              <w:top w:type="dxa" w:w="80"/>
              <w:left w:type="dxa" w:w="100"/>
              <w:bottom w:type="dxa" w:w="80"/>
              <w:right w:type="dxa" w:w="100"/>
            </w:tcMar>
          </w:tcPr>
          <w:p>
            <w:r>
              <w:t xml:space="preserve">Retail-simplified apps</w:t>
            </w:r>
          </w:p>
        </w:tc>
        <w:tc>
          <w:tcPr>
            <w:tcW w:type="dxa" w:w="6300"/>
            <w:tcMar>
              <w:top w:type="dxa" w:w="80"/>
              <w:left w:type="dxa" w:w="100"/>
              <w:bottom w:type="dxa" w:w="80"/>
              <w:right w:type="dxa" w:w="100"/>
            </w:tcMar>
          </w:tcPr>
          <w:p>
            <w:r>
              <w:t xml:space="preserve">Commission-free, mobile-first trading — Robinhood, eToro, Trading 212.</w:t>
            </w:r>
          </w:p>
        </w:tc>
      </w:tr>
      <w:tr>
        <w:tc>
          <w:tcPr>
            <w:tcW w:type="dxa" w:w="3200"/>
            <w:tcMar>
              <w:top w:type="dxa" w:w="80"/>
              <w:left w:type="dxa" w:w="100"/>
              <w:bottom w:type="dxa" w:w="80"/>
              <w:right w:type="dxa" w:w="100"/>
            </w:tcMar>
          </w:tcPr>
          <w:p>
            <w:r>
              <w:t xml:space="preserve">Forex/CFD platforms</w:t>
            </w:r>
          </w:p>
        </w:tc>
        <w:tc>
          <w:tcPr>
            <w:tcW w:type="dxa" w:w="6300"/>
            <w:tcMar>
              <w:top w:type="dxa" w:w="80"/>
              <w:left w:type="dxa" w:w="100"/>
              <w:bottom w:type="dxa" w:w="80"/>
              <w:right w:type="dxa" w:w="100"/>
            </w:tcMar>
          </w:tcPr>
          <w:p>
            <w:r>
              <w:t xml:space="preserve">Currency and derivative trading with leverage — MetaTrader 4/5, cTrader.</w:t>
            </w:r>
          </w:p>
        </w:tc>
      </w:tr>
      <w:tr>
        <w:tc>
          <w:tcPr>
            <w:tcW w:type="dxa" w:w="3200"/>
            <w:tcMar>
              <w:top w:type="dxa" w:w="80"/>
              <w:left w:type="dxa" w:w="100"/>
              <w:bottom w:type="dxa" w:w="80"/>
              <w:right w:type="dxa" w:w="100"/>
            </w:tcMar>
          </w:tcPr>
          <w:p>
            <w:r>
              <w:t xml:space="preserve">Crypto exchanges</w:t>
            </w:r>
          </w:p>
        </w:tc>
        <w:tc>
          <w:tcPr>
            <w:tcW w:type="dxa" w:w="6300"/>
            <w:tcMar>
              <w:top w:type="dxa" w:w="80"/>
              <w:left w:type="dxa" w:w="100"/>
              <w:bottom w:type="dxa" w:w="80"/>
              <w:right w:type="dxa" w:w="100"/>
            </w:tcMar>
          </w:tcPr>
          <w:p>
            <w:r>
              <w:t xml:space="preserve">Spot and derivatives trading in digital assets — Binance, Coinbase, Kraken.</w:t>
            </w:r>
          </w:p>
        </w:tc>
      </w:tr>
      <w:tr>
        <w:tc>
          <w:tcPr>
            <w:tcW w:type="dxa" w:w="3200"/>
            <w:tcMar>
              <w:top w:type="dxa" w:w="80"/>
              <w:left w:type="dxa" w:w="100"/>
              <w:bottom w:type="dxa" w:w="80"/>
              <w:right w:type="dxa" w:w="100"/>
            </w:tcMar>
          </w:tcPr>
          <w:p>
            <w:r>
              <w:t xml:space="preserve">Algorithmic/quant platforms</w:t>
            </w:r>
          </w:p>
        </w:tc>
        <w:tc>
          <w:tcPr>
            <w:tcW w:type="dxa" w:w="6300"/>
            <w:tcMar>
              <w:top w:type="dxa" w:w="80"/>
              <w:left w:type="dxa" w:w="100"/>
              <w:bottom w:type="dxa" w:w="80"/>
              <w:right w:type="dxa" w:w="100"/>
            </w:tcMar>
          </w:tcPr>
          <w:p>
            <w:r>
              <w:t xml:space="preserve">API-driven automated trading — Alpaca, QuantConnect, Interactive Brokers API.</w:t>
            </w:r>
          </w:p>
        </w:tc>
      </w:tr>
      <w:tr>
        <w:tc>
          <w:tcPr>
            <w:tcW w:type="dxa" w:w="3200"/>
            <w:tcMar>
              <w:top w:type="dxa" w:w="80"/>
              <w:left w:type="dxa" w:w="100"/>
              <w:bottom w:type="dxa" w:w="80"/>
              <w:right w:type="dxa" w:w="100"/>
            </w:tcMar>
          </w:tcPr>
          <w:p>
            <w:r>
              <w:t xml:space="preserve">Robo-advisors</w:t>
            </w:r>
          </w:p>
        </w:tc>
        <w:tc>
          <w:tcPr>
            <w:tcW w:type="dxa" w:w="6300"/>
            <w:tcMar>
              <w:top w:type="dxa" w:w="80"/>
              <w:left w:type="dxa" w:w="100"/>
              <w:bottom w:type="dxa" w:w="80"/>
              <w:right w:type="dxa" w:w="100"/>
            </w:tcMar>
          </w:tcPr>
          <w:p>
            <w:r>
              <w:t xml:space="preserve">Automated portfolio management with minimal user input — Betterment, Wealthfront.</w:t>
            </w:r>
          </w:p>
        </w:tc>
      </w:tr>
    </w:tbl>
    <w:p>
      <w:pPr>
        <w:spacing w:after="200"/>
      </w:pPr>
    </w:p>
    <w:p>
      <w:pPr>
        <w:pStyle w:val="Heading1"/>
        <w:spacing w:after="150" w:before="300"/>
      </w:pPr>
      <w:r>
        <w:t xml:space="preserve">6. Key Risks and Realities</w:t>
      </w:r>
    </w:p>
    <w:p>
      <w:pPr>
        <w:pStyle w:val="ListParagraph"/>
        <w:numPr>
          <w:ilvl w:val="0"/>
          <w:numId w:val="2"/>
        </w:numPr>
        <w:spacing w:after="80"/>
      </w:pPr>
      <w:r>
        <w:t xml:space="preserve">Market risk — prices can move against a position at any time; losses can exceed deposits when using leverage or margin.</w:t>
      </w:r>
    </w:p>
    <w:p>
      <w:pPr>
        <w:pStyle w:val="ListParagraph"/>
        <w:numPr>
          <w:ilvl w:val="0"/>
          <w:numId w:val="2"/>
        </w:numPr>
        <w:spacing w:after="80"/>
      </w:pPr>
      <w:r>
        <w:t xml:space="preserve">Execution risk — slippage between the expected and actual fill price, especially in fast-moving or illiquid markets.</w:t>
      </w:r>
    </w:p>
    <w:p>
      <w:pPr>
        <w:pStyle w:val="ListParagraph"/>
        <w:numPr>
          <w:ilvl w:val="0"/>
          <w:numId w:val="2"/>
        </w:numPr>
        <w:spacing w:after="80"/>
      </w:pPr>
      <w:r>
        <w:t xml:space="preserve">Platform risk — outages, bugs, or connectivity failures during volatile periods.</w:t>
      </w:r>
    </w:p>
    <w:p>
      <w:pPr>
        <w:pStyle w:val="ListParagraph"/>
        <w:numPr>
          <w:ilvl w:val="0"/>
          <w:numId w:val="2"/>
        </w:numPr>
        <w:spacing w:after="80"/>
      </w:pPr>
      <w:r>
        <w:t xml:space="preserve">Regulatory risk — rules differ by country and can change (e.g., leverage caps, pattern-day-trading restrictions).</w:t>
      </w:r>
    </w:p>
    <w:p>
      <w:pPr>
        <w:pStyle w:val="ListParagraph"/>
        <w:numPr>
          <w:ilvl w:val="0"/>
          <w:numId w:val="2"/>
        </w:numPr>
        <w:spacing w:after="80"/>
      </w:pPr>
      <w:r>
        <w:t xml:space="preserve">Behavioral risk — emotional decision-making is one of the most common causes of trading losses, independent of platform quality.</w:t>
      </w:r>
    </w:p>
    <w:p>
      <w:pPr>
        <w:pStyle w:val="Heading1"/>
        <w:spacing w:after="150" w:before="300"/>
      </w:pPr>
      <w:r>
        <w:t xml:space="preserve">7. Coin Recommendation &amp; Forecast Agents</w:t>
      </w:r>
    </w:p>
    <w:p>
      <w:pPr>
        <w:spacing w:after="160"/>
      </w:pPr>
      <w:r>
        <w:t xml:space="preserve">Some platforms layer an automated "recommendation agent" on top of the core trading stack described above: a system that watches a set of coins, scores them on scraped and historical data, and surfaces a ranked buy list with a suggested holding window. This is a real product category (often marketed as "AI signals" or "smart picks"), but it sits closer to investment advice than plain execution — the design and the caveats below matter as much as the architecture.</w:t>
      </w:r>
    </w:p>
    <w:p>
      <w:pPr>
        <w:pStyle w:val="Heading2"/>
        <w:spacing w:after="150" w:before="300"/>
      </w:pPr>
      <w:r>
        <w:t xml:space="preserve">7.1 What the Agent Ingests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300"/>
        <w:gridCol w:w="6200"/>
      </w:tblGrid>
      <w:tr>
        <w:trPr>
          <w:tblHeader/>
        </w:trPr>
        <w:tc>
          <w:tcPr>
            <w:tcW w:type="dxa" w:w="3300"/>
            <w:shd w:fill="2F5496" w:color="auto" w:val="clear"/>
            <w:tcMar>
              <w:top w:type="dxa" w:w="80"/>
              <w:left w:type="dxa" w:w="100"/>
              <w:bottom w:type="dxa" w:w="80"/>
              <w:right w:type="dxa" w:w="100"/>
            </w:tcMar>
          </w:tcPr>
          <w:p>
            <w:r>
              <w:rPr>
                <w:b/>
                <w:bCs/>
                <w:color w:val="FFFFFF"/>
              </w:rPr>
              <w:t xml:space="preserve">Source</w:t>
            </w:r>
          </w:p>
        </w:tc>
        <w:tc>
          <w:tcPr>
            <w:tcW w:type="dxa" w:w="6200"/>
            <w:shd w:fill="2F5496" w:color="auto" w:val="clear"/>
            <w:tcMar>
              <w:top w:type="dxa" w:w="80"/>
              <w:left w:type="dxa" w:w="100"/>
              <w:bottom w:type="dxa" w:w="80"/>
              <w:right w:type="dxa" w:w="100"/>
            </w:tcMar>
          </w:tcPr>
          <w:p>
            <w:r>
              <w:rPr>
                <w:b/>
                <w:bCs/>
                <w:color w:val="FFFFFF"/>
              </w:rPr>
              <w:t xml:space="preserve">What It's Used For</w:t>
            </w:r>
          </w:p>
        </w:tc>
      </w:tr>
      <w:tr>
        <w:tc>
          <w:tcPr>
            <w:tcW w:type="dxa" w:w="3300"/>
            <w:tcMar>
              <w:top w:type="dxa" w:w="80"/>
              <w:left w:type="dxa" w:w="100"/>
              <w:bottom w:type="dxa" w:w="80"/>
              <w:right w:type="dxa" w:w="100"/>
            </w:tcMar>
          </w:tcPr>
          <w:p>
            <w:r>
              <w:t xml:space="preserve">Historical price/volume</w:t>
            </w:r>
          </w:p>
        </w:tc>
        <w:tc>
          <w:tcPr>
            <w:tcW w:type="dxa" w:w="6200"/>
            <w:tcMar>
              <w:top w:type="dxa" w:w="80"/>
              <w:left w:type="dxa" w:w="100"/>
              <w:bottom w:type="dxa" w:w="80"/>
              <w:right w:type="dxa" w:w="100"/>
            </w:tcMar>
          </w:tcPr>
          <w:p>
            <w:r>
              <w:t xml:space="preserve">Baseline for technical indicators and volatility profiling.</w:t>
            </w:r>
          </w:p>
        </w:tc>
      </w:tr>
      <w:tr>
        <w:tc>
          <w:tcPr>
            <w:tcW w:type="dxa" w:w="3300"/>
            <w:tcMar>
              <w:top w:type="dxa" w:w="80"/>
              <w:left w:type="dxa" w:w="100"/>
              <w:bottom w:type="dxa" w:w="80"/>
              <w:right w:type="dxa" w:w="100"/>
            </w:tcMar>
          </w:tcPr>
          <w:p>
            <w:r>
              <w:t xml:space="preserve">On-chain data</w:t>
            </w:r>
          </w:p>
        </w:tc>
        <w:tc>
          <w:tcPr>
            <w:tcW w:type="dxa" w:w="6200"/>
            <w:tcMar>
              <w:top w:type="dxa" w:w="80"/>
              <w:left w:type="dxa" w:w="100"/>
              <w:bottom w:type="dxa" w:w="80"/>
              <w:right w:type="dxa" w:w="100"/>
            </w:tcMar>
          </w:tcPr>
          <w:p>
            <w:r>
              <w:t xml:space="preserve">Wallet flows, exchange inflows/outflows, whale activity, active addresses.</w:t>
            </w:r>
          </w:p>
        </w:tc>
      </w:tr>
      <w:tr>
        <w:tc>
          <w:tcPr>
            <w:tcW w:type="dxa" w:w="3300"/>
            <w:tcMar>
              <w:top w:type="dxa" w:w="80"/>
              <w:left w:type="dxa" w:w="100"/>
              <w:bottom w:type="dxa" w:w="80"/>
              <w:right w:type="dxa" w:w="100"/>
            </w:tcMar>
          </w:tcPr>
          <w:p>
            <w:r>
              <w:t xml:space="preserve">Web-scraped news</w:t>
            </w:r>
          </w:p>
        </w:tc>
        <w:tc>
          <w:tcPr>
            <w:tcW w:type="dxa" w:w="6200"/>
            <w:tcMar>
              <w:top w:type="dxa" w:w="80"/>
              <w:left w:type="dxa" w:w="100"/>
              <w:bottom w:type="dxa" w:w="80"/>
              <w:right w:type="dxa" w:w="100"/>
            </w:tcMar>
          </w:tcPr>
          <w:p>
            <w:r>
              <w:t xml:space="preserve">Headline sentiment, project announcements, regulatory mentions.</w:t>
            </w:r>
          </w:p>
        </w:tc>
      </w:tr>
      <w:tr>
        <w:tc>
          <w:tcPr>
            <w:tcW w:type="dxa" w:w="3300"/>
            <w:tcMar>
              <w:top w:type="dxa" w:w="80"/>
              <w:left w:type="dxa" w:w="100"/>
              <w:bottom w:type="dxa" w:w="80"/>
              <w:right w:type="dxa" w:w="100"/>
            </w:tcMar>
          </w:tcPr>
          <w:p>
            <w:r>
              <w:t xml:space="preserve">Social sentiment</w:t>
            </w:r>
          </w:p>
        </w:tc>
        <w:tc>
          <w:tcPr>
            <w:tcW w:type="dxa" w:w="6200"/>
            <w:tcMar>
              <w:top w:type="dxa" w:w="80"/>
              <w:left w:type="dxa" w:w="100"/>
              <w:bottom w:type="dxa" w:w="80"/>
              <w:right w:type="dxa" w:w="100"/>
            </w:tcMar>
          </w:tcPr>
          <w:p>
            <w:r>
              <w:t xml:space="preserve">Scraped/streamed mentions and sentiment scores from social platforms and forums.</w:t>
            </w:r>
          </w:p>
        </w:tc>
      </w:tr>
      <w:tr>
        <w:tc>
          <w:tcPr>
            <w:tcW w:type="dxa" w:w="3300"/>
            <w:tcMar>
              <w:top w:type="dxa" w:w="80"/>
              <w:left w:type="dxa" w:w="100"/>
              <w:bottom w:type="dxa" w:w="80"/>
              <w:right w:type="dxa" w:w="100"/>
            </w:tcMar>
          </w:tcPr>
          <w:p>
            <w:r>
              <w:t xml:space="preserve">Order book / liquidity data</w:t>
            </w:r>
          </w:p>
        </w:tc>
        <w:tc>
          <w:tcPr>
            <w:tcW w:type="dxa" w:w="6200"/>
            <w:tcMar>
              <w:top w:type="dxa" w:w="80"/>
              <w:left w:type="dxa" w:w="100"/>
              <w:bottom w:type="dxa" w:w="80"/>
              <w:right w:type="dxa" w:w="100"/>
            </w:tcMar>
          </w:tcPr>
          <w:p>
            <w:r>
              <w:t xml:space="preserve">Spread, depth, and slippage risk for the coin.</w:t>
            </w:r>
          </w:p>
        </w:tc>
      </w:tr>
      <w:tr>
        <w:tc>
          <w:tcPr>
            <w:tcW w:type="dxa" w:w="3300"/>
            <w:tcMar>
              <w:top w:type="dxa" w:w="80"/>
              <w:left w:type="dxa" w:w="100"/>
              <w:bottom w:type="dxa" w:w="80"/>
              <w:right w:type="dxa" w:w="100"/>
            </w:tcMar>
          </w:tcPr>
          <w:p>
            <w:r>
              <w:t xml:space="preserve">Macro/correlated assets</w:t>
            </w:r>
          </w:p>
        </w:tc>
        <w:tc>
          <w:tcPr>
            <w:tcW w:type="dxa" w:w="6200"/>
            <w:tcMar>
              <w:top w:type="dxa" w:w="80"/>
              <w:left w:type="dxa" w:w="100"/>
              <w:bottom w:type="dxa" w:w="80"/>
              <w:right w:type="dxa" w:w="100"/>
            </w:tcMar>
          </w:tcPr>
          <w:p>
            <w:r>
              <w:t xml:space="preserve">Bitcoin dominance, broader market risk sentiment (e.g., equities, DXY).</w:t>
            </w:r>
          </w:p>
        </w:tc>
      </w:tr>
    </w:tbl>
    <w:p>
      <w:pPr>
        <w:spacing w:after="200"/>
      </w:pPr>
    </w:p>
    <w:p>
      <w:pPr>
        <w:spacing w:after="160"/>
      </w:pPr>
      <w:r>
        <w:t xml:space="preserve">Web-scraped inputs are the least reliable of these: sentiment scrapers pick up spam, bot activity, and coordinated pump campaigns. Any agent that leans on scraped social data needs bot-filtering and source-credibility weighting, or it will amplify manipulation rather than detect it.</w:t>
      </w:r>
    </w:p>
    <w:p>
      <w:pPr>
        <w:pStyle w:val="Heading2"/>
        <w:spacing w:after="150" w:before="300"/>
      </w:pPr>
      <w:r>
        <w:t xml:space="preserve">7.2 Pipeline: From Raw Data to a Recommendation</w:t>
      </w:r>
    </w:p>
    <w:p>
      <w:pPr>
        <w:pStyle w:val="ListParagraph"/>
        <w:numPr>
          <w:ilvl w:val="0"/>
          <w:numId w:val="5"/>
        </w:numPr>
        <w:spacing w:after="80"/>
      </w:pPr>
      <w:r>
        <w:t xml:space="preserve">Ingestion — scheduled scrapers and API feeds pull price, on-chain, news, and social data on a rolling window (e.g., last 30–90 days).</w:t>
      </w:r>
    </w:p>
    <w:p>
      <w:pPr>
        <w:pStyle w:val="ListParagraph"/>
        <w:numPr>
          <w:ilvl w:val="0"/>
          <w:numId w:val="5"/>
        </w:numPr>
        <w:spacing w:after="80"/>
      </w:pPr>
      <w:r>
        <w:t xml:space="preserve">Feature engineering — raw data is converted into signals: momentum, volatility regime, sentiment delta, volume anomalies, correlation to BTC/ETH.</w:t>
      </w:r>
    </w:p>
    <w:p>
      <w:pPr>
        <w:pStyle w:val="ListParagraph"/>
        <w:numPr>
          <w:ilvl w:val="0"/>
          <w:numId w:val="5"/>
        </w:numPr>
        <w:spacing w:after="80"/>
      </w:pPr>
      <w:r>
        <w:t xml:space="preserve">Behavior modeling — the coin's current feature set is compared against its own historical patterns and against similar past setups in other coins, to estimate how it has tended to behave in comparable conditions.</w:t>
      </w:r>
    </w:p>
    <w:p>
      <w:pPr>
        <w:pStyle w:val="ListParagraph"/>
        <w:numPr>
          <w:ilvl w:val="0"/>
          <w:numId w:val="5"/>
        </w:numPr>
        <w:spacing w:after="80"/>
      </w:pPr>
      <w:r>
        <w:t xml:space="preserve">Forecast generation — a model (statistical or ML) projects a probable price range going forward, expressed as a distribution or confidence band, not a single line.</w:t>
      </w:r>
    </w:p>
    <w:p>
      <w:pPr>
        <w:pStyle w:val="ListParagraph"/>
        <w:numPr>
          <w:ilvl w:val="0"/>
          <w:numId w:val="5"/>
        </w:numPr>
        <w:spacing w:after="80"/>
      </w:pPr>
      <w:r>
        <w:t xml:space="preserve">Scoring and ranking — coins are scored on expected-return-vs-risk, liquidity, and confidence; a ranked shortlist is produced.</w:t>
      </w:r>
    </w:p>
    <w:p>
      <w:pPr>
        <w:pStyle w:val="ListParagraph"/>
        <w:numPr>
          <w:ilvl w:val="0"/>
          <w:numId w:val="5"/>
        </w:numPr>
        <w:spacing w:after="80"/>
      </w:pPr>
      <w:r>
        <w:t xml:space="preserve">Recommendation packaging — for each shortlisted coin: entry zone, suggested holding window, target exit zone/time, invalidation level (where the thesis is wrong), and a confidence score.</w:t>
      </w:r>
    </w:p>
    <w:p>
      <w:pPr>
        <w:pStyle w:val="ListParagraph"/>
        <w:numPr>
          <w:ilvl w:val="0"/>
          <w:numId w:val="5"/>
        </w:numPr>
        <w:spacing w:after="80"/>
      </w:pPr>
      <w:r>
        <w:t xml:space="preserve">Delivery — the app surfaces this list to the user and, if enabled, sets alerts for the suggested entry/exit rather than auto-executing.</w:t>
      </w:r>
    </w:p>
    <w:p>
      <w:pPr>
        <w:pStyle w:val="Heading2"/>
        <w:spacing w:after="150" w:before="300"/>
      </w:pPr>
      <w:r>
        <w:t xml:space="preserve">7.3 Displaying "Future" Charts Honestly</w:t>
      </w:r>
    </w:p>
    <w:p>
      <w:pPr>
        <w:spacing w:after="160"/>
      </w:pPr>
      <w:r>
        <w:t xml:space="preserve">A projected chart is a forecast, not a record of what will happen, and it should never be rendered the way a historical price chart is. Practical design rules used by legitimate platforms:</w:t>
      </w:r>
    </w:p>
    <w:p>
      <w:pPr>
        <w:pStyle w:val="ListParagraph"/>
        <w:numPr>
          <w:ilvl w:val="0"/>
          <w:numId w:val="2"/>
        </w:numPr>
        <w:spacing w:after="80"/>
      </w:pPr>
      <w:r>
        <w:t xml:space="preserve">Plot the historical price as a solid line and the projection as a dashed line or shaded cone, clearly separated at the current date.</w:t>
      </w:r>
    </w:p>
    <w:p>
      <w:pPr>
        <w:pStyle w:val="ListParagraph"/>
        <w:numPr>
          <w:ilvl w:val="0"/>
          <w:numId w:val="2"/>
        </w:numPr>
        <w:spacing w:after="80"/>
      </w:pPr>
      <w:r>
        <w:t xml:space="preserve">Show a range (e.g., a confidence band), not a single guessed path — single-line forecasts read as guarantees even when labeled otherwise.</w:t>
      </w:r>
    </w:p>
    <w:p>
      <w:pPr>
        <w:pStyle w:val="ListParagraph"/>
        <w:numPr>
          <w:ilvl w:val="0"/>
          <w:numId w:val="2"/>
        </w:numPr>
        <w:spacing w:after="80"/>
      </w:pPr>
      <w:r>
        <w:t xml:space="preserve">Attach the model's historical accuracy for that coin/timeframe next to the chart, so users can see how often similar forecasts have been right.</w:t>
      </w:r>
    </w:p>
    <w:p>
      <w:pPr>
        <w:pStyle w:val="ListParagraph"/>
        <w:numPr>
          <w:ilvl w:val="0"/>
          <w:numId w:val="2"/>
        </w:numPr>
        <w:spacing w:after="80"/>
      </w:pPr>
      <w:r>
        <w:t xml:space="preserve">Recompute and reissue the forecast on a schedule (e.g., daily) rather than presenting one static prediction as fixed.</w:t>
      </w:r>
    </w:p>
    <w:p>
      <w:pPr>
        <w:pStyle w:val="ListParagraph"/>
        <w:numPr>
          <w:ilvl w:val="0"/>
          <w:numId w:val="2"/>
        </w:numPr>
        <w:spacing w:after="80"/>
      </w:pPr>
      <w:r>
        <w:t xml:space="preserve">Label the holding window and exit target as "suggested" and let the user override or dismiss it — the design should support a decision, not replace one.</w:t>
      </w:r>
    </w:p>
    <w:p>
      <w:pPr>
        <w:pStyle w:val="Heading2"/>
        <w:spacing w:after="150" w:before="300"/>
      </w:pPr>
      <w:r>
        <w:t xml:space="preserve">7.4 Position-Timing Logic (Buy Now, Sell by X)</w:t>
      </w:r>
    </w:p>
    <w:p>
      <w:pPr>
        <w:spacing w:after="160"/>
      </w:pPr>
      <w:r>
        <w:t xml:space="preserve">The "buy and sell before a deadline" behavior is usually implemented as a time-boxed thesis rather than a hard rule:</w:t>
      </w:r>
    </w:p>
    <w:p>
      <w:pPr>
        <w:pStyle w:val="ListParagraph"/>
        <w:numPr>
          <w:ilvl w:val="0"/>
          <w:numId w:val="2"/>
        </w:numPr>
        <w:spacing w:after="80"/>
      </w:pPr>
      <w:r>
        <w:t xml:space="preserve">Entry trigger — price, volume, or sentiment condition that activates the recommendation.</w:t>
      </w:r>
    </w:p>
    <w:p>
      <w:pPr>
        <w:pStyle w:val="ListParagraph"/>
        <w:numPr>
          <w:ilvl w:val="0"/>
          <w:numId w:val="2"/>
        </w:numPr>
        <w:spacing w:after="80"/>
      </w:pPr>
      <w:r>
        <w:t xml:space="preserve">Target window — the horizon over which the thesis is expected to play out (e.g., 3–14 days for a momentum setup).</w:t>
      </w:r>
    </w:p>
    <w:p>
      <w:pPr>
        <w:pStyle w:val="ListParagraph"/>
        <w:numPr>
          <w:ilvl w:val="0"/>
          <w:numId w:val="2"/>
        </w:numPr>
        <w:spacing w:after="80"/>
      </w:pPr>
      <w:r>
        <w:t xml:space="preserve">Exit conditions — whichever comes first: target price hit, window expires, or an invalidation signal fires (e.g., sentiment reverses, support breaks).</w:t>
      </w:r>
    </w:p>
    <w:p>
      <w:pPr>
        <w:pStyle w:val="ListParagraph"/>
        <w:numPr>
          <w:ilvl w:val="0"/>
          <w:numId w:val="2"/>
        </w:numPr>
        <w:spacing w:after="80"/>
      </w:pPr>
      <w:r>
        <w:t xml:space="preserve">Re-evaluation — if none of the above trigger, the agent re-scores the position rather than holding indefinitely on a stale forecast.</w:t>
      </w:r>
    </w:p>
    <w:p>
      <w:pPr>
        <w:spacing w:after="160"/>
      </w:pPr>
      <w:r>
        <w:t xml:space="preserve">Whether the app auto-sells at the deadline or just notifies the user is a product decision with real consequences — auto-selling removes user control and can force a loss to satisfy a time box that the market didn't respect.</w:t>
      </w:r>
    </w:p>
    <w:p>
      <w:pPr>
        <w:pStyle w:val="Heading2"/>
        <w:spacing w:after="150" w:before="300"/>
      </w:pPr>
      <w:r>
        <w:t xml:space="preserve">7.5 Regulatory and Ethical Constraints</w:t>
      </w:r>
    </w:p>
    <w:p>
      <w:pPr>
        <w:spacing w:after="160"/>
      </w:pPr>
      <w:r>
        <w:t xml:space="preserve">This is the part most "AI signal" apps underweight. Producing coin-specific buy/sell recommendations for other people — even generated by a model — can legally qualify as investment advice in many jurisdictions, which brings real obligations:</w:t>
      </w:r>
    </w:p>
    <w:p>
      <w:pPr>
        <w:pStyle w:val="ListParagraph"/>
        <w:numPr>
          <w:ilvl w:val="0"/>
          <w:numId w:val="2"/>
        </w:numPr>
        <w:spacing w:after="80"/>
      </w:pPr>
      <w:r>
        <w:t xml:space="preserve">Licensing — giving personalized buy/sell recommendations often requires registration as an investment adviser or equivalent local license; general market commentary usually does not.</w:t>
      </w:r>
    </w:p>
    <w:p>
      <w:pPr>
        <w:pStyle w:val="ListParagraph"/>
        <w:numPr>
          <w:ilvl w:val="0"/>
          <w:numId w:val="2"/>
        </w:numPr>
        <w:spacing w:after="80"/>
      </w:pPr>
      <w:r>
        <w:t xml:space="preserve">Disclosures — performance claims need honest, dated backtests; "past behavior" language should never imply future results are likely to match.</w:t>
      </w:r>
    </w:p>
    <w:p>
      <w:pPr>
        <w:pStyle w:val="ListParagraph"/>
        <w:numPr>
          <w:ilvl w:val="0"/>
          <w:numId w:val="2"/>
        </w:numPr>
        <w:spacing w:after="80"/>
      </w:pPr>
      <w:r>
        <w:t xml:space="preserve">Conflict of interest — if the platform earns fees, spreads, or PFOF from the trades it recommends, that conflict must be disclosed.</w:t>
      </w:r>
    </w:p>
    <w:p>
      <w:pPr>
        <w:pStyle w:val="ListParagraph"/>
        <w:numPr>
          <w:ilvl w:val="0"/>
          <w:numId w:val="2"/>
        </w:numPr>
        <w:spacing w:after="80"/>
      </w:pPr>
      <w:r>
        <w:t xml:space="preserve">Suitability — crypto's volatility means a recommendation appropriate for one user's risk tolerance may be harmful for another; blanket recommendations sidestep this.</w:t>
      </w:r>
    </w:p>
    <w:p>
      <w:pPr>
        <w:pStyle w:val="ListParagraph"/>
        <w:numPr>
          <w:ilvl w:val="0"/>
          <w:numId w:val="2"/>
        </w:numPr>
        <w:spacing w:after="80"/>
      </w:pPr>
      <w:r>
        <w:t xml:space="preserve">Manipulation risk — a widely-followed recommendation feed can itself move a thinly-traded coin's price, and could be exploited by bad actors seeding sentiment ahead of a predictable "buy" signal.</w:t>
      </w:r>
    </w:p>
    <w:p>
      <w:pPr>
        <w:spacing w:after="160"/>
      </w:pPr>
      <w:r>
        <w:t xml:space="preserve">Because of this, most production apps in this space frame output as "signals" or "research," require the user to place the trade themselves, and carry explicit non-advice disclaimers — rather than fully automating buy/sell decisions on a user's behalf.</w:t>
      </w:r>
    </w:p>
    <w:p>
      <w:pPr>
        <w:pStyle w:val="Heading2"/>
        <w:spacing w:after="150" w:before="300"/>
      </w:pPr>
      <w:r>
        <w:t xml:space="preserve">7.6 Honest Limits of the Approach</w:t>
      </w:r>
    </w:p>
    <w:p>
      <w:pPr>
        <w:pStyle w:val="ListParagraph"/>
        <w:numPr>
          <w:ilvl w:val="0"/>
          <w:numId w:val="2"/>
        </w:numPr>
        <w:spacing w:after="80"/>
      </w:pPr>
      <w:r>
        <w:t xml:space="preserve">Crypto prices are driven heavily by liquidity, narrative, and sentiment shifts that have limited relationship to a coin's own price history.</w:t>
      </w:r>
    </w:p>
    <w:p>
      <w:pPr>
        <w:pStyle w:val="ListParagraph"/>
        <w:numPr>
          <w:ilvl w:val="0"/>
          <w:numId w:val="2"/>
        </w:numPr>
        <w:spacing w:after="80"/>
      </w:pPr>
      <w:r>
        <w:t xml:space="preserve">Backtested accuracy on past data reliably overstates real-world performance (overfitting, survivorship bias in which coins get analyzed).</w:t>
      </w:r>
    </w:p>
    <w:p>
      <w:pPr>
        <w:pStyle w:val="ListParagraph"/>
        <w:numPr>
          <w:ilvl w:val="0"/>
          <w:numId w:val="2"/>
        </w:numPr>
        <w:spacing w:after="80"/>
      </w:pPr>
      <w:r>
        <w:t xml:space="preserve">Scraped sentiment data is noisy and gameable; a model trained on it can learn to chase manipulated pumps.</w:t>
      </w:r>
    </w:p>
    <w:p>
      <w:pPr>
        <w:pStyle w:val="ListParagraph"/>
        <w:numPr>
          <w:ilvl w:val="0"/>
          <w:numId w:val="2"/>
        </w:numPr>
        <w:spacing w:after="80"/>
      </w:pPr>
      <w:r>
        <w:t xml:space="preserve">No model resolves the core problem: markets price in known information already, so an edge has to come from genuinely differentiated data or speed, not just repackaging public data faster.</w:t>
      </w:r>
    </w:p>
    <w:p>
      <w:pPr>
        <w:pStyle w:val="Heading1"/>
        <w:spacing w:after="150" w:before="300"/>
      </w:pPr>
      <w:r>
        <w:t xml:space="preserve">8. Summary</w:t>
      </w:r>
    </w:p>
    <w:p>
      <w:pPr>
        <w:spacing w:after="160"/>
      </w:pPr>
      <w:r>
        <w:t xml:space="preserve">At its core, trading connects a buyer and a seller through a regulated exchange, with brokers acting as the gateway. Professional apps are essentially real-time distributed systems: they combine order management, risk checks, market data streaming, ledgering, and regulatory compliance into a pipeline that must be fast, accurate, and auditable — because every action moves real money and carries legal weight.</w:t>
      </w:r>
    </w:p>
    <w:p>
      <w:pPr>
        <w:spacing w:after="160"/>
      </w:pPr>
      <w:r>
        <w:rPr>
          <w:i/>
          <w:iCs/>
          <w:color w:val="808080"/>
          <w:sz w:val="20"/>
          <w:szCs w:val="20"/>
        </w:rPr>
        <w:t xml:space="preserve">This document is for educational purposes and does not constitute financial, investment, or legal advice. Trading involves risk of loss, and requirements vary by country and broker.</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450" w:hanging="320"/>
      </w:pPr>
    </w:lvl>
  </w:abstractNum>
  <w:abstractNum w:abstractNumId="4" w15:restartNumberingAfterBreak="0">
    <w:multiLevelType w:val="hybridMultilevel"/>
    <w:lvl w:ilvl="0" w15:tentative="1">
      <w:start w:val="1"/>
      <w:numFmt w:val="decimal"/>
      <w:lvlText w:val="%1."/>
      <w:lvlJc w:val="left"/>
      <w:pPr>
        <w:ind w:left="450" w:hanging="320"/>
      </w:pPr>
    </w:lvl>
  </w:abstractNum>
  <w:abstractNum w:abstractNumId="5" w15:restartNumberingAfterBreak="0">
    <w:multiLevelType w:val="hybridMultilevel"/>
    <w:lvl w:ilvl="0" w15:tentative="1">
      <w:start w:val="1"/>
      <w:numFmt w:val="decimal"/>
      <w:lvlText w:val="%1."/>
      <w:lvlJc w:val="left"/>
      <w:pPr>
        <w:ind w:left="45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2026-08-11T18:17:22.838Z</dcterms:created>
  <dcterms:modified xsi:type="dcterms:W3CDTF">2026-08-11T18:17:22.838Z</dcterms:modified>
</cp:coreProperties>
</file>

<file path=docProps/custom.xml><?xml version="1.0" encoding="utf-8"?>
<Properties xmlns="http://schemas.openxmlformats.org/officeDocument/2006/custom-properties" xmlns:vt="http://schemas.openxmlformats.org/officeDocument/2006/docPropsVTypes"/>
</file>