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Nightingale: Q4 Update</w:t>
      </w:r>
    </w:p>
    <w:p>
      <w:r>
        <w:t>Project Nightingale: Q4 Update</w:t>
        <w:br/>
        <w:br/>
        <w:t>This document provides a summary of the key performance indicators (KPIs) for Project Nightingale in the fourth quarter of Fiscal Year 2023. The primary objective was to stabilize the platform and reduce technical debt.</w:t>
        <w:br/>
        <w:br/>
        <w:t>Key Achievements:</w:t>
        <w:br/>
        <w:t>- Platform uptime increased to 99.98%.</w:t>
        <w:br/>
        <w:t>- Critical bug count reduced by 45%.</w:t>
        <w:br/>
        <w:t>- Deployed new data analytics module.</w:t>
        <w:br/>
        <w:br/>
        <w:t>Challenges:</w:t>
        <w:br/>
        <w:t>Integration with the legacy CRM system remains a bottleneck. Further resource allocation is required for Q1 2024.</w:t>
        <w:br/>
        <w:t>The Euro (€) is our primary currency for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