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spacing w:after="400"/>
        <w:jc w:val="center"/>
      </w:pPr>
      <w:r>
        <w:rPr>
          <w:rFonts w:ascii="Calibri" w:cs="Calibri" w:eastAsia="Calibri" w:hAnsi="Calibri"/>
          <w:sz w:val="22"/>
          <w:szCs w:val="22"/>
        </w:rPr>
        <w:t xml:space="preserve">COM748 Masters Research Project</w:t>
      </w:r>
    </w:p>
    <w:p>
      <w:pPr>
        <w:spacing w:after="400"/>
        <w:jc w:val="center"/>
      </w:pPr>
      <w:r>
        <w:rPr>
          <w:rFonts w:ascii="Calibri" w:cs="Calibri" w:eastAsia="Calibri" w:hAnsi="Calibri"/>
          <w:b/>
          <w:bCs/>
          <w:sz w:val="32"/>
          <w:szCs w:val="32"/>
        </w:rPr>
        <w:t xml:space="preserve">Scalable Big Data Architecture for Real-Time Industrial Anomaly Detection in Multivariate Time-Series</w:t>
      </w:r>
    </w:p>
    <w:p>
      <w:pPr>
        <w:spacing w:after="1200"/>
        <w:jc w:val="center"/>
      </w:pPr>
      <w:r>
        <w:rPr>
          <w:rFonts w:ascii="Calibri" w:cs="Calibri" w:eastAsia="Calibri" w:hAnsi="Calibri"/>
          <w:i/>
          <w:iCs/>
          <w:sz w:val="24"/>
          <w:szCs w:val="24"/>
        </w:rPr>
        <w:t xml:space="preserve">A Comparative Evaluation of a Fast Mathematical (VersaGuardian-Style) Backend and LSTM/Dense Autoencoders Under a Sub-20ms SLA</w:t>
      </w:r>
    </w:p>
    <w:p>
      <w:pPr>
        <w:spacing w:after="100"/>
        <w:jc w:val="center"/>
      </w:pPr>
      <w:r>
        <w:rPr>
          <w:rFonts w:ascii="Calibri" w:cs="Calibri" w:eastAsia="Calibri" w:hAnsi="Calibri"/>
          <w:sz w:val="24"/>
          <w:szCs w:val="24"/>
        </w:rPr>
        <w:t xml:space="preserve">Mohtashim Ali</w:t>
      </w:r>
    </w:p>
    <w:p>
      <w:pPr>
        <w:spacing w:after="200"/>
        <w:jc w:val="center"/>
      </w:pPr>
      <w:r>
        <w:rPr>
          <w:rFonts w:ascii="Calibri" w:cs="Calibri" w:eastAsia="Calibri" w:hAnsi="Calibri"/>
          <w:sz w:val="22"/>
          <w:szCs w:val="22"/>
        </w:rPr>
        <w:t xml:space="preserve">Student Number: B20081038</w:t>
      </w:r>
    </w:p>
    <w:p>
      <w:pPr>
        <w:spacing w:after="200"/>
        <w:jc w:val="center"/>
      </w:pPr>
      <w:r>
        <w:rPr>
          <w:rFonts w:ascii="Calibri" w:cs="Calibri" w:eastAsia="Calibri" w:hAnsi="Calibri"/>
          <w:sz w:val="22"/>
          <w:szCs w:val="22"/>
        </w:rPr>
        <w:t xml:space="preserve">Supervisor: Dr. Usman Butt</w:t>
      </w:r>
    </w:p>
    <w:p>
      <w:pPr>
        <w:spacing w:after="200"/>
        <w:jc w:val="center"/>
      </w:pPr>
      <w:r>
        <w:rPr>
          <w:rFonts w:ascii="Calibri" w:cs="Calibri" w:eastAsia="Calibri" w:hAnsi="Calibri"/>
          <w:sz w:val="22"/>
          <w:szCs w:val="22"/>
        </w:rPr>
        <w:t xml:space="preserve">[Department / University Name]</w:t>
      </w:r>
    </w:p>
    <w:p>
      <w:pPr>
        <w:spacing w:after="200"/>
        <w:jc w:val="center"/>
      </w:pPr>
      <w:r>
        <w:rPr>
          <w:rFonts w:ascii="Calibri" w:cs="Calibri" w:eastAsia="Calibri" w:hAnsi="Calibri"/>
          <w:sz w:val="22"/>
          <w:szCs w:val="22"/>
        </w:rPr>
        <w:t xml:space="preserve">Master's Dissertation — [Month Year]</w:t>
      </w:r>
    </w:p>
    <w:p>
      <w:r>
        <w:br w:type="page"/>
      </w:r>
    </w:p>
    <w:p>
      <w:pPr>
        <w:pStyle w:val="Heading1"/>
        <w:spacing w:after="200" w:before="400"/>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400"/>
      </w:pPr>
      <w:r>
        <w:t xml:space="preserve">Abstract</w:t>
      </w:r>
    </w:p>
    <w:p>
      <w:pPr>
        <w:spacing w:after="200"/>
      </w:pPr>
      <w:r>
        <w:rPr>
          <w:rFonts w:ascii="Calibri" w:cs="Calibri" w:eastAsia="Calibri" w:hAnsi="Calibri"/>
          <w:i/>
          <w:iCs/>
          <w:color w:val="9C3D0A"/>
          <w:sz w:val="22"/>
          <w:szCs w:val="22"/>
        </w:rPr>
        <w:t xml:space="preserve">[TODO — Write a 200-300 word abstract once Phase 4 results are final. State the problem (sub-20ms anomaly detection SLA), the two backends compared (LSTM/Dense Autoencoder vs. VersaGuardian-style STL+DMD), the datasets used (NASA C-MAPSS, SWaT), and the headline F1/AUCROC/latency findings.]</w:t>
      </w:r>
    </w:p>
    <w:p>
      <w:pPr>
        <w:pStyle w:val="Heading1"/>
        <w:spacing w:after="200" w:before="400"/>
      </w:pPr>
      <w:r>
        <w:t xml:space="preserve">Chapter 1: Introduction &amp; Problem Statement</w:t>
      </w:r>
    </w:p>
    <w:p>
      <w:pPr>
        <w:spacing w:after="200" w:line="360"/>
      </w:pPr>
      <w:r>
        <w:rPr>
          <w:rFonts w:ascii="Calibri" w:cs="Calibri" w:eastAsia="Calibri" w:hAnsi="Calibri"/>
          <w:sz w:val="22"/>
          <w:szCs w:val="22"/>
        </w:rPr>
        <w:t xml:space="preserve">Modern industrial systems are highly interconnected, generating massive volumes of continuous multivariate time-series data from hundreds of sensors simultaneously. Operational complexities often mask latent equipment defects, leading to unexpected, catastrophic system breakdowns and expensive operational downtime. Current analytical frameworks fail to reconcile two conflicting engineering needs: processing massive periodic streams with minimal computational overhead and achieving low-latency alerting.</w:t>
      </w:r>
    </w:p>
    <w:p>
      <w:pPr>
        <w:spacing w:after="200" w:line="360"/>
      </w:pPr>
      <w:r>
        <w:rPr>
          <w:rFonts w:ascii="Calibri" w:cs="Calibri" w:eastAsia="Calibri" w:hAnsi="Calibri"/>
          <w:sz w:val="22"/>
          <w:szCs w:val="22"/>
        </w:rPr>
        <w:t xml:space="preserve">This project addresses this critical industry gap by architecting a scalable big data pipeline capable of ingesting, processing, and detecting anomalies within multivariate time-series metrics under a strict sub-20 millisecond SLA. This ensures immediate root-cause mitigation and optimized operational reliability.</w:t>
      </w:r>
    </w:p>
    <w:p>
      <w:pPr>
        <w:pStyle w:val="Heading2"/>
        <w:spacing w:after="150" w:before="300"/>
      </w:pPr>
      <w:r>
        <w:t xml:space="preserve">1.1 Aim and Objectives</w:t>
      </w:r>
    </w:p>
    <w:p>
      <w:pPr>
        <w:spacing w:after="200" w:line="360"/>
      </w:pPr>
      <w:r>
        <w:rPr>
          <w:rFonts w:ascii="Calibri" w:cs="Calibri" w:eastAsia="Calibri" w:hAnsi="Calibri"/>
          <w:sz w:val="22"/>
          <w:szCs w:val="22"/>
        </w:rPr>
        <w:t xml:space="preserve">The primary aim of this project is to design, implement, and quantitatively evaluate a scalable, low-latency big data architecture that can ingest high-velocity multivariate time-series data and execute automated anomaly detection in under 20 milliseconds. This aim is pursued through the following sequential objectives:</w:t>
      </w:r>
    </w:p>
    <w:p>
      <w:pPr>
        <w:pStyle w:val="ListParagraph"/>
        <w:numPr>
          <w:ilvl w:val="0"/>
          <w:numId w:val="1"/>
        </w:numPr>
        <w:spacing w:after="100"/>
      </w:pPr>
      <w:r>
        <w:rPr>
          <w:rFonts w:ascii="Calibri" w:cs="Calibri" w:eastAsia="Calibri" w:hAnsi="Calibri"/>
          <w:sz w:val="22"/>
          <w:szCs w:val="22"/>
        </w:rPr>
        <w:t xml:space="preserve">Collect and preprocess specialized industrial time-series datasets, isolating baseline physical attributes and normal operational behaviours.</w:t>
      </w:r>
    </w:p>
    <w:p>
      <w:pPr>
        <w:pStyle w:val="ListParagraph"/>
        <w:numPr>
          <w:ilvl w:val="0"/>
          <w:numId w:val="1"/>
        </w:numPr>
        <w:spacing w:after="100"/>
      </w:pPr>
      <w:r>
        <w:rPr>
          <w:rFonts w:ascii="Calibri" w:cs="Calibri" w:eastAsia="Calibri" w:hAnsi="Calibri"/>
          <w:sz w:val="22"/>
          <w:szCs w:val="22"/>
        </w:rPr>
        <w:t xml:space="preserve">Deconstruct and analyze the architectural performance parameters of modern anomaly discovery techniques (e.g., VersaGuardian and LSTM Autoencoders).</w:t>
      </w:r>
    </w:p>
    <w:p>
      <w:pPr>
        <w:pStyle w:val="ListParagraph"/>
        <w:numPr>
          <w:ilvl w:val="0"/>
          <w:numId w:val="1"/>
        </w:numPr>
        <w:spacing w:after="100"/>
      </w:pPr>
      <w:r>
        <w:rPr>
          <w:rFonts w:ascii="Calibri" w:cs="Calibri" w:eastAsia="Calibri" w:hAnsi="Calibri"/>
          <w:sz w:val="22"/>
          <w:szCs w:val="22"/>
        </w:rPr>
        <w:t xml:space="preserve">Construct and program a distributed big data pipeline using Python-based streaming abstractions and scalable data handling modules.</w:t>
      </w:r>
    </w:p>
    <w:p>
      <w:pPr>
        <w:pStyle w:val="ListParagraph"/>
        <w:numPr>
          <w:ilvl w:val="0"/>
          <w:numId w:val="1"/>
        </w:numPr>
        <w:spacing w:after="100"/>
      </w:pPr>
      <w:r>
        <w:rPr>
          <w:rFonts w:ascii="Calibri" w:cs="Calibri" w:eastAsia="Calibri" w:hAnsi="Calibri"/>
          <w:sz w:val="22"/>
          <w:szCs w:val="22"/>
        </w:rPr>
        <w:t xml:space="preserve">Produce and integrate a low-overhead, real-time evaluation engine that computes deviation indicators and anomaly scores dynamically across periodic streams.</w:t>
      </w:r>
    </w:p>
    <w:p>
      <w:pPr>
        <w:pStyle w:val="ListParagraph"/>
        <w:numPr>
          <w:ilvl w:val="0"/>
          <w:numId w:val="1"/>
        </w:numPr>
        <w:spacing w:after="100"/>
      </w:pPr>
      <w:r>
        <w:rPr>
          <w:rFonts w:ascii="Calibri" w:cs="Calibri" w:eastAsia="Calibri" w:hAnsi="Calibri"/>
          <w:sz w:val="22"/>
          <w:szCs w:val="22"/>
        </w:rPr>
        <w:t xml:space="preserve">Test and trial the integrated pipeline using historical benchmarks to evaluate structural elasticity under sudden high-throughput scenarios.</w:t>
      </w:r>
    </w:p>
    <w:p>
      <w:pPr>
        <w:pStyle w:val="ListParagraph"/>
        <w:numPr>
          <w:ilvl w:val="0"/>
          <w:numId w:val="1"/>
        </w:numPr>
        <w:spacing w:after="100"/>
      </w:pPr>
      <w:r>
        <w:rPr>
          <w:rFonts w:ascii="Calibri" w:cs="Calibri" w:eastAsia="Calibri" w:hAnsi="Calibri"/>
          <w:sz w:val="22"/>
          <w:szCs w:val="22"/>
        </w:rPr>
        <w:t xml:space="preserve">Measure and benchmark the framework's operational efficiency, tracking F1-scores, Area Under the Receiver Operating Characteristic (AUCROC), and latency intervals against a 20ms threshold.</w:t>
      </w:r>
    </w:p>
    <w:p>
      <w:pPr>
        <w:pStyle w:val="ListParagraph"/>
        <w:numPr>
          <w:ilvl w:val="0"/>
          <w:numId w:val="1"/>
        </w:numPr>
        <w:spacing w:after="100"/>
      </w:pPr>
      <w:r>
        <w:rPr>
          <w:rFonts w:ascii="Calibri" w:cs="Calibri" w:eastAsia="Calibri" w:hAnsi="Calibri"/>
          <w:sz w:val="22"/>
          <w:szCs w:val="22"/>
        </w:rPr>
        <w:t xml:space="preserve">Document the architectural discoveries, data engineering principles, and empirical algorithmic outcomes in a comprehensive Master's research dissertation.</w:t>
      </w:r>
    </w:p>
    <w:p>
      <w:pPr>
        <w:pStyle w:val="Heading2"/>
        <w:spacing w:after="150" w:before="300"/>
      </w:pPr>
      <w:r>
        <w:t xml:space="preserve">1.2 Datasets</w:t>
      </w:r>
    </w:p>
    <w:p>
      <w:pPr>
        <w:spacing w:after="200" w:line="360"/>
      </w:pPr>
      <w:r>
        <w:rPr>
          <w:rFonts w:ascii="Calibri" w:cs="Calibri" w:eastAsia="Calibri" w:hAnsi="Calibri"/>
          <w:sz w:val="22"/>
          <w:szCs w:val="22"/>
        </w:rPr>
        <w:t xml:space="preserve">Two publicly available, fully anonymized industrial benchmark datasets are used to evaluate generality across domains, consistent with the ethical commitment to use only open-source, non-personal system telemetry:</w:t>
      </w:r>
    </w:p>
    <w:p>
      <w:pPr>
        <w:pStyle w:val="ListParagraph"/>
        <w:numPr>
          <w:ilvl w:val="0"/>
          <w:numId w:val="1"/>
        </w:numPr>
        <w:spacing w:after="100"/>
      </w:pPr>
      <w:r>
        <w:rPr>
          <w:rFonts w:ascii="Calibri" w:cs="Calibri" w:eastAsia="Calibri" w:hAnsi="Calibri"/>
          <w:sz w:val="22"/>
          <w:szCs w:val="22"/>
        </w:rPr>
        <w:t xml:space="preserve">NASA C-MAPSS turbofan engine degradation simulation — multivariate sensor telemetry across the operational life of simulated turbofan engines, used here by treating the final cycles before failure as the anomalous class.</w:t>
      </w:r>
    </w:p>
    <w:p>
      <w:pPr>
        <w:pStyle w:val="ListParagraph"/>
        <w:numPr>
          <w:ilvl w:val="0"/>
          <w:numId w:val="1"/>
        </w:numPr>
        <w:spacing w:after="100"/>
      </w:pPr>
      <w:r>
        <w:rPr>
          <w:rFonts w:ascii="Calibri" w:cs="Calibri" w:eastAsia="Calibri" w:hAnsi="Calibri"/>
          <w:sz w:val="22"/>
          <w:szCs w:val="22"/>
        </w:rPr>
        <w:t xml:space="preserve">SWaT (Secure Water Treatment) — a scaled-down but fully operational water-treatment testbed dataset with labeled process-control attacks, used here as a native binary anomaly-detection benchmark.</w:t>
      </w:r>
    </w:p>
    <w:p>
      <w:pPr>
        <w:spacing w:after="200"/>
      </w:pPr>
      <w:r>
        <w:rPr>
          <w:rFonts w:ascii="Calibri" w:cs="Calibri" w:eastAsia="Calibri" w:hAnsi="Calibri"/>
          <w:i/>
          <w:iCs/>
          <w:color w:val="9C3D0A"/>
          <w:sz w:val="22"/>
          <w:szCs w:val="22"/>
        </w:rPr>
        <w:t xml:space="preserve">[TODO — The original proposal's ethics section refers generally to NASA, MVTec, and TCM5-family benchmarks; C-MAPSS and SWaT were the two datasets actually provided for implementation. Confirm with your supervisor that this substitution is covered by your existing ethical clearance, or file an addendum naming SWaT specifically if required.]</w:t>
      </w:r>
    </w:p>
    <w:p>
      <w:pPr>
        <w:pStyle w:val="Heading2"/>
        <w:spacing w:after="150" w:before="300"/>
      </w:pPr>
      <w:r>
        <w:t xml:space="preserve">1.3 Ethical, Legal, and Social Considerations</w:t>
      </w:r>
    </w:p>
    <w:p>
      <w:pPr>
        <w:spacing w:after="200" w:line="360"/>
      </w:pPr>
      <w:r>
        <w:rPr>
          <w:rFonts w:ascii="Calibri" w:cs="Calibri" w:eastAsia="Calibri" w:hAnsi="Calibri"/>
          <w:sz w:val="22"/>
          <w:szCs w:val="22"/>
        </w:rPr>
        <w:t xml:space="preserve">This investigation aligns with the foundational engineering expectations of the BCS Code of Conduct and the ACM Code of Ethics.</w:t>
      </w:r>
    </w:p>
    <w:p>
      <w:pPr>
        <w:spacing w:after="200" w:line="360"/>
      </w:pPr>
      <w:r>
        <w:rPr>
          <w:rFonts w:ascii="Calibri" w:cs="Calibri" w:eastAsia="Calibri" w:hAnsi="Calibri"/>
          <w:sz w:val="22"/>
          <w:szCs w:val="22"/>
        </w:rPr>
        <w:t xml:space="preserve">Ethical approval and human elements: the research utilizes fully anonymized, open-source industrial system benchmarks representing physical mechanical parameters such as motor vibrations, pressures, and system currents. Since no human data tracking, behavioural telemetry, or user interaction studies are involved, the risk to human privacy is zero. Institutional ethical clearance confirmation is filed in coordination with the project supervisor.</w:t>
      </w:r>
    </w:p>
    <w:p>
      <w:pPr>
        <w:spacing w:after="200" w:line="360"/>
      </w:pPr>
      <w:r>
        <w:rPr>
          <w:rFonts w:ascii="Calibri" w:cs="Calibri" w:eastAsia="Calibri" w:hAnsi="Calibri"/>
          <w:sz w:val="22"/>
          <w:szCs w:val="22"/>
        </w:rPr>
        <w:t xml:space="preserve">Data privacy and legislation: the datasets do not contain proprietary corporate data or Personally Identifiable Information (PII), ensuring compliance with current UK Data Protection Act and GDPR frameworks.</w:t>
      </w:r>
    </w:p>
    <w:p>
      <w:pPr>
        <w:spacing w:after="200" w:line="360"/>
      </w:pPr>
      <w:r>
        <w:rPr>
          <w:rFonts w:ascii="Calibri" w:cs="Calibri" w:eastAsia="Calibri" w:hAnsi="Calibri"/>
          <w:sz w:val="22"/>
          <w:szCs w:val="22"/>
        </w:rPr>
        <w:t xml:space="preserve">Social and industrial impact: designing more efficient, low-overhead anomaly detection platforms helps industrial systems optimize machine longevity and mitigate energy waste. It also protects industrial workers by offering rapid warning systems that flag volatile operational failures before they create physical workplace hazards.</w:t>
      </w:r>
    </w:p>
    <w:p>
      <w:pPr>
        <w:pStyle w:val="Heading2"/>
        <w:spacing w:after="150" w:before="300"/>
      </w:pPr>
      <w:r>
        <w:t xml:space="preserve">1.4 Dissertation Structure</w:t>
      </w:r>
    </w:p>
    <w:p>
      <w:pPr>
        <w:spacing w:after="200" w:line="360"/>
      </w:pPr>
      <w:r>
        <w:rPr>
          <w:rFonts w:ascii="Calibri" w:cs="Calibri" w:eastAsia="Calibri" w:hAnsi="Calibri"/>
          <w:sz w:val="22"/>
          <w:szCs w:val="22"/>
        </w:rPr>
        <w:t xml:space="preserve">Chapter 2 reviews related work in AIOps anomaly detection, autoencoder-based approaches, and fast mathematical alternatives such as VersaGuardian. Chapter 3 details the system architecture across the ingestion, processing, and evaluation layers, and discusses project risk management. Chapter 4 presents empirical results comparing both backends. Chapter 5 concludes with a discussion of trade-offs and directions for future work.</w:t>
      </w:r>
    </w:p>
    <w:p>
      <w:r>
        <w:br w:type="page"/>
      </w:r>
    </w:p>
    <w:p>
      <w:pPr>
        <w:pStyle w:val="Heading1"/>
        <w:spacing w:after="200" w:before="400"/>
      </w:pPr>
      <w:r>
        <w:t xml:space="preserve">Chapter 2: Literature Review</w:t>
      </w:r>
    </w:p>
    <w:p>
      <w:pPr>
        <w:pStyle w:val="Heading2"/>
        <w:spacing w:after="150" w:before="300"/>
      </w:pPr>
      <w:r>
        <w:t xml:space="preserve">2.1 AIOps and Industrial Multivariate Time-Series Anomaly Detection</w:t>
      </w:r>
    </w:p>
    <w:p>
      <w:pPr>
        <w:spacing w:after="200" w:line="360"/>
      </w:pPr>
      <w:r>
        <w:rPr>
          <w:rFonts w:ascii="Calibri" w:cs="Calibri" w:eastAsia="Calibri" w:hAnsi="Calibri"/>
          <w:sz w:val="22"/>
          <w:szCs w:val="22"/>
        </w:rPr>
        <w:t xml:space="preserve">The reliance of modern industrial plants on automated machinery has made multivariate time-series (MTS) anomaly detection vital for maintaining infrastructure reliability and preventing structural failures. In a dense industrial setting, physical systems generate high-dimensional data streams where anomalies are heavily hidden within overlapping sensor patterns, such as spatial correlations between vibration, pressure, and temperature metrics. Traditional statistical methods are frequently overwhelmed by the volume, velocity, and periodic nature of these industrial streams, leading to delayed alerts or elevated false-alarm rates [1], [2].</w:t>
      </w:r>
    </w:p>
    <w:p>
      <w:pPr>
        <w:spacing w:after="200" w:line="360"/>
      </w:pPr>
      <w:r>
        <w:rPr>
          <w:rFonts w:ascii="Calibri" w:cs="Calibri" w:eastAsia="Calibri" w:hAnsi="Calibri"/>
          <w:sz w:val="22"/>
          <w:szCs w:val="22"/>
        </w:rPr>
        <w:t xml:space="preserve">Recent advancements in Artificial Intelligence for IT Operations (AIOps) and industrial modelling highlight a paradigm shift toward neuro-symbolic and fast-initializing machine learning architectures that attempt to reconcile detection accuracy with the real-time constraints of production environments.</w:t>
      </w:r>
    </w:p>
    <w:p>
      <w:pPr>
        <w:pStyle w:val="Heading2"/>
        <w:spacing w:after="150" w:before="300"/>
      </w:pPr>
      <w:r>
        <w:t xml:space="preserve">2.2 Reconstruction-Based Deep Learning for Anomaly Detection</w:t>
      </w:r>
    </w:p>
    <w:p>
      <w:pPr>
        <w:spacing w:after="200" w:line="360"/>
      </w:pPr>
      <w:r>
        <w:rPr>
          <w:rFonts w:ascii="Calibri" w:cs="Calibri" w:eastAsia="Calibri" w:hAnsi="Calibri"/>
          <w:sz w:val="22"/>
          <w:szCs w:val="22"/>
        </w:rPr>
        <w:t xml:space="preserve">Early deep learning approaches, such as Long Short-Term Memory (LSTM) Autoencoders and Dense Autoencoders, have proven highly effective for complex multi-sensor fields such as oil production [3]. By learning a compressed, latent representation of normal operational cycles, these reconstruction-based models flag deviations through elevated reconstruction errors, isolating the root causes of machinery failure. However, standard deep-learning models present structural challenges in fast-paced production ecosystems due to prolonged initialization periods and substantial training requirements [2].</w:t>
      </w:r>
    </w:p>
    <w:p>
      <w:pPr>
        <w:pStyle w:val="Heading2"/>
        <w:spacing w:after="150" w:before="300"/>
      </w:pPr>
      <w:r>
        <w:t xml:space="preserve">2.3 Fast, Closed-Form Alternatives: the VersaGuardian Model</w:t>
      </w:r>
    </w:p>
    <w:p>
      <w:pPr>
        <w:spacing w:after="200" w:line="360"/>
      </w:pPr>
      <w:r>
        <w:rPr>
          <w:rFonts w:ascii="Calibri" w:cs="Calibri" w:eastAsia="Calibri" w:hAnsi="Calibri"/>
          <w:sz w:val="22"/>
          <w:szCs w:val="22"/>
        </w:rPr>
        <w:t xml:space="preserve">To address the initialization and latency limitations of deep architectures, modern state-of-the-art approaches focus on computational efficiency and rapid structural initialization. A primary example cited in the project proposal is the VersaGuardian model (2026), which applies Dynamic Mode Decomposition (DMD) to multivariate time series, embedding seasonal-trend decomposition directly into a lower-dimensional primary mode framework. It is reported to achieve a strong F1 score while reducing initialization time to approximately 20 minutes and averaging roughly 15.28 milliseconds of detection latency.</w:t>
      </w:r>
    </w:p>
    <w:p>
      <w:pPr>
        <w:spacing w:after="200"/>
      </w:pPr>
      <w:r>
        <w:rPr>
          <w:rFonts w:ascii="Calibri" w:cs="Calibri" w:eastAsia="Calibri" w:hAnsi="Calibri"/>
          <w:i/>
          <w:iCs/>
          <w:color w:val="9C3D0A"/>
          <w:sz w:val="22"/>
          <w:szCs w:val="22"/>
        </w:rPr>
        <w:t xml:space="preserve">[TODO — The VersaGuardian (2026) figures above are carried over from the project proposal's background research and are not yet backed by a citation in the current reference list. Before submission, locate the primary source for VersaGuardian and add it as a numbered IEEE reference — do not present these specific figures (F1 score, 20-minute initialization, 15.28ms latency) as established fact without a verifiable citation, since I have not been able to independently confirm them.]</w:t>
      </w:r>
    </w:p>
    <w:p>
      <w:pPr>
        <w:spacing w:after="200" w:line="360"/>
      </w:pPr>
      <w:r>
        <w:rPr>
          <w:rFonts w:ascii="Calibri" w:cs="Calibri" w:eastAsia="Calibri" w:hAnsi="Calibri"/>
          <w:sz w:val="22"/>
          <w:szCs w:val="22"/>
        </w:rPr>
        <w:t xml:space="preserve">This illustrates the broader principle motivating the fast-backend design in this dissertation: that combining deterministic mathematical decomposition with data-driven predictive monitoring can, in principle, yield anomaly detection speeds well within an industrial SLA without the training overhead of a deep model.</w:t>
      </w:r>
    </w:p>
    <w:p>
      <w:pPr>
        <w:pStyle w:val="Heading2"/>
        <w:spacing w:after="150" w:before="300"/>
      </w:pPr>
      <w:r>
        <w:t xml:space="preserve">2.4 Research Gap</w:t>
      </w:r>
    </w:p>
    <w:p>
      <w:pPr>
        <w:spacing w:after="200" w:line="360"/>
      </w:pPr>
      <w:r>
        <w:rPr>
          <w:rFonts w:ascii="Calibri" w:cs="Calibri" w:eastAsia="Calibri" w:hAnsi="Calibri"/>
          <w:sz w:val="22"/>
          <w:szCs w:val="22"/>
        </w:rPr>
        <w:t xml:space="preserve">Despite these methodological innovations, a persistent gap remains in combining fast mathematical detection algorithms with full-scale distributed big data architectures. An algorithm is only as useful as the pipeline supplying its data: industrial platforms require structured streaming ingestion tools that can feed high-throughput streams into an evaluation matrix without introducing serialization or I/O bottlenecks. This dissertation investigates the synthesis of data engineering and machine learning, establishing an architectural blueprint that couples high-throughput streaming systems with advanced mathematical detection models to maintain strict processing-time boundaries.</w:t>
      </w:r>
    </w:p>
    <w:p>
      <w:r>
        <w:br w:type="page"/>
      </w:r>
    </w:p>
    <w:p>
      <w:pPr>
        <w:pStyle w:val="Heading1"/>
        <w:spacing w:after="200" w:before="400"/>
      </w:pPr>
      <w:r>
        <w:t xml:space="preserve">Chapter 3: Methodology &amp; Architecture</w:t>
      </w:r>
    </w:p>
    <w:p>
      <w:pPr>
        <w:spacing w:after="200" w:line="360"/>
      </w:pPr>
      <w:r>
        <w:rPr>
          <w:rFonts w:ascii="Calibri" w:cs="Calibri" w:eastAsia="Calibri" w:hAnsi="Calibri"/>
          <w:sz w:val="22"/>
          <w:szCs w:val="22"/>
        </w:rPr>
        <w:t xml:space="preserve">This project follows an experimental engineering methodology, building an end-to-end time-series processing pipeline to evaluate machine learning latency and accuracy limits under continuous data streams. The pipeline architecture is divided into the three programmatic stages set out in the project proposal: an Ingestion Layer, a Processing and Analytics Core, and an Evaluation Matrix.</w:t>
      </w:r>
    </w:p>
    <w:p>
      <w:pPr>
        <w:pStyle w:val="Heading2"/>
        <w:spacing w:after="150" w:before="300"/>
      </w:pPr>
      <w:r>
        <w:t xml:space="preserve">3.1 Data Preparation</w:t>
      </w:r>
    </w:p>
    <w:p>
      <w:pPr>
        <w:spacing w:after="200" w:line="360"/>
      </w:pPr>
      <w:r>
        <w:rPr>
          <w:rFonts w:ascii="Calibri" w:cs="Calibri" w:eastAsia="Calibri" w:hAnsi="Calibri"/>
          <w:sz w:val="22"/>
          <w:szCs w:val="22"/>
        </w:rPr>
        <w:t xml:space="preserve">Both datasets are cleaned (forward/backward fill for gaps, median fallback for remaining missing values) and normalized using MinMax scaling fit exclusively on normal-operation data, to avoid leaking anomalous-region statistics into the normalization step. Cleaned readings are structured into overlapping contiguous windows, which form the atomic unit scored by both backends.</w:t>
      </w:r>
    </w:p>
    <w:p>
      <w:pPr>
        <w:pStyle w:val="Heading2"/>
        <w:spacing w:after="150" w:before="300"/>
      </w:pPr>
      <w:r>
        <w:t xml:space="preserve">3.2 Ingestion Layer</w:t>
      </w:r>
    </w:p>
    <w:p>
      <w:pPr>
        <w:spacing w:after="200" w:line="360"/>
      </w:pPr>
      <w:r>
        <w:rPr>
          <w:rFonts w:ascii="Calibri" w:cs="Calibri" w:eastAsia="Calibri" w:hAnsi="Calibri"/>
          <w:sz w:val="22"/>
          <w:szCs w:val="22"/>
        </w:rPr>
        <w:t xml:space="preserve">Built using a high-throughput multi-threaded messaging queue simulation in Python, the ingestion layer handles data stream distribution to maintain a steady ingestion flow without I/O blocking. A producer thread reads the pre-scaled sensor array and pushes multivariate windows into a bounded, thread-safe queue at a configurable production rate, simulating a real industrial message bus. A drop-on-full overflow mode is used specifically for elasticity testing (Section 3.6) to simulate a broker's behaviour under a sudden throughput spike.</w:t>
      </w:r>
    </w:p>
    <w:p>
      <w:pPr>
        <w:pStyle w:val="Heading2"/>
        <w:spacing w:after="150" w:before="300"/>
      </w:pPr>
      <w:r>
        <w:t xml:space="preserve">3.3 Processing and Analytics Core</w:t>
      </w:r>
    </w:p>
    <w:p>
      <w:pPr>
        <w:spacing w:after="200" w:line="360"/>
      </w:pPr>
      <w:r>
        <w:rPr>
          <w:rFonts w:ascii="Calibri" w:cs="Calibri" w:eastAsia="Calibri" w:hAnsi="Calibri"/>
          <w:sz w:val="22"/>
          <w:szCs w:val="22"/>
        </w:rPr>
        <w:t xml:space="preserve">The processing core employs programmatic vector-manipulation libraries (NumPy, Pandas) to unpack incoming multivariate sensor vectors as they arrive. Two analytical backends are evaluated side by side on identical data:</w:t>
      </w:r>
    </w:p>
    <w:p>
      <w:pPr>
        <w:pStyle w:val="ListParagraph"/>
        <w:numPr>
          <w:ilvl w:val="0"/>
          <w:numId w:val="1"/>
        </w:numPr>
        <w:spacing w:after="100"/>
      </w:pPr>
      <w:r>
        <w:rPr>
          <w:rFonts w:ascii="Calibri" w:cs="Calibri" w:eastAsia="Calibri" w:hAnsi="Calibri"/>
          <w:sz w:val="22"/>
          <w:szCs w:val="22"/>
        </w:rPr>
        <w:t xml:space="preserve">A fast mathematical framework inspired by the VersaGuardian model, combining Seasonal-Trend Decomposition (STL) with a closed-form Dynamic Mode Decomposition (DMD) operator fit via a single singular value decomposition — requiring no gradient-based training.</w:t>
      </w:r>
    </w:p>
    <w:p>
      <w:pPr>
        <w:pStyle w:val="ListParagraph"/>
        <w:numPr>
          <w:ilvl w:val="0"/>
          <w:numId w:val="1"/>
        </w:numPr>
        <w:spacing w:after="100"/>
      </w:pPr>
      <w:r>
        <w:rPr>
          <w:rFonts w:ascii="Calibri" w:cs="Calibri" w:eastAsia="Calibri" w:hAnsi="Calibri"/>
          <w:sz w:val="22"/>
          <w:szCs w:val="22"/>
        </w:rPr>
        <w:t xml:space="preserve">A reconstruction-based neural architecture (LSTM/Dense Autoencoder, built in PyTorch), trained exclusively on normal-operation windows with early stopping on a held-out normal validation split.</w:t>
      </w:r>
    </w:p>
    <w:p>
      <w:pPr>
        <w:pStyle w:val="Heading2"/>
        <w:spacing w:after="150" w:before="300"/>
      </w:pPr>
      <w:r>
        <w:t xml:space="preserve">3.4 Evaluation Matrix</w:t>
      </w:r>
    </w:p>
    <w:p>
      <w:pPr>
        <w:spacing w:after="200" w:line="360"/>
      </w:pPr>
      <w:r>
        <w:rPr>
          <w:rFonts w:ascii="Calibri" w:cs="Calibri" w:eastAsia="Calibri" w:hAnsi="Calibri"/>
          <w:sz w:val="22"/>
          <w:szCs w:val="22"/>
        </w:rPr>
        <w:t xml:space="preserve">A statistical scoring node monitors deviations instantly using a combination of localized reconstruction errors (or, for the fast backend, DMD one-step prediction error) and the Harmonic Mean of Euclidean Distance between each window's readings and a set of reference normal-operating-regime centroids. The harmonic mean is used deliberately rather than the arithmetic mean, since it is dominated by the smallest input distances — a window's distance score stays low only if it sits close to every relevant reference regime, making the term stricter and more regime-aware than a simple average would be. Both error components are z-normalized against normal-data baseline statistics before being combined, and the combined score is thresholded against a percentile of the normal validation split's own score distribution.</w:t>
      </w:r>
    </w:p>
    <w:p>
      <w:pPr>
        <w:pStyle w:val="Heading2"/>
        <w:spacing w:after="150" w:before="300"/>
      </w:pPr>
      <w:r>
        <w:t xml:space="preserve">3.5 SLA Instrumentation</w:t>
      </w:r>
    </w:p>
    <w:p>
      <w:pPr>
        <w:spacing w:after="200" w:line="360"/>
      </w:pPr>
      <w:r>
        <w:rPr>
          <w:rFonts w:ascii="Calibri" w:cs="Calibri" w:eastAsia="Calibri" w:hAnsi="Calibri"/>
          <w:sz w:val="22"/>
          <w:szCs w:val="22"/>
        </w:rPr>
        <w:t xml:space="preserve">A high-precision timer wraps exactly the span from a vector leaving the ingestion queue to its anomaly score being produced, per vector, excluding queue wait time. This isolates the scoring engine's own computational cost — the quantity the 20ms SLA is actually about — from ingestion-side queueing delay, which is a separate property of the ingestion/back-pressure system.</w:t>
      </w:r>
    </w:p>
    <w:p>
      <w:pPr>
        <w:pStyle w:val="Heading2"/>
        <w:spacing w:after="150" w:before="300"/>
      </w:pPr>
      <w:r>
        <w:t xml:space="preserve">3.6 Structural Elasticity and Stress Testing</w:t>
      </w:r>
    </w:p>
    <w:p>
      <w:pPr>
        <w:spacing w:after="200" w:line="360"/>
      </w:pPr>
      <w:r>
        <w:rPr>
          <w:rFonts w:ascii="Calibri" w:cs="Calibri" w:eastAsia="Calibri" w:hAnsi="Calibri"/>
          <w:sz w:val="22"/>
          <w:szCs w:val="22"/>
        </w:rPr>
        <w:t xml:space="preserve">To evaluate behaviour beyond steady-state throughput, the ingestion producer is additionally run in an unthrottled, drop-on-full mode against a deliberately small queue, simulating a sudden spike in sensor throughput exceeding the pipeline's buffering capacity. Drop rate, effective throughput, and tail latency under this condition are reported alongside steady-state figures, directly addressing the proposal's objective to test structural elasticity under sudden high-throughput scenarios.</w:t>
      </w:r>
    </w:p>
    <w:p>
      <w:pPr>
        <w:pStyle w:val="Heading2"/>
        <w:spacing w:after="150" w:before="300"/>
      </w:pPr>
      <w:r>
        <w:t xml:space="preserve">3.7 Project &amp; Risk Management</w:t>
      </w:r>
    </w:p>
    <w:p>
      <w:pPr>
        <w:spacing w:after="200" w:line="360"/>
      </w:pPr>
      <w:r>
        <w:rPr>
          <w:rFonts w:ascii="Calibri" w:cs="Calibri" w:eastAsia="Calibri" w:hAnsi="Calibri"/>
          <w:sz w:val="22"/>
          <w:szCs w:val="22"/>
        </w:rPr>
        <w:t xml:space="preserve">As a software-focused development project using standard computer equipment, immediate physical health and safety risks are classified as negligible; standard workplace ergonomics and regular rest breaks provide sufficient protection.</w:t>
      </w:r>
    </w:p>
    <w:p>
      <w:pPr>
        <w:spacing w:after="200" w:line="360"/>
      </w:pPr>
      <w:r>
        <w:rPr>
          <w:rFonts w:ascii="Calibri" w:cs="Calibri" w:eastAsia="Calibri" w:hAnsi="Calibri"/>
          <w:sz w:val="22"/>
          <w:szCs w:val="22"/>
        </w:rPr>
        <w:t xml:space="preserve">The core management risk identified in the proposal is potential timeline delay from balancing data-architecture development against machine-learning integration. This was mitigated by following the phased build order recommended at the project's outset: offline model development (data preparation, Autoencoder, fast backend, scoring node) was completed and validated before any streaming infrastructure was introduced, so that model correctness and pipeline correctness could be debugged independently rather than simultaneously.</w:t>
      </w:r>
    </w:p>
    <w:p>
      <w:pPr>
        <w:spacing w:after="200" w:line="360"/>
      </w:pPr>
      <w:r>
        <w:rPr>
          <w:rFonts w:ascii="Calibri" w:cs="Calibri" w:eastAsia="Calibri" w:hAnsi="Calibri"/>
          <w:sz w:val="22"/>
          <w:szCs w:val="22"/>
        </w:rPr>
        <w:t xml:space="preserve">Two technical risks were identified and directly addressed in the implemented architecture:</w:t>
      </w:r>
    </w:p>
    <w:p>
      <w:pPr>
        <w:pStyle w:val="ListParagraph"/>
        <w:numPr>
          <w:ilvl w:val="0"/>
          <w:numId w:val="1"/>
        </w:numPr>
        <w:spacing w:after="100"/>
      </w:pPr>
      <w:r>
        <w:rPr>
          <w:rFonts w:ascii="Calibri" w:cs="Calibri" w:eastAsia="Calibri" w:hAnsi="Calibri"/>
          <w:sz w:val="22"/>
          <w:szCs w:val="22"/>
        </w:rPr>
        <w:t xml:space="preserve">High latency overhead: PyTorch neural models can run slowly on standard consumer machines. This is mitigated in the implementation by benchmarking the Autoencoder directly against the closed-form fast backend (STL decomposition plus DMD, itself built on a single singular value decomposition), giving a concrete fallback path to the sub-20ms SLA if the deep model cannot meet it on available hardware.</w:t>
      </w:r>
    </w:p>
    <w:p>
      <w:pPr>
        <w:pStyle w:val="ListParagraph"/>
        <w:numPr>
          <w:ilvl w:val="0"/>
          <w:numId w:val="1"/>
        </w:numPr>
        <w:spacing w:after="100"/>
      </w:pPr>
      <w:r>
        <w:rPr>
          <w:rFonts w:ascii="Calibri" w:cs="Calibri" w:eastAsia="Calibri" w:hAnsi="Calibri"/>
          <w:sz w:val="22"/>
          <w:szCs w:val="22"/>
        </w:rPr>
        <w:t xml:space="preserve">Data sparsity / class imbalance: industrial datasets often contain very few true anomaly examples. This is mitigated by using unsupervised reconstruction-style modelling throughout — both the Autoencoder and the fast backend are fit exclusively on normal operational data, removing the need for dense anomaly training labels.</w:t>
      </w:r>
    </w:p>
    <w:p>
      <w:pPr>
        <w:spacing w:after="200"/>
      </w:pPr>
      <w:r>
        <w:rPr>
          <w:rFonts w:ascii="Calibri" w:cs="Calibri" w:eastAsia="Calibri" w:hAnsi="Calibri"/>
          <w:i/>
          <w:iCs/>
          <w:color w:val="9C3D0A"/>
          <w:sz w:val="22"/>
          <w:szCs w:val="22"/>
        </w:rPr>
        <w:t xml:space="preserve">[TODO — Insert the architecture diagram here (sensor window -&gt; Autoencoder / Fast backend branches -&gt; scoring node -&gt; anomaly decision) as a figure, referencing the structure described in Sections 3.3-3.4.]</w:t>
      </w:r>
    </w:p>
    <w:p>
      <w:r>
        <w:br w:type="page"/>
      </w:r>
    </w:p>
    <w:p>
      <w:pPr>
        <w:pStyle w:val="Heading1"/>
        <w:spacing w:after="200" w:before="400"/>
      </w:pPr>
      <w:r>
        <w:t xml:space="preserve">Chapter 4: Empirical Results</w:t>
      </w:r>
    </w:p>
    <w:p>
      <w:pPr>
        <w:spacing w:after="200" w:line="360"/>
      </w:pPr>
      <w:r>
        <w:rPr>
          <w:rFonts w:ascii="Calibri" w:cs="Calibri" w:eastAsia="Calibri" w:hAnsi="Calibri"/>
          <w:sz w:val="22"/>
          <w:szCs w:val="22"/>
        </w:rPr>
        <w:t xml:space="preserve">This chapter reports detection accuracy and latency for both backends. Populate the tables below directly from src/train_offline.py's metrics.json (accuracy) and src/benchmark.py's benchmark_report.json (latency, stress test) after running both scripts against the downloaded datasets.</w:t>
      </w:r>
    </w:p>
    <w:p>
      <w:pPr>
        <w:pStyle w:val="Heading2"/>
        <w:spacing w:after="150" w:before="300"/>
      </w:pPr>
      <w:r>
        <w:t xml:space="preserve">4.1 Detection Accuracy and Steady-State Latency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1300"/>
        <w:gridCol w:w="1300"/>
        <w:gridCol w:w="1500"/>
        <w:gridCol w:w="1500"/>
        <w:gridCol w:w="1400"/>
      </w:tblGrid>
      <w:tr>
        <w:tc>
          <w:tcPr>
            <w:tcW w:type="dxa" w:w="2000"/>
            <w:shd w:fill="1F3864" w:val="clear"/>
          </w:tcPr>
          <w:p>
            <w:r>
              <w:rPr>
                <w:rFonts w:ascii="Calibri" w:cs="Calibri" w:eastAsia="Calibri" w:hAnsi="Calibri"/>
                <w:b/>
                <w:bCs/>
                <w:color w:val="FFFFFF"/>
                <w:sz w:val="20"/>
                <w:szCs w:val="20"/>
              </w:rPr>
              <w:t xml:space="preserve">Backend</w:t>
            </w:r>
          </w:p>
        </w:tc>
        <w:tc>
          <w:tcPr>
            <w:tcW w:type="dxa" w:w="1300"/>
            <w:shd w:fill="1F3864" w:val="clear"/>
          </w:tcPr>
          <w:p>
            <w:r>
              <w:rPr>
                <w:rFonts w:ascii="Calibri" w:cs="Calibri" w:eastAsia="Calibri" w:hAnsi="Calibri"/>
                <w:b/>
                <w:bCs/>
                <w:color w:val="FFFFFF"/>
                <w:sz w:val="20"/>
                <w:szCs w:val="20"/>
              </w:rPr>
              <w:t xml:space="preserve">F1-Score</w:t>
            </w:r>
          </w:p>
        </w:tc>
        <w:tc>
          <w:tcPr>
            <w:tcW w:type="dxa" w:w="1300"/>
            <w:shd w:fill="1F3864" w:val="clear"/>
          </w:tcPr>
          <w:p>
            <w:r>
              <w:rPr>
                <w:rFonts w:ascii="Calibri" w:cs="Calibri" w:eastAsia="Calibri" w:hAnsi="Calibri"/>
                <w:b/>
                <w:bCs/>
                <w:color w:val="FFFFFF"/>
                <w:sz w:val="20"/>
                <w:szCs w:val="20"/>
              </w:rPr>
              <w:t xml:space="preserve">AUCROC</w:t>
            </w:r>
          </w:p>
        </w:tc>
        <w:tc>
          <w:tcPr>
            <w:tcW w:type="dxa" w:w="1500"/>
            <w:shd w:fill="1F3864" w:val="clear"/>
          </w:tcPr>
          <w:p>
            <w:r>
              <w:rPr>
                <w:rFonts w:ascii="Calibri" w:cs="Calibri" w:eastAsia="Calibri" w:hAnsi="Calibri"/>
                <w:b/>
                <w:bCs/>
                <w:color w:val="FFFFFF"/>
                <w:sz w:val="20"/>
                <w:szCs w:val="20"/>
              </w:rPr>
              <w:t xml:space="preserve">Mean latency (ms)</w:t>
            </w:r>
          </w:p>
        </w:tc>
        <w:tc>
          <w:tcPr>
            <w:tcW w:type="dxa" w:w="1500"/>
            <w:shd w:fill="1F3864" w:val="clear"/>
          </w:tcPr>
          <w:p>
            <w:r>
              <w:rPr>
                <w:rFonts w:ascii="Calibri" w:cs="Calibri" w:eastAsia="Calibri" w:hAnsi="Calibri"/>
                <w:b/>
                <w:bCs/>
                <w:color w:val="FFFFFF"/>
                <w:sz w:val="20"/>
                <w:szCs w:val="20"/>
              </w:rPr>
              <w:t xml:space="preserve">p99 latency (ms)</w:t>
            </w:r>
          </w:p>
        </w:tc>
        <w:tc>
          <w:tcPr>
            <w:tcW w:type="dxa" w:w="1400"/>
            <w:shd w:fill="1F3864" w:val="clear"/>
          </w:tcPr>
          <w:p>
            <w:r>
              <w:rPr>
                <w:rFonts w:ascii="Calibri" w:cs="Calibri" w:eastAsia="Calibri" w:hAnsi="Calibri"/>
                <w:b/>
                <w:bCs/>
                <w:color w:val="FFFFFF"/>
                <w:sz w:val="20"/>
                <w:szCs w:val="20"/>
              </w:rPr>
              <w:t xml:space="preserve">SLA violation %</w:t>
            </w:r>
          </w:p>
        </w:tc>
      </w:tr>
      <w:tr>
        <w:tc>
          <w:tcPr>
            <w:tcW w:type="dxa" w:w="2000"/>
          </w:tcPr>
          <w:p>
            <w:r>
              <w:rPr>
                <w:rFonts w:ascii="Calibri" w:cs="Calibri" w:eastAsia="Calibri" w:hAnsi="Calibri"/>
                <w:b w:val="false"/>
                <w:bCs w:val="false"/>
                <w:color w:val="000000"/>
                <w:sz w:val="20"/>
                <w:szCs w:val="20"/>
              </w:rPr>
              <w:t xml:space="preserve">Autoencoder (LSTM)</w:t>
            </w:r>
          </w:p>
        </w:tc>
        <w:tc>
          <w:tcPr>
            <w:tcW w:type="dxa" w:w="1300"/>
          </w:tcPr>
          <w:p>
            <w:r>
              <w:rPr>
                <w:rFonts w:ascii="Calibri" w:cs="Calibri" w:eastAsia="Calibri" w:hAnsi="Calibri"/>
                <w:b w:val="false"/>
                <w:bCs w:val="false"/>
                <w:color w:val="000000"/>
                <w:sz w:val="20"/>
                <w:szCs w:val="20"/>
              </w:rPr>
              <w:t xml:space="preserve">[from metrics.json]</w:t>
            </w:r>
          </w:p>
        </w:tc>
        <w:tc>
          <w:tcPr>
            <w:tcW w:type="dxa" w:w="1300"/>
          </w:tcPr>
          <w:p>
            <w:r>
              <w:rPr>
                <w:rFonts w:ascii="Calibri" w:cs="Calibri" w:eastAsia="Calibri" w:hAnsi="Calibri"/>
                <w:b w:val="false"/>
                <w:bCs w:val="false"/>
                <w:color w:val="000000"/>
                <w:sz w:val="20"/>
                <w:szCs w:val="20"/>
              </w:rPr>
              <w:t xml:space="preserve">[from metrics.json]</w:t>
            </w:r>
          </w:p>
        </w:tc>
        <w:tc>
          <w:tcPr>
            <w:tcW w:type="dxa" w:w="1500"/>
          </w:tcPr>
          <w:p>
            <w:r>
              <w:rPr>
                <w:rFonts w:ascii="Calibri" w:cs="Calibri" w:eastAsia="Calibri" w:hAnsi="Calibri"/>
                <w:b w:val="false"/>
                <w:bCs w:val="false"/>
                <w:color w:val="000000"/>
                <w:sz w:val="20"/>
                <w:szCs w:val="20"/>
              </w:rPr>
              <w:t xml:space="preserve">[from benchmark_report.json]</w:t>
            </w:r>
          </w:p>
        </w:tc>
        <w:tc>
          <w:tcPr>
            <w:tcW w:type="dxa" w:w="1500"/>
          </w:tcPr>
          <w:p>
            <w:r>
              <w:rPr>
                <w:rFonts w:ascii="Calibri" w:cs="Calibri" w:eastAsia="Calibri" w:hAnsi="Calibri"/>
                <w:b w:val="false"/>
                <w:bCs w:val="false"/>
                <w:color w:val="000000"/>
                <w:sz w:val="20"/>
                <w:szCs w:val="20"/>
              </w:rPr>
              <w:t xml:space="preserve">[from benchmark_report.json]</w:t>
            </w:r>
          </w:p>
        </w:tc>
        <w:tc>
          <w:tcPr>
            <w:tcW w:type="dxa" w:w="1400"/>
          </w:tcPr>
          <w:p>
            <w:r>
              <w:rPr>
                <w:rFonts w:ascii="Calibri" w:cs="Calibri" w:eastAsia="Calibri" w:hAnsi="Calibri"/>
                <w:b w:val="false"/>
                <w:bCs w:val="false"/>
                <w:color w:val="000000"/>
                <w:sz w:val="20"/>
                <w:szCs w:val="20"/>
              </w:rPr>
              <w:t xml:space="preserve">[from benchmark_report.json]</w:t>
            </w:r>
          </w:p>
        </w:tc>
      </w:tr>
      <w:tr>
        <w:tc>
          <w:tcPr>
            <w:tcW w:type="dxa" w:w="2000"/>
          </w:tcPr>
          <w:p>
            <w:r>
              <w:rPr>
                <w:rFonts w:ascii="Calibri" w:cs="Calibri" w:eastAsia="Calibri" w:hAnsi="Calibri"/>
                <w:b w:val="false"/>
                <w:bCs w:val="false"/>
                <w:color w:val="000000"/>
                <w:sz w:val="20"/>
                <w:szCs w:val="20"/>
              </w:rPr>
              <w:t xml:space="preserve">Fast backend (VersaGuardian-style STL+DMD)</w:t>
            </w:r>
          </w:p>
        </w:tc>
        <w:tc>
          <w:tcPr>
            <w:tcW w:type="dxa" w:w="1300"/>
          </w:tcPr>
          <w:p>
            <w:r>
              <w:rPr>
                <w:rFonts w:ascii="Calibri" w:cs="Calibri" w:eastAsia="Calibri" w:hAnsi="Calibri"/>
                <w:b w:val="false"/>
                <w:bCs w:val="false"/>
                <w:color w:val="000000"/>
                <w:sz w:val="20"/>
                <w:szCs w:val="20"/>
              </w:rPr>
              <w:t xml:space="preserve">[from metrics.json]</w:t>
            </w:r>
          </w:p>
        </w:tc>
        <w:tc>
          <w:tcPr>
            <w:tcW w:type="dxa" w:w="1300"/>
          </w:tcPr>
          <w:p>
            <w:r>
              <w:rPr>
                <w:rFonts w:ascii="Calibri" w:cs="Calibri" w:eastAsia="Calibri" w:hAnsi="Calibri"/>
                <w:b w:val="false"/>
                <w:bCs w:val="false"/>
                <w:color w:val="000000"/>
                <w:sz w:val="20"/>
                <w:szCs w:val="20"/>
              </w:rPr>
              <w:t xml:space="preserve">[from metrics.json]</w:t>
            </w:r>
          </w:p>
        </w:tc>
        <w:tc>
          <w:tcPr>
            <w:tcW w:type="dxa" w:w="1500"/>
          </w:tcPr>
          <w:p>
            <w:r>
              <w:rPr>
                <w:rFonts w:ascii="Calibri" w:cs="Calibri" w:eastAsia="Calibri" w:hAnsi="Calibri"/>
                <w:b w:val="false"/>
                <w:bCs w:val="false"/>
                <w:color w:val="000000"/>
                <w:sz w:val="20"/>
                <w:szCs w:val="20"/>
              </w:rPr>
              <w:t xml:space="preserve">[from benchmark_report.json]</w:t>
            </w:r>
          </w:p>
        </w:tc>
        <w:tc>
          <w:tcPr>
            <w:tcW w:type="dxa" w:w="1500"/>
          </w:tcPr>
          <w:p>
            <w:r>
              <w:rPr>
                <w:rFonts w:ascii="Calibri" w:cs="Calibri" w:eastAsia="Calibri" w:hAnsi="Calibri"/>
                <w:b w:val="false"/>
                <w:bCs w:val="false"/>
                <w:color w:val="000000"/>
                <w:sz w:val="20"/>
                <w:szCs w:val="20"/>
              </w:rPr>
              <w:t xml:space="preserve">[from benchmark_report.json]</w:t>
            </w:r>
          </w:p>
        </w:tc>
        <w:tc>
          <w:tcPr>
            <w:tcW w:type="dxa" w:w="1400"/>
          </w:tcPr>
          <w:p>
            <w:r>
              <w:rPr>
                <w:rFonts w:ascii="Calibri" w:cs="Calibri" w:eastAsia="Calibri" w:hAnsi="Calibri"/>
                <w:b w:val="false"/>
                <w:bCs w:val="false"/>
                <w:color w:val="000000"/>
                <w:sz w:val="20"/>
                <w:szCs w:val="20"/>
              </w:rPr>
              <w:t xml:space="preserve">[from benchmark_report.json]</w:t>
            </w:r>
          </w:p>
        </w:tc>
      </w:tr>
    </w:tbl>
    <w:p>
      <w:pPr>
        <w:spacing w:after="200"/>
      </w:pPr>
    </w:p>
    <w:p>
      <w:pPr>
        <w:spacing w:after="200"/>
      </w:pPr>
      <w:r>
        <w:rPr>
          <w:rFonts w:ascii="Calibri" w:cs="Calibri" w:eastAsia="Calibri" w:hAnsi="Calibri"/>
          <w:i/>
          <w:iCs/>
          <w:color w:val="9C3D0A"/>
          <w:sz w:val="22"/>
          <w:szCs w:val="22"/>
        </w:rPr>
        <w:t xml:space="preserve">[TODO — Add a chart comparing F1 and AUCROC across backends and datasets (NASA vs SWaT), and a latency distribution plot per backend using the per-window data in scores.csv.]</w:t>
      </w:r>
    </w:p>
    <w:p>
      <w:pPr>
        <w:pStyle w:val="Heading2"/>
        <w:spacing w:after="150" w:before="300"/>
      </w:pPr>
      <w:r>
        <w:t xml:space="preserve">4.2 Stress / Elasticity Test Results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600"/>
        <w:gridCol w:w="1900"/>
        <w:gridCol w:w="1700"/>
      </w:tblGrid>
      <w:tr>
        <w:tc>
          <w:tcPr>
            <w:tcW w:type="dxa" w:w="2000"/>
            <w:shd w:fill="1F3864" w:val="clear"/>
          </w:tcPr>
          <w:p>
            <w:r>
              <w:rPr>
                <w:rFonts w:ascii="Calibri" w:cs="Calibri" w:eastAsia="Calibri" w:hAnsi="Calibri"/>
                <w:b/>
                <w:bCs/>
                <w:color w:val="FFFFFF"/>
                <w:sz w:val="20"/>
                <w:szCs w:val="20"/>
              </w:rPr>
              <w:t xml:space="preserve">Backend</w:t>
            </w:r>
          </w:p>
        </w:tc>
        <w:tc>
          <w:tcPr>
            <w:tcW w:type="dxa" w:w="1800"/>
            <w:shd w:fill="1F3864" w:val="clear"/>
          </w:tcPr>
          <w:p>
            <w:r>
              <w:rPr>
                <w:rFonts w:ascii="Calibri" w:cs="Calibri" w:eastAsia="Calibri" w:hAnsi="Calibri"/>
                <w:b/>
                <w:bCs/>
                <w:color w:val="FFFFFF"/>
                <w:sz w:val="20"/>
                <w:szCs w:val="20"/>
              </w:rPr>
              <w:t xml:space="preserve">Effective throughput (vec/s)</w:t>
            </w:r>
          </w:p>
        </w:tc>
        <w:tc>
          <w:tcPr>
            <w:tcW w:type="dxa" w:w="1600"/>
            <w:shd w:fill="1F3864" w:val="clear"/>
          </w:tcPr>
          <w:p>
            <w:r>
              <w:rPr>
                <w:rFonts w:ascii="Calibri" w:cs="Calibri" w:eastAsia="Calibri" w:hAnsi="Calibri"/>
                <w:b/>
                <w:bCs/>
                <w:color w:val="FFFFFF"/>
                <w:sz w:val="20"/>
                <w:szCs w:val="20"/>
              </w:rPr>
              <w:t xml:space="preserve">Drop rate (%)</w:t>
            </w:r>
          </w:p>
        </w:tc>
        <w:tc>
          <w:tcPr>
            <w:tcW w:type="dxa" w:w="1900"/>
            <w:shd w:fill="1F3864" w:val="clear"/>
          </w:tcPr>
          <w:p>
            <w:r>
              <w:rPr>
                <w:rFonts w:ascii="Calibri" w:cs="Calibri" w:eastAsia="Calibri" w:hAnsi="Calibri"/>
                <w:b/>
                <w:bCs/>
                <w:color w:val="FFFFFF"/>
                <w:sz w:val="20"/>
                <w:szCs w:val="20"/>
              </w:rPr>
              <w:t xml:space="preserve">Queue high watermark</w:t>
            </w:r>
          </w:p>
        </w:tc>
        <w:tc>
          <w:tcPr>
            <w:tcW w:type="dxa" w:w="1700"/>
            <w:shd w:fill="1F3864" w:val="clear"/>
          </w:tcPr>
          <w:p>
            <w:r>
              <w:rPr>
                <w:rFonts w:ascii="Calibri" w:cs="Calibri" w:eastAsia="Calibri" w:hAnsi="Calibri"/>
                <w:b/>
                <w:bCs/>
                <w:color w:val="FFFFFF"/>
                <w:sz w:val="20"/>
                <w:szCs w:val="20"/>
              </w:rPr>
              <w:t xml:space="preserve">p99 latency (ms)</w:t>
            </w:r>
          </w:p>
        </w:tc>
      </w:tr>
      <w:tr>
        <w:tc>
          <w:tcPr>
            <w:tcW w:type="dxa" w:w="2000"/>
          </w:tcPr>
          <w:p>
            <w:r>
              <w:rPr>
                <w:rFonts w:ascii="Calibri" w:cs="Calibri" w:eastAsia="Calibri" w:hAnsi="Calibri"/>
                <w:b w:val="false"/>
                <w:bCs w:val="false"/>
                <w:color w:val="000000"/>
                <w:sz w:val="20"/>
                <w:szCs w:val="20"/>
              </w:rPr>
              <w:t xml:space="preserve">Autoencoder (LSTM)</w:t>
            </w:r>
          </w:p>
        </w:tc>
        <w:tc>
          <w:tcPr>
            <w:tcW w:type="dxa" w:w="1800"/>
          </w:tcPr>
          <w:p>
            <w:r>
              <w:rPr>
                <w:rFonts w:ascii="Calibri" w:cs="Calibri" w:eastAsia="Calibri" w:hAnsi="Calibri"/>
                <w:b w:val="false"/>
                <w:bCs w:val="false"/>
                <w:color w:val="000000"/>
                <w:sz w:val="20"/>
                <w:szCs w:val="20"/>
              </w:rPr>
              <w:t xml:space="preserve">[from benchmark_report.json]</w:t>
            </w:r>
          </w:p>
        </w:tc>
        <w:tc>
          <w:tcPr>
            <w:tcW w:type="dxa" w:w="1600"/>
          </w:tcPr>
          <w:p>
            <w:r>
              <w:rPr>
                <w:rFonts w:ascii="Calibri" w:cs="Calibri" w:eastAsia="Calibri" w:hAnsi="Calibri"/>
                <w:b w:val="false"/>
                <w:bCs w:val="false"/>
                <w:color w:val="000000"/>
                <w:sz w:val="20"/>
                <w:szCs w:val="20"/>
              </w:rPr>
              <w:t xml:space="preserve">[from benchmark_report.json]</w:t>
            </w:r>
          </w:p>
        </w:tc>
        <w:tc>
          <w:tcPr>
            <w:tcW w:type="dxa" w:w="1900"/>
          </w:tcPr>
          <w:p>
            <w:r>
              <w:rPr>
                <w:rFonts w:ascii="Calibri" w:cs="Calibri" w:eastAsia="Calibri" w:hAnsi="Calibri"/>
                <w:b w:val="false"/>
                <w:bCs w:val="false"/>
                <w:color w:val="000000"/>
                <w:sz w:val="20"/>
                <w:szCs w:val="20"/>
              </w:rPr>
              <w:t xml:space="preserve">[from benchmark_report.json]</w:t>
            </w:r>
          </w:p>
        </w:tc>
        <w:tc>
          <w:tcPr>
            <w:tcW w:type="dxa" w:w="1700"/>
          </w:tcPr>
          <w:p>
            <w:r>
              <w:rPr>
                <w:rFonts w:ascii="Calibri" w:cs="Calibri" w:eastAsia="Calibri" w:hAnsi="Calibri"/>
                <w:b w:val="false"/>
                <w:bCs w:val="false"/>
                <w:color w:val="000000"/>
                <w:sz w:val="20"/>
                <w:szCs w:val="20"/>
              </w:rPr>
              <w:t xml:space="preserve">[from benchmark_report.json]</w:t>
            </w:r>
          </w:p>
        </w:tc>
      </w:tr>
      <w:tr>
        <w:tc>
          <w:tcPr>
            <w:tcW w:type="dxa" w:w="2000"/>
          </w:tcPr>
          <w:p>
            <w:r>
              <w:rPr>
                <w:rFonts w:ascii="Calibri" w:cs="Calibri" w:eastAsia="Calibri" w:hAnsi="Calibri"/>
                <w:b w:val="false"/>
                <w:bCs w:val="false"/>
                <w:color w:val="000000"/>
                <w:sz w:val="20"/>
                <w:szCs w:val="20"/>
              </w:rPr>
              <w:t xml:space="preserve">Fast backend (VersaGuardian-style STL+DMD)</w:t>
            </w:r>
          </w:p>
        </w:tc>
        <w:tc>
          <w:tcPr>
            <w:tcW w:type="dxa" w:w="1800"/>
          </w:tcPr>
          <w:p>
            <w:r>
              <w:rPr>
                <w:rFonts w:ascii="Calibri" w:cs="Calibri" w:eastAsia="Calibri" w:hAnsi="Calibri"/>
                <w:b w:val="false"/>
                <w:bCs w:val="false"/>
                <w:color w:val="000000"/>
                <w:sz w:val="20"/>
                <w:szCs w:val="20"/>
              </w:rPr>
              <w:t xml:space="preserve">[from benchmark_report.json]</w:t>
            </w:r>
          </w:p>
        </w:tc>
        <w:tc>
          <w:tcPr>
            <w:tcW w:type="dxa" w:w="1600"/>
          </w:tcPr>
          <w:p>
            <w:r>
              <w:rPr>
                <w:rFonts w:ascii="Calibri" w:cs="Calibri" w:eastAsia="Calibri" w:hAnsi="Calibri"/>
                <w:b w:val="false"/>
                <w:bCs w:val="false"/>
                <w:color w:val="000000"/>
                <w:sz w:val="20"/>
                <w:szCs w:val="20"/>
              </w:rPr>
              <w:t xml:space="preserve">[from benchmark_report.json]</w:t>
            </w:r>
          </w:p>
        </w:tc>
        <w:tc>
          <w:tcPr>
            <w:tcW w:type="dxa" w:w="1900"/>
          </w:tcPr>
          <w:p>
            <w:r>
              <w:rPr>
                <w:rFonts w:ascii="Calibri" w:cs="Calibri" w:eastAsia="Calibri" w:hAnsi="Calibri"/>
                <w:b w:val="false"/>
                <w:bCs w:val="false"/>
                <w:color w:val="000000"/>
                <w:sz w:val="20"/>
                <w:szCs w:val="20"/>
              </w:rPr>
              <w:t xml:space="preserve">[from benchmark_report.json]</w:t>
            </w:r>
          </w:p>
        </w:tc>
        <w:tc>
          <w:tcPr>
            <w:tcW w:type="dxa" w:w="1700"/>
          </w:tcPr>
          <w:p>
            <w:r>
              <w:rPr>
                <w:rFonts w:ascii="Calibri" w:cs="Calibri" w:eastAsia="Calibri" w:hAnsi="Calibri"/>
                <w:b w:val="false"/>
                <w:bCs w:val="false"/>
                <w:color w:val="000000"/>
                <w:sz w:val="20"/>
                <w:szCs w:val="20"/>
              </w:rPr>
              <w:t xml:space="preserve">[from benchmark_report.json]</w:t>
            </w:r>
          </w:p>
        </w:tc>
      </w:tr>
    </w:tbl>
    <w:p>
      <w:pPr>
        <w:spacing w:after="200"/>
      </w:pPr>
    </w:p>
    <w:p>
      <w:pPr>
        <w:spacing w:after="200"/>
      </w:pPr>
      <w:r>
        <w:rPr>
          <w:rFonts w:ascii="Calibri" w:cs="Calibri" w:eastAsia="Calibri" w:hAnsi="Calibri"/>
          <w:i/>
          <w:iCs/>
          <w:color w:val="9C3D0A"/>
          <w:sz w:val="22"/>
          <w:szCs w:val="22"/>
        </w:rPr>
        <w:t xml:space="preserve">[TODO — Discuss which backend degrades more gracefully under the throughput spike, and whether the fast backend's lower per-vector compute translates into a meaningfully lower drop rate at the same queue size and burst rate.]</w:t>
      </w:r>
    </w:p>
    <w:p>
      <w:pPr>
        <w:pStyle w:val="Heading2"/>
        <w:spacing w:after="150" w:before="300"/>
      </w:pPr>
      <w:r>
        <w:t xml:space="preserve">4.3 SLA Compliance Discussion</w:t>
      </w:r>
    </w:p>
    <w:p>
      <w:pPr>
        <w:spacing w:after="200"/>
      </w:pPr>
      <w:r>
        <w:rPr>
          <w:rFonts w:ascii="Calibri" w:cs="Calibri" w:eastAsia="Calibri" w:hAnsi="Calibri"/>
          <w:i/>
          <w:iCs/>
          <w:color w:val="9C3D0A"/>
          <w:sz w:val="22"/>
          <w:szCs w:val="22"/>
        </w:rPr>
        <w:t xml:space="preserve">[TODO — State explicitly, per backend and per dataset, what fraction of vectors violated the 20ms SLA at steady state, and whether this changes under the stress-test burst condition.]</w:t>
      </w:r>
    </w:p>
    <w:p>
      <w:pPr>
        <w:pStyle w:val="Heading2"/>
        <w:spacing w:after="150" w:before="300"/>
      </w:pPr>
      <w:r>
        <w:t xml:space="preserve">4.4 Accuracy/Latency Trade-off Discussion</w:t>
      </w:r>
    </w:p>
    <w:p>
      <w:pPr>
        <w:spacing w:after="200"/>
      </w:pPr>
      <w:r>
        <w:rPr>
          <w:rFonts w:ascii="Calibri" w:cs="Calibri" w:eastAsia="Calibri" w:hAnsi="Calibri"/>
          <w:i/>
          <w:iCs/>
          <w:color w:val="9C3D0A"/>
          <w:sz w:val="22"/>
          <w:szCs w:val="22"/>
        </w:rPr>
        <w:t xml:space="preserve">[TODO — Directly address the aim from Chapter 1: does the fast (VersaGuardian-style) backend sacrifice meaningful detection accuracy for its latency advantage, or does it stay competitive with the Autoencoder? Compare your measured latency against the ~15.28ms figure reported for VersaGuardian in the literature (once properly cited — see Chapter 2 TODO).]</w:t>
      </w:r>
    </w:p>
    <w:p>
      <w:r>
        <w:br w:type="page"/>
      </w:r>
    </w:p>
    <w:p>
      <w:pPr>
        <w:pStyle w:val="Heading1"/>
        <w:spacing w:after="200" w:before="400"/>
      </w:pPr>
      <w:r>
        <w:t xml:space="preserve">Chapter 5: Conclusion &amp; Future Work</w:t>
      </w:r>
    </w:p>
    <w:p>
      <w:pPr>
        <w:pStyle w:val="Heading2"/>
        <w:spacing w:after="150" w:before="300"/>
      </w:pPr>
      <w:r>
        <w:t xml:space="preserve">5.1 Summary of Findings</w:t>
      </w:r>
    </w:p>
    <w:p>
      <w:pPr>
        <w:spacing w:after="200"/>
      </w:pPr>
      <w:r>
        <w:rPr>
          <w:rFonts w:ascii="Calibri" w:cs="Calibri" w:eastAsia="Calibri" w:hAnsi="Calibri"/>
          <w:i/>
          <w:iCs/>
          <w:color w:val="9C3D0A"/>
          <w:sz w:val="22"/>
          <w:szCs w:val="22"/>
        </w:rPr>
        <w:t xml:space="preserve">[TODO — Summarize, in 2-3 sentences per dataset, the headline trade-off finding from Chapter 4.]</w:t>
      </w:r>
    </w:p>
    <w:p>
      <w:pPr>
        <w:pStyle w:val="Heading2"/>
        <w:spacing w:after="150" w:before="300"/>
      </w:pPr>
      <w:r>
        <w:t xml:space="preserve">5.2 Limitations</w:t>
      </w:r>
    </w:p>
    <w:p>
      <w:pPr>
        <w:pStyle w:val="ListParagraph"/>
        <w:numPr>
          <w:ilvl w:val="0"/>
          <w:numId w:val="1"/>
        </w:numPr>
        <w:spacing w:after="100"/>
      </w:pPr>
      <w:r>
        <w:rPr>
          <w:rFonts w:ascii="Calibri" w:cs="Calibri" w:eastAsia="Calibri" w:hAnsi="Calibri"/>
          <w:sz w:val="22"/>
          <w:szCs w:val="22"/>
        </w:rPr>
        <w:t xml:space="preserve">Anomaly labels for NASA C-MAPSS are derived heuristically (final N cycles before failure), rather than being natively point-labeled anomalies as in SWaT — this labeling policy choice affects reported F1 and should be discussed as a limitation, not a finding.</w:t>
      </w:r>
    </w:p>
    <w:p>
      <w:pPr>
        <w:pStyle w:val="ListParagraph"/>
        <w:numPr>
          <w:ilvl w:val="0"/>
          <w:numId w:val="1"/>
        </w:numPr>
        <w:spacing w:after="100"/>
      </w:pPr>
      <w:r>
        <w:rPr>
          <w:rFonts w:ascii="Calibri" w:cs="Calibri" w:eastAsia="Calibri" w:hAnsi="Calibri"/>
          <w:sz w:val="22"/>
          <w:szCs w:val="22"/>
        </w:rPr>
        <w:t xml:space="preserve">The streaming architecture is a single-machine, multi-threaded simulation rather than a distributed deployment; absolute latency figures may not transfer directly to a production IIoT deployment without re-benchmarking on target hardware.</w:t>
      </w:r>
    </w:p>
    <w:p>
      <w:pPr>
        <w:pStyle w:val="ListParagraph"/>
        <w:numPr>
          <w:ilvl w:val="0"/>
          <w:numId w:val="1"/>
        </w:numPr>
        <w:spacing w:after="100"/>
      </w:pPr>
      <w:r>
        <w:rPr>
          <w:rFonts w:ascii="Calibri" w:cs="Calibri" w:eastAsia="Calibri" w:hAnsi="Calibri"/>
          <w:sz w:val="22"/>
          <w:szCs w:val="22"/>
        </w:rPr>
        <w:t xml:space="preserve">The VersaGuardian-inspired fast backend implemented here is a good-faith reconstruction of the approach described in the proposal's background research (STL + DMD); it has not been validated against an official VersaGuardian reference implementation, since none was available for this project.</w:t>
      </w:r>
    </w:p>
    <w:p>
      <w:pPr>
        <w:pStyle w:val="Heading2"/>
        <w:spacing w:after="150" w:before="300"/>
      </w:pPr>
      <w:r>
        <w:t xml:space="preserve">5.3 Future Work</w:t>
      </w:r>
    </w:p>
    <w:p>
      <w:pPr>
        <w:pStyle w:val="ListParagraph"/>
        <w:numPr>
          <w:ilvl w:val="0"/>
          <w:numId w:val="1"/>
        </w:numPr>
        <w:spacing w:after="100"/>
      </w:pPr>
      <w:r>
        <w:rPr>
          <w:rFonts w:ascii="Calibri" w:cs="Calibri" w:eastAsia="Calibri" w:hAnsi="Calibri"/>
          <w:sz w:val="22"/>
          <w:szCs w:val="22"/>
        </w:rPr>
        <w:t xml:space="preserve">Extend the scoring node with an adaptive weighting between the reconstruction/prediction error and distance components, learned rather than fixed.</w:t>
      </w:r>
    </w:p>
    <w:p>
      <w:pPr>
        <w:pStyle w:val="ListParagraph"/>
        <w:numPr>
          <w:ilvl w:val="0"/>
          <w:numId w:val="1"/>
        </w:numPr>
        <w:spacing w:after="100"/>
      </w:pPr>
      <w:r>
        <w:rPr>
          <w:rFonts w:ascii="Calibri" w:cs="Calibri" w:eastAsia="Calibri" w:hAnsi="Calibri"/>
          <w:sz w:val="22"/>
          <w:szCs w:val="22"/>
        </w:rPr>
        <w:t xml:space="preserve">Evaluate a distributed ingestion layer (e.g. Kafka) to validate whether the latency findings generalize beyond a single-machine multi-threaded simulation.</w:t>
      </w:r>
    </w:p>
    <w:p>
      <w:pPr>
        <w:pStyle w:val="ListParagraph"/>
        <w:numPr>
          <w:ilvl w:val="0"/>
          <w:numId w:val="1"/>
        </w:numPr>
        <w:spacing w:after="100"/>
      </w:pPr>
      <w:r>
        <w:rPr>
          <w:rFonts w:ascii="Calibri" w:cs="Calibri" w:eastAsia="Calibri" w:hAnsi="Calibri"/>
          <w:sz w:val="22"/>
          <w:szCs w:val="22"/>
        </w:rPr>
        <w:t xml:space="preserve">Investigate ensembling both backends' scores rather than treating them as a strict either/or choice, if the accuracy/latency trade-off allows a hybrid mode within the SLA budget.</w:t>
      </w:r>
    </w:p>
    <w:p>
      <w:r>
        <w:br w:type="page"/>
      </w:r>
    </w:p>
    <w:p>
      <w:pPr>
        <w:pStyle w:val="Heading1"/>
        <w:spacing w:after="200" w:before="400"/>
      </w:pPr>
      <w:r>
        <w:t xml:space="preserve">References</w:t>
      </w:r>
    </w:p>
    <w:p>
      <w:pPr>
        <w:spacing w:after="150" w:line="300"/>
        <w:ind w:left="360" w:hanging="360"/>
      </w:pPr>
      <w:r>
        <w:rPr>
          <w:rFonts w:ascii="Calibri" w:cs="Calibri" w:eastAsia="Calibri" w:hAnsi="Calibri"/>
          <w:sz w:val="22"/>
          <w:szCs w:val="22"/>
        </w:rPr>
        <w:t xml:space="preserve">[1] L. Tao, M. Ma, S. Zhang, and D. Pei, "Real-Time Anomaly Detection for Large-Scale Network Devices," IEEE Transactions on Networking, vol. 33, no. 3, pp. 1326-1337, Jun. 2025.</w:t>
      </w:r>
    </w:p>
    <w:p>
      <w:pPr>
        <w:spacing w:after="150" w:line="300"/>
        <w:ind w:left="360" w:hanging="360"/>
      </w:pPr>
      <w:r>
        <w:rPr>
          <w:rFonts w:ascii="Calibri" w:cs="Calibri" w:eastAsia="Calibri" w:hAnsi="Calibri"/>
          <w:sz w:val="22"/>
          <w:szCs w:val="22"/>
        </w:rPr>
        <w:t xml:space="preserve">[2] T. P. Exarchos, et al., "Anomaly Detection in Industrial Plants using Neural Network Architectures," IEEE Transactions on Industrial Informatics, vol. 17, no. 8, pp. 5432-5441, Aug. 2021.</w:t>
      </w:r>
    </w:p>
    <w:p>
      <w:pPr>
        <w:spacing w:after="150" w:line="300"/>
        <w:ind w:left="360" w:hanging="360"/>
      </w:pPr>
      <w:r>
        <w:rPr>
          <w:rFonts w:ascii="Calibri" w:cs="Calibri" w:eastAsia="Calibri" w:hAnsi="Calibri"/>
          <w:sz w:val="22"/>
          <w:szCs w:val="22"/>
        </w:rPr>
        <w:t xml:space="preserve">[3] P. Malhotra, L. Vig, G. Shroff, and P. Agarwal, "Long Short-Term Memory Networks for Anomaly Detection in Time Series," in Proceedings of the European Symposium on Artificial Neural Networks (ESANN), 2015, pp. 89-94.</w:t>
      </w:r>
    </w:p>
    <w:p>
      <w:pPr>
        <w:spacing w:after="150" w:line="300"/>
        <w:ind w:left="360" w:hanging="360"/>
      </w:pPr>
      <w:r>
        <w:rPr>
          <w:rFonts w:ascii="Calibri" w:cs="Calibri" w:eastAsia="Calibri" w:hAnsi="Calibri"/>
          <w:sz w:val="22"/>
          <w:szCs w:val="22"/>
        </w:rPr>
        <w:t xml:space="preserve">[4] J. S. Richman and J. R. Moorman, "Physiological time-series analysis using approximate entropy and sample entropy," American Journal of Physiology-Heart and Circulatory Physiology, vol. 278, no. 6, pp. H2039-H2049, Jun. 2000.</w:t>
      </w:r>
    </w:p>
    <w:p>
      <w:pPr>
        <w:spacing w:after="150" w:line="300"/>
        <w:ind w:left="360" w:hanging="360"/>
      </w:pPr>
      <w:r>
        <w:rPr>
          <w:rFonts w:ascii="Calibri" w:cs="Calibri" w:eastAsia="Calibri" w:hAnsi="Calibri"/>
          <w:sz w:val="22"/>
          <w:szCs w:val="22"/>
        </w:rPr>
        <w:t xml:space="preserve">[5] A. Saxena, K. Goebel, D. Simon, and N. Eklund, "Damage propagation modeling for aircraft engine run-to-failure simulation," in Proceedings of the 1st International Conference on Prognostics and Health Management (PHM), 2008, pp. 1-9.</w:t>
      </w:r>
    </w:p>
    <w:p>
      <w:pPr>
        <w:spacing w:after="200"/>
      </w:pPr>
    </w:p>
    <w:p>
      <w:pPr>
        <w:spacing w:after="200"/>
      </w:pPr>
      <w:r>
        <w:rPr>
          <w:rFonts w:ascii="Calibri" w:cs="Calibri" w:eastAsia="Calibri" w:hAnsi="Calibri"/>
          <w:i/>
          <w:iCs/>
          <w:color w:val="9C3D0A"/>
          <w:sz w:val="22"/>
          <w:szCs w:val="22"/>
        </w:rPr>
        <w:t xml:space="preserve">[TODO — Add a [6] reference for the VersaGuardian model once located (see Chapter 2 TODO), and consider adding references for STL decomposition (Cleveland et al.) and DMD (Schmid, or Kutz et al.'s DMD textbook) if you cite the mathematical background directly in Chapter 3.]</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2026-07-01T14:25:35.921Z</dcterms:created>
  <dcterms:modified xsi:type="dcterms:W3CDTF">2026-07-01T14:25:35.921Z</dcterms:modified>
</cp:coreProperties>
</file>

<file path=docProps/custom.xml><?xml version="1.0" encoding="utf-8"?>
<Properties xmlns="http://schemas.openxmlformats.org/officeDocument/2006/custom-properties" xmlns:vt="http://schemas.openxmlformats.org/officeDocument/2006/docPropsVTypes"/>
</file>