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9B597">
      <w:pPr>
        <w:spacing w:before="40" w:after="40"/>
      </w:pPr>
    </w:p>
    <w:p w14:paraId="70A222F2">
      <w:pPr>
        <w:spacing w:before="40" w:after="40"/>
      </w:pPr>
    </w:p>
    <w:p w14:paraId="1644E1B6">
      <w:pPr>
        <w:spacing w:before="40" w:after="40"/>
      </w:pPr>
    </w:p>
    <w:p w14:paraId="658FB442">
      <w:pPr>
        <w:spacing w:before="40" w:after="40"/>
      </w:pPr>
    </w:p>
    <w:p w14:paraId="395D47E2">
      <w:pPr>
        <w:spacing w:before="0" w:after="120"/>
        <w:jc w:val="center"/>
      </w:pPr>
      <w:r>
        <w:rPr>
          <w:rFonts w:ascii="Calibri" w:hAnsi="Calibri" w:eastAsia="Calibri" w:cs="Calibri"/>
          <w:b/>
          <w:bCs/>
          <w:color w:val="1B3A6B"/>
          <w:sz w:val="36"/>
          <w:szCs w:val="36"/>
        </w:rPr>
        <w:t>RPA BUSINESS CASE</w:t>
      </w:r>
    </w:p>
    <w:p w14:paraId="662E9E37">
      <w:pPr>
        <w:spacing w:before="0" w:after="80"/>
        <w:jc w:val="center"/>
      </w:pPr>
      <w:r>
        <w:rPr>
          <w:rFonts w:ascii="Calibri" w:hAnsi="Calibri" w:eastAsia="Calibri" w:cs="Calibri"/>
          <w:b/>
          <w:bCs/>
          <w:color w:val="2E5B9A"/>
          <w:sz w:val="26"/>
          <w:szCs w:val="26"/>
        </w:rPr>
        <w:t>Customs Documentation Completeness Check Automation</w:t>
      </w:r>
    </w:p>
    <w:p w14:paraId="54A1EA7E">
      <w:pPr>
        <w:spacing w:before="0" w:after="240"/>
        <w:jc w:val="center"/>
      </w:pPr>
      <w:r>
        <w:rPr>
          <w:rFonts w:ascii="Calibri" w:hAnsi="Calibri" w:eastAsia="Calibri" w:cs="Calibri"/>
          <w:i/>
          <w:iCs/>
          <w:color w:val="555555"/>
          <w:sz w:val="20"/>
          <w:szCs w:val="20"/>
        </w:rPr>
        <w:t>Automation Anywhere RPA Implementation Proposal</w:t>
      </w:r>
    </w:p>
    <w:p w14:paraId="1532E796">
      <w:pPr>
        <w:pBdr>
          <w:bottom w:val="single" w:color="1B3A6B" w:sz="12" w:space="0"/>
        </w:pBdr>
        <w:spacing w:before="0" w:after="240"/>
      </w:pPr>
    </w:p>
    <w:p w14:paraId="4D032D84">
      <w:pPr>
        <w:spacing w:before="40" w:after="40"/>
      </w:pPr>
    </w:p>
    <w:p w14:paraId="7D313E71">
      <w:pPr>
        <w:spacing w:before="40" w:after="40"/>
      </w:pPr>
    </w:p>
    <w:tbl>
      <w:tblPr>
        <w:tblStyle w:val="9"/>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560"/>
      </w:tblGrid>
      <w:tr w14:paraId="4DEF1C57">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092DA81">
            <w:r>
              <w:rPr>
                <w:rFonts w:ascii="Calibri" w:hAnsi="Calibri" w:eastAsia="Calibri" w:cs="Calibri"/>
                <w:sz w:val="17"/>
                <w:szCs w:val="17"/>
              </w:rPr>
              <w:t>Document Title</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8676867">
            <w:r>
              <w:rPr>
                <w:rFonts w:ascii="Calibri" w:hAnsi="Calibri" w:eastAsia="Calibri" w:cs="Calibri"/>
                <w:sz w:val="17"/>
                <w:szCs w:val="17"/>
              </w:rPr>
              <w:t>RPA Business Case, Customs Documentation Completeness Check Automation</w:t>
            </w:r>
          </w:p>
        </w:tc>
      </w:tr>
      <w:tr w14:paraId="3D4543E4">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AA6BA3">
            <w:r>
              <w:rPr>
                <w:rFonts w:ascii="Calibri" w:hAnsi="Calibri" w:eastAsia="Calibri" w:cs="Calibri"/>
                <w:sz w:val="17"/>
                <w:szCs w:val="17"/>
              </w:rPr>
              <w:t>Version</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AAB97A">
            <w:r>
              <w:rPr>
                <w:rFonts w:ascii="Calibri" w:hAnsi="Calibri" w:eastAsia="Calibri" w:cs="Calibri"/>
                <w:sz w:val="17"/>
                <w:szCs w:val="17"/>
              </w:rPr>
              <w:t>1.0</w:t>
            </w:r>
          </w:p>
        </w:tc>
      </w:tr>
      <w:tr w14:paraId="020709C6">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2BAC517">
            <w:r>
              <w:rPr>
                <w:rFonts w:ascii="Calibri" w:hAnsi="Calibri" w:eastAsia="Calibri" w:cs="Calibri"/>
                <w:sz w:val="17"/>
                <w:szCs w:val="17"/>
              </w:rPr>
              <w:t>Status</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1A0B15">
            <w:r>
              <w:rPr>
                <w:rFonts w:ascii="Calibri" w:hAnsi="Calibri" w:eastAsia="Calibri" w:cs="Calibri"/>
                <w:sz w:val="17"/>
                <w:szCs w:val="17"/>
              </w:rPr>
              <w:t>Final</w:t>
            </w:r>
          </w:p>
        </w:tc>
      </w:tr>
      <w:tr w14:paraId="751E1E8D">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903241">
            <w:r>
              <w:rPr>
                <w:rFonts w:ascii="Calibri" w:hAnsi="Calibri" w:eastAsia="Calibri" w:cs="Calibri"/>
                <w:sz w:val="17"/>
                <w:szCs w:val="17"/>
              </w:rPr>
              <w:t>Prepared By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9024B9">
            <w:r>
              <w:rPr>
                <w:rFonts w:ascii="Calibri" w:hAnsi="Calibri" w:eastAsia="Calibri" w:cs="Calibri"/>
                <w:sz w:val="17"/>
                <w:szCs w:val="17"/>
              </w:rPr>
              <w:t>N M Ziyaf, Supply Chain Business Analyst</w:t>
            </w:r>
          </w:p>
        </w:tc>
      </w:tr>
      <w:tr w14:paraId="2B24FB94">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53E043">
            <w:r>
              <w:rPr>
                <w:rFonts w:ascii="Calibri" w:hAnsi="Calibri" w:eastAsia="Calibri" w:cs="Calibri"/>
                <w:sz w:val="17"/>
                <w:szCs w:val="17"/>
              </w:rPr>
              <w:t>Date</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FF4A11">
            <w:r>
              <w:rPr>
                <w:rFonts w:ascii="Calibri" w:hAnsi="Calibri" w:eastAsia="Calibri" w:cs="Calibri"/>
                <w:sz w:val="17"/>
                <w:szCs w:val="17"/>
              </w:rPr>
              <w:t>June 2025</w:t>
            </w:r>
          </w:p>
        </w:tc>
      </w:tr>
      <w:tr w14:paraId="0F8F71D4">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669B65">
            <w:r>
              <w:rPr>
                <w:rFonts w:ascii="Calibri" w:hAnsi="Calibri" w:eastAsia="Calibri" w:cs="Calibri"/>
                <w:sz w:val="17"/>
                <w:szCs w:val="17"/>
              </w:rPr>
              <w:t>Platform</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42B131">
            <w:r>
              <w:rPr>
                <w:rFonts w:ascii="Calibri" w:hAnsi="Calibri" w:eastAsia="Calibri" w:cs="Calibri"/>
                <w:sz w:val="17"/>
                <w:szCs w:val="17"/>
              </w:rPr>
              <w:t>Automation Anywhere, CargoWise One ERP</w:t>
            </w:r>
          </w:p>
        </w:tc>
      </w:tr>
      <w:tr w14:paraId="136C05B3">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5A07CC">
            <w:r>
              <w:rPr>
                <w:rFonts w:ascii="Calibri" w:hAnsi="Calibri" w:eastAsia="Calibri" w:cs="Calibri"/>
                <w:sz w:val="17"/>
                <w:szCs w:val="17"/>
              </w:rPr>
              <w:t>Related Document</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C83F73">
            <w:r>
              <w:rPr>
                <w:rFonts w:ascii="Calibri" w:hAnsi="Calibri" w:eastAsia="Calibri" w:cs="Calibri"/>
                <w:sz w:val="17"/>
                <w:szCs w:val="17"/>
              </w:rPr>
              <w:t xml:space="preserve">Customs Documentation Workflow, Gap Analysis BRD v1.0 </w:t>
            </w:r>
          </w:p>
        </w:tc>
      </w:tr>
    </w:tbl>
    <w:p w14:paraId="6271D826">
      <w:pPr>
        <w:spacing w:before="40" w:after="40"/>
      </w:pPr>
    </w:p>
    <w:p w14:paraId="3BD48A9A">
      <w:pPr>
        <w:spacing w:before="40" w:after="40"/>
      </w:pPr>
    </w:p>
    <w:p w14:paraId="52CB358C">
      <w:pPr>
        <w:spacing w:before="120" w:after="0"/>
        <w:jc w:val="center"/>
      </w:pPr>
      <w:r>
        <w:rPr>
          <w:rFonts w:ascii="Calibri" w:hAnsi="Calibri" w:eastAsia="Calibri" w:cs="Calibri"/>
          <w:i/>
          <w:iCs/>
          <w:color w:val="777777"/>
          <w:sz w:val="16"/>
          <w:szCs w:val="16"/>
        </w:rPr>
        <w:t>This business case was developed following gap analysis findings documented in the Customs Documentation Workflow BRD. It proposes RPA automation as the implementation mechanism for the pre-submission validation checkpoint identified as Gap G2 in that analysis. All data is based on replicated scenarios from real freight forwarding operations and has been anonymised for portfolio use.</w:t>
      </w:r>
    </w:p>
    <w:p w14:paraId="28EC89C4">
      <w:r>
        <w:br w:type="page"/>
      </w:r>
    </w:p>
    <w:p w14:paraId="5A34980C">
      <w:pPr>
        <w:shd w:val="clear" w:fill="1B3A6B"/>
        <w:spacing w:before="220" w:after="100"/>
        <w:ind w:left="120" w:right="120"/>
      </w:pPr>
      <w:r>
        <w:rPr>
          <w:rFonts w:ascii="Calibri" w:hAnsi="Calibri" w:eastAsia="Calibri" w:cs="Calibri"/>
          <w:b/>
          <w:bCs/>
          <w:color w:val="FFFFFF"/>
          <w:sz w:val="24"/>
          <w:szCs w:val="24"/>
        </w:rPr>
        <w:t>1.  Executive Summary</w:t>
      </w:r>
    </w:p>
    <w:p w14:paraId="1FDC335C">
      <w:pPr>
        <w:spacing w:before="40" w:after="40"/>
      </w:pPr>
    </w:p>
    <w:p w14:paraId="37638FDE">
      <w:pPr>
        <w:spacing w:before="60" w:after="80"/>
        <w:jc w:val="left"/>
      </w:pPr>
      <w:r>
        <w:rPr>
          <w:rFonts w:ascii="Calibri" w:hAnsi="Calibri" w:eastAsia="Calibri" w:cs="Calibri"/>
          <w:b w:val="0"/>
          <w:bCs w:val="0"/>
          <w:i w:val="0"/>
          <w:iCs w:val="0"/>
          <w:color w:val="000000"/>
          <w:sz w:val="18"/>
          <w:szCs w:val="18"/>
        </w:rPr>
        <w:t>This business case proposes the deployment of an RPA bot using Automation Anywhere to automate the customs documentation completeness check within the CargoWise One freight forwarding workflow. The automation directly addresses Gap G2 identified in the Customs Documentation Workflow Gap Analysis BRD, which found that no pre-submission validation checkpoint existed to catch documentation errors before they reached brokers and customs authorities.</w:t>
      </w:r>
    </w:p>
    <w:p w14:paraId="6638A677">
      <w:pPr>
        <w:spacing w:before="60" w:after="80"/>
        <w:jc w:val="left"/>
      </w:pPr>
      <w:r>
        <w:rPr>
          <w:rFonts w:ascii="Calibri" w:hAnsi="Calibri" w:eastAsia="Calibri" w:cs="Calibri"/>
          <w:b w:val="0"/>
          <w:bCs w:val="0"/>
          <w:i w:val="0"/>
          <w:iCs w:val="0"/>
          <w:color w:val="000000"/>
          <w:sz w:val="18"/>
          <w:szCs w:val="18"/>
        </w:rPr>
        <w:t>The current manual process requires an operations staff member to individually retrieve each shipment record, check document completeness from memory, and assemble a documentation package before submission. This process is inconsistent, time-consuming, and responsible for approximately 12 percent of shipments experiencing documentation-related errors that result in clearance delays of 2.4 days on average.</w:t>
      </w:r>
    </w:p>
    <w:p w14:paraId="6BCE4547">
      <w:pPr>
        <w:spacing w:before="60" w:after="80"/>
        <w:jc w:val="left"/>
      </w:pPr>
      <w:r>
        <w:rPr>
          <w:rFonts w:ascii="Calibri" w:hAnsi="Calibri" w:eastAsia="Calibri" w:cs="Calibri"/>
          <w:b w:val="0"/>
          <w:bCs w:val="0"/>
          <w:i w:val="0"/>
          <w:iCs w:val="0"/>
          <w:color w:val="000000"/>
          <w:sz w:val="18"/>
          <w:szCs w:val="18"/>
        </w:rPr>
        <w:t>The proposed RPA solution automates the completeness check end to end. The bot monitors CargoWise One for new booking confirmations, extracts shipment and document data, runs a rule-based completeness check against a predefined document matrix, logs results directly in CargoWise One, and only escalates to the operations team when an exception is identified. Based on current shipment volumes and time studies, the solution is projected to deliver a return on investment within seven months of go-live.</w:t>
      </w:r>
    </w:p>
    <w:p w14:paraId="1AAE449A">
      <w:pPr>
        <w:spacing w:before="40" w:after="40"/>
      </w:pP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960"/>
      </w:tblGrid>
      <w:tr w14:paraId="6AB4DDDA">
        <w:trPr>
          <w:tblHeader/>
        </w:trPr>
        <w:tc>
          <w:tcPr>
            <w:tcW w:w="30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6AC2F8E6">
            <w:pPr>
              <w:jc w:val="center"/>
            </w:pPr>
            <w:r>
              <w:rPr>
                <w:rFonts w:ascii="Calibri" w:hAnsi="Calibri" w:eastAsia="Calibri" w:cs="Calibri"/>
                <w:b/>
                <w:bCs/>
                <w:color w:val="FFFFFF"/>
                <w:sz w:val="17"/>
                <w:szCs w:val="17"/>
              </w:rPr>
              <w:t>Metric</w:t>
            </w:r>
          </w:p>
        </w:tc>
        <w:tc>
          <w:tcPr>
            <w:tcW w:w="30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5446D964">
            <w:pPr>
              <w:jc w:val="center"/>
            </w:pPr>
            <w:r>
              <w:rPr>
                <w:rFonts w:ascii="Calibri" w:hAnsi="Calibri" w:eastAsia="Calibri" w:cs="Calibri"/>
                <w:b/>
                <w:bCs/>
                <w:color w:val="FFFFFF"/>
                <w:sz w:val="17"/>
                <w:szCs w:val="17"/>
              </w:rPr>
              <w:t>Current State</w:t>
            </w:r>
          </w:p>
        </w:tc>
        <w:tc>
          <w:tcPr>
            <w:tcW w:w="396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0934CD55">
            <w:pPr>
              <w:jc w:val="center"/>
            </w:pPr>
            <w:r>
              <w:rPr>
                <w:rFonts w:ascii="Calibri" w:hAnsi="Calibri" w:eastAsia="Calibri" w:cs="Calibri"/>
                <w:b/>
                <w:bCs/>
                <w:color w:val="FFFFFF"/>
                <w:sz w:val="17"/>
                <w:szCs w:val="17"/>
              </w:rPr>
              <w:t>Post-Automation Target</w:t>
            </w:r>
          </w:p>
        </w:tc>
      </w:tr>
      <w:tr w14:paraId="43CD4816">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8C12253">
            <w:r>
              <w:rPr>
                <w:rFonts w:ascii="Calibri" w:hAnsi="Calibri" w:eastAsia="Calibri" w:cs="Calibri"/>
                <w:sz w:val="17"/>
                <w:szCs w:val="17"/>
              </w:rPr>
              <w:t>Manual check time per shipment</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5DBB66">
            <w:r>
              <w:rPr>
                <w:rFonts w:ascii="Calibri" w:hAnsi="Calibri" w:eastAsia="Calibri" w:cs="Calibri"/>
                <w:sz w:val="17"/>
                <w:szCs w:val="17"/>
              </w:rPr>
              <w:t>Approximately 18 minutes</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1521DD">
            <w:r>
              <w:rPr>
                <w:rFonts w:ascii="Calibri" w:hAnsi="Calibri" w:eastAsia="Calibri" w:cs="Calibri"/>
                <w:sz w:val="17"/>
                <w:szCs w:val="17"/>
              </w:rPr>
              <w:t>Less than 1 minute (exception handling only)</w:t>
            </w:r>
          </w:p>
        </w:tc>
      </w:tr>
      <w:tr w14:paraId="087DA2B9">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11942D">
            <w:r>
              <w:rPr>
                <w:rFonts w:ascii="Calibri" w:hAnsi="Calibri" w:eastAsia="Calibri" w:cs="Calibri"/>
                <w:sz w:val="17"/>
                <w:szCs w:val="17"/>
              </w:rPr>
              <w:t>Documentation error rate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DFAB1E">
            <w:r>
              <w:rPr>
                <w:rFonts w:ascii="Calibri" w:hAnsi="Calibri" w:eastAsia="Calibri" w:cs="Calibri"/>
                <w:sz w:val="17"/>
                <w:szCs w:val="17"/>
              </w:rPr>
              <w:t>Approximately 12%</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4D4C3F">
            <w:r>
              <w:rPr>
                <w:rFonts w:ascii="Calibri" w:hAnsi="Calibri" w:eastAsia="Calibri" w:cs="Calibri"/>
                <w:sz w:val="17"/>
                <w:szCs w:val="17"/>
              </w:rPr>
              <w:t>Less than 3%</w:t>
            </w:r>
          </w:p>
        </w:tc>
      </w:tr>
      <w:tr w14:paraId="795CA7BE">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BFDFD5">
            <w:r>
              <w:rPr>
                <w:rFonts w:ascii="Calibri" w:hAnsi="Calibri" w:eastAsia="Calibri" w:cs="Calibri"/>
                <w:sz w:val="17"/>
                <w:szCs w:val="17"/>
              </w:rPr>
              <w:t>Shipments requiring rework</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E608526">
            <w:r>
              <w:rPr>
                <w:rFonts w:ascii="Calibri" w:hAnsi="Calibri" w:eastAsia="Calibri" w:cs="Calibri"/>
                <w:sz w:val="17"/>
                <w:szCs w:val="17"/>
              </w:rPr>
              <w:t>Approximately 35%</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25BB52">
            <w:r>
              <w:rPr>
                <w:rFonts w:ascii="Calibri" w:hAnsi="Calibri" w:eastAsia="Calibri" w:cs="Calibri"/>
                <w:sz w:val="17"/>
                <w:szCs w:val="17"/>
              </w:rPr>
              <w:t>Less than 5%</w:t>
            </w:r>
          </w:p>
        </w:tc>
      </w:tr>
      <w:tr w14:paraId="350FF108">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7F4893">
            <w:r>
              <w:rPr>
                <w:rFonts w:ascii="Calibri" w:hAnsi="Calibri" w:eastAsia="Calibri" w:cs="Calibri"/>
                <w:sz w:val="17"/>
                <w:szCs w:val="17"/>
              </w:rPr>
              <w:t>Estimated weekly manual effort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06A468">
            <w:r>
              <w:rPr>
                <w:rFonts w:ascii="Calibri" w:hAnsi="Calibri" w:eastAsia="Calibri" w:cs="Calibri"/>
                <w:sz w:val="17"/>
                <w:szCs w:val="17"/>
              </w:rPr>
              <w:t>Approximately 18 hours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D2948C">
            <w:r>
              <w:rPr>
                <w:rFonts w:ascii="Calibri" w:hAnsi="Calibri" w:eastAsia="Calibri" w:cs="Calibri"/>
                <w:sz w:val="17"/>
                <w:szCs w:val="17"/>
              </w:rPr>
              <w:t>Less than 2 hours</w:t>
            </w:r>
          </w:p>
        </w:tc>
      </w:tr>
      <w:tr w14:paraId="613995DF">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A7BCB9">
            <w:r>
              <w:rPr>
                <w:rFonts w:ascii="Calibri" w:hAnsi="Calibri" w:eastAsia="Calibri" w:cs="Calibri"/>
                <w:sz w:val="17"/>
                <w:szCs w:val="17"/>
              </w:rPr>
              <w:t>Projected ROI timeline</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2B5B757">
            <w:r>
              <w:rPr>
                <w:rFonts w:ascii="Calibri" w:hAnsi="Calibri" w:eastAsia="Calibri" w:cs="Calibri"/>
                <w:sz w:val="17"/>
                <w:szCs w:val="17"/>
              </w:rPr>
              <w:t>Not applicable</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A7EEDAE">
            <w:r>
              <w:rPr>
                <w:rFonts w:ascii="Calibri" w:hAnsi="Calibri" w:eastAsia="Calibri" w:cs="Calibri"/>
                <w:sz w:val="17"/>
                <w:szCs w:val="17"/>
              </w:rPr>
              <w:t>7 months post go-live</w:t>
            </w:r>
          </w:p>
        </w:tc>
      </w:tr>
    </w:tbl>
    <w:p w14:paraId="5168806F">
      <w:pPr>
        <w:spacing w:before="40" w:after="40"/>
      </w:pPr>
    </w:p>
    <w:p w14:paraId="7120095D">
      <w:r>
        <w:br w:type="page"/>
      </w:r>
    </w:p>
    <w:p w14:paraId="026B5EA8">
      <w:pPr>
        <w:shd w:val="clear" w:fill="1B3A6B"/>
        <w:spacing w:before="220" w:after="100"/>
        <w:ind w:left="120" w:right="120"/>
      </w:pPr>
      <w:r>
        <w:rPr>
          <w:rFonts w:ascii="Calibri" w:hAnsi="Calibri" w:eastAsia="Calibri" w:cs="Calibri"/>
          <w:b/>
          <w:bCs/>
          <w:color w:val="FFFFFF"/>
          <w:sz w:val="24"/>
          <w:szCs w:val="24"/>
        </w:rPr>
        <w:t>2.  Problem Statement</w:t>
      </w:r>
    </w:p>
    <w:p w14:paraId="2D53B5BC">
      <w:pPr>
        <w:spacing w:before="40" w:after="40"/>
      </w:pPr>
    </w:p>
    <w:p w14:paraId="61F2ACF9">
      <w:pPr>
        <w:pBdr>
          <w:bottom w:val="single" w:color="1B3A6B" w:sz="6" w:space="1"/>
        </w:pBdr>
        <w:spacing w:before="200" w:after="80"/>
      </w:pPr>
      <w:r>
        <w:rPr>
          <w:rFonts w:ascii="Calibri" w:hAnsi="Calibri" w:eastAsia="Calibri" w:cs="Calibri"/>
          <w:b/>
          <w:bCs/>
          <w:color w:val="1B3A6B"/>
          <w:sz w:val="20"/>
          <w:szCs w:val="20"/>
        </w:rPr>
        <w:t>2.1  Current Process Pain Points</w:t>
      </w:r>
    </w:p>
    <w:p w14:paraId="72128993">
      <w:pPr>
        <w:spacing w:before="60" w:after="80"/>
        <w:jc w:val="left"/>
      </w:pPr>
      <w:r>
        <w:rPr>
          <w:rFonts w:ascii="Calibri" w:hAnsi="Calibri" w:eastAsia="Calibri" w:cs="Calibri"/>
          <w:b w:val="0"/>
          <w:bCs w:val="0"/>
          <w:i w:val="0"/>
          <w:iCs w:val="0"/>
          <w:color w:val="000000"/>
          <w:sz w:val="18"/>
          <w:szCs w:val="18"/>
        </w:rPr>
        <w:t>The customs documentation completeness check is performed manually by operations staff for every shipment processed through the freight forwarding operation. Based on the gap analysis conducted in June 2025 and documented in the related BRD, the following pain points were identified and quantified.</w:t>
      </w:r>
    </w:p>
    <w:p w14:paraId="24C89171">
      <w:pPr>
        <w:spacing w:before="60" w:after="80"/>
        <w:jc w:val="left"/>
      </w:pPr>
      <w:r>
        <w:rPr>
          <w:rFonts w:ascii="Calibri" w:hAnsi="Calibri" w:eastAsia="Calibri" w:cs="Calibri"/>
          <w:b w:val="0"/>
          <w:bCs w:val="0"/>
          <w:i w:val="0"/>
          <w:iCs w:val="0"/>
          <w:color w:val="000000"/>
          <w:sz w:val="18"/>
          <w:szCs w:val="18"/>
        </w:rPr>
        <w:t>The check relies entirely on individual operator knowledge of required document sets, which varies by shipment type, origin, destination, and commodity. There is no system-enforced checklist and no validation step within CargoWise One that prevents an incomplete documentation package from being submitted externally. As a result, approximately 12 percent of shipments are submitted with missing or incorrect documentation, triggering broker rejections, customs holds, and rework cycles that average 2.4 days of additional clearance time per affected shipment.</w:t>
      </w:r>
    </w:p>
    <w:p w14:paraId="4663D894">
      <w:pPr>
        <w:spacing w:before="60" w:after="80"/>
        <w:jc w:val="left"/>
      </w:pPr>
      <w:r>
        <w:rPr>
          <w:rFonts w:ascii="Calibri" w:hAnsi="Calibri" w:eastAsia="Calibri" w:cs="Calibri"/>
          <w:b w:val="0"/>
          <w:bCs w:val="0"/>
          <w:i w:val="0"/>
          <w:iCs w:val="0"/>
          <w:color w:val="000000"/>
          <w:sz w:val="18"/>
          <w:szCs w:val="18"/>
        </w:rPr>
        <w:t>The manual check also consumes significant operational time. Time studies conducted during the gap analysis estimated an average of 18 minutes per shipment for a complete check, inclusive of retrieving the record, reviewing attached documents, cross-checking against shipment details, and assembling the outgoing package. Across the shipment volumes processed, this equates to approximately 18 hours of operational staff time per week dedicated to a process that is fundamentally rule-based and repeatable.</w:t>
      </w:r>
    </w:p>
    <w:p w14:paraId="48D91648">
      <w:pPr>
        <w:spacing w:before="40" w:after="40"/>
      </w:pPr>
    </w:p>
    <w:p w14:paraId="2A76FC21">
      <w:pPr>
        <w:pBdr>
          <w:bottom w:val="single" w:color="1B3A6B" w:sz="6" w:space="1"/>
        </w:pBdr>
        <w:spacing w:before="200" w:after="80"/>
      </w:pPr>
      <w:r>
        <w:rPr>
          <w:rFonts w:ascii="Calibri" w:hAnsi="Calibri" w:eastAsia="Calibri" w:cs="Calibri"/>
          <w:b/>
          <w:bCs/>
          <w:color w:val="1B3A6B"/>
          <w:sz w:val="20"/>
          <w:szCs w:val="20"/>
        </w:rPr>
        <w:t>2.2  Why RPA is the Right Solution</w:t>
      </w:r>
    </w:p>
    <w:p w14:paraId="3C2EBAE7">
      <w:pPr>
        <w:spacing w:before="60" w:after="80"/>
        <w:jc w:val="left"/>
      </w:pPr>
      <w:r>
        <w:rPr>
          <w:rFonts w:ascii="Calibri" w:hAnsi="Calibri" w:eastAsia="Calibri" w:cs="Calibri"/>
          <w:b w:val="0"/>
          <w:bCs w:val="0"/>
          <w:i w:val="0"/>
          <w:iCs w:val="0"/>
          <w:color w:val="000000"/>
          <w:sz w:val="18"/>
          <w:szCs w:val="18"/>
        </w:rPr>
        <w:t>The customs documentation completeness check meets all four criteria that make a process well-suited for RPA automation. The process is highly rule-based and follows a consistent logic that can be codified without exception handling complexity. It is high volume and repetitive, executing identically for every shipment regardless of operator. It operates within a structured digital environment, CargoWise One, which provides accessible data through its interface and API layer. And it is time-sensitive, as delays in the check directly delay submission and clearance.</w:t>
      </w:r>
    </w:p>
    <w:p w14:paraId="2F22277E">
      <w:pPr>
        <w:spacing w:before="60" w:after="80"/>
        <w:jc w:val="left"/>
      </w:pPr>
      <w:r>
        <w:rPr>
          <w:rFonts w:ascii="Calibri" w:hAnsi="Calibri" w:eastAsia="Calibri" w:cs="Calibri"/>
          <w:b w:val="0"/>
          <w:bCs w:val="0"/>
          <w:i w:val="0"/>
          <w:iCs w:val="0"/>
          <w:color w:val="000000"/>
          <w:sz w:val="18"/>
          <w:szCs w:val="18"/>
        </w:rPr>
        <w:t>An RPA solution implemented using Automation Anywhere can replicate the human check steps end to end, applying the document matrix rules consistently across 100 percent of shipments without variation, fatigue, or oversight gaps. The bot executes in seconds rather than minutes, logs every check outcome directly in CargoWise One for auditability, and only surfaces exceptions to the operations team when a genuine gap is identified.</w:t>
      </w:r>
    </w:p>
    <w:p w14:paraId="72BC2836">
      <w:pPr>
        <w:spacing w:before="40" w:after="40"/>
      </w:pPr>
    </w:p>
    <w:p w14:paraId="5D3F518B">
      <w:r>
        <w:br w:type="page"/>
      </w:r>
    </w:p>
    <w:p w14:paraId="330CBDFB">
      <w:pPr>
        <w:shd w:val="clear" w:fill="1B3A6B"/>
        <w:spacing w:before="220" w:after="100"/>
        <w:ind w:left="120" w:right="120"/>
      </w:pPr>
      <w:r>
        <w:rPr>
          <w:rFonts w:ascii="Calibri" w:hAnsi="Calibri" w:eastAsia="Calibri" w:cs="Calibri"/>
          <w:b/>
          <w:bCs/>
          <w:color w:val="FFFFFF"/>
          <w:sz w:val="24"/>
          <w:szCs w:val="24"/>
        </w:rPr>
        <w:t>3.  Proposed RPA Solution</w:t>
      </w:r>
    </w:p>
    <w:p w14:paraId="03FF3D03">
      <w:pPr>
        <w:spacing w:before="40" w:after="40"/>
      </w:pPr>
    </w:p>
    <w:p w14:paraId="64002415">
      <w:pPr>
        <w:pBdr>
          <w:bottom w:val="single" w:color="1B3A6B" w:sz="6" w:space="1"/>
        </w:pBdr>
        <w:spacing w:before="200" w:after="80"/>
      </w:pPr>
      <w:r>
        <w:rPr>
          <w:rFonts w:ascii="Calibri" w:hAnsi="Calibri" w:eastAsia="Calibri" w:cs="Calibri"/>
          <w:b/>
          <w:bCs/>
          <w:color w:val="1B3A6B"/>
          <w:sz w:val="20"/>
          <w:szCs w:val="20"/>
        </w:rPr>
        <w:t>3.1  Solution Overview</w:t>
      </w:r>
    </w:p>
    <w:p w14:paraId="7241528D">
      <w:pPr>
        <w:spacing w:before="60" w:after="80"/>
        <w:jc w:val="left"/>
      </w:pPr>
      <w:r>
        <w:rPr>
          <w:rFonts w:ascii="Calibri" w:hAnsi="Calibri" w:eastAsia="Calibri" w:cs="Calibri"/>
          <w:b w:val="0"/>
          <w:bCs w:val="0"/>
          <w:i w:val="0"/>
          <w:iCs w:val="0"/>
          <w:color w:val="000000"/>
          <w:sz w:val="18"/>
          <w:szCs w:val="18"/>
        </w:rPr>
        <w:t>The proposed solution is an Automation Anywhere attended or unattended bot deployed within the existing CargoWise One environment. The bot operates continuously during business hours, monitoring for new shipment booking confirmations and executing the completeness check workflow automatically for each new booking without requiring any operator trigger.</w:t>
      </w:r>
    </w:p>
    <w:p w14:paraId="5F2A2745">
      <w:pPr>
        <w:spacing w:before="60" w:after="80"/>
        <w:jc w:val="left"/>
      </w:pPr>
      <w:r>
        <w:rPr>
          <w:rFonts w:ascii="Calibri" w:hAnsi="Calibri" w:eastAsia="Calibri" w:cs="Calibri"/>
          <w:b w:val="0"/>
          <w:bCs w:val="0"/>
          <w:i w:val="0"/>
          <w:iCs w:val="0"/>
          <w:color w:val="000000"/>
          <w:sz w:val="18"/>
          <w:szCs w:val="18"/>
        </w:rPr>
        <w:t>The bot executes the following sequence for every shipment. It monitors CargoWise One for new booking confirmations triggered by the milestone event. It extracts the shipment record data including shipment type, origin, destination, commodity, and incoterms. It identifies the required document set for that shipment profile from the document matrix rules configured within the bot. It checks each required document against the attachments on the CargoWise One shipment record. If all required documents are present and the shipment details are consistent, it logs a validation pass against the record and triggers the pre-submission checkpoint clearance. If any document is missing or a discrepancy is detected, it generates an exception task assigned to the responsible operator with a two-hour resolution SLA, consistent with Requirement FR-006 from the Gap Analysis BRD.</w:t>
      </w:r>
    </w:p>
    <w:p w14:paraId="1DC3F11F">
      <w:pPr>
        <w:spacing w:before="40" w:after="40"/>
      </w:pPr>
    </w:p>
    <w:p w14:paraId="5F81DB6E">
      <w:pPr>
        <w:pBdr>
          <w:bottom w:val="single" w:color="1B3A6B" w:sz="6" w:space="1"/>
        </w:pBdr>
        <w:spacing w:before="200" w:after="80"/>
      </w:pPr>
      <w:r>
        <w:rPr>
          <w:rFonts w:ascii="Calibri" w:hAnsi="Calibri" w:eastAsia="Calibri" w:cs="Calibri"/>
          <w:b/>
          <w:bCs/>
          <w:color w:val="1B3A6B"/>
          <w:sz w:val="20"/>
          <w:szCs w:val="20"/>
        </w:rPr>
        <w:t>3.2  Process Maps</w:t>
      </w:r>
    </w:p>
    <w:p w14:paraId="4C1E9322">
      <w:pPr>
        <w:spacing w:before="60" w:after="80"/>
        <w:jc w:val="left"/>
      </w:pPr>
      <w:r>
        <w:rPr>
          <w:rFonts w:ascii="Calibri" w:hAnsi="Calibri" w:eastAsia="Calibri" w:cs="Calibri"/>
          <w:b w:val="0"/>
          <w:bCs w:val="0"/>
          <w:i w:val="0"/>
          <w:iCs w:val="0"/>
          <w:color w:val="000000"/>
          <w:sz w:val="18"/>
          <w:szCs w:val="18"/>
        </w:rPr>
        <w:t>The current state and future state process maps are provided as separate files in this repository. The current state map documents the manual process as it was operating prior to the proposed automation, including the identified pain points and rework loops. The future state map shows the redesigned process with RPA automation touchpoints marked, demonstrating where the bot replaces manual steps and where the operations team retains involvement for exception handling and final submission.</w:t>
      </w:r>
    </w:p>
    <w:p w14:paraId="54E7EA6A">
      <w:pPr>
        <w:spacing w:before="60" w:after="80"/>
        <w:jc w:val="left"/>
      </w:pPr>
      <w:r>
        <w:rPr>
          <w:rFonts w:ascii="Calibri" w:hAnsi="Calibri" w:eastAsia="Calibri" w:cs="Calibri"/>
          <w:b w:val="0"/>
          <w:bCs w:val="0"/>
          <w:i w:val="0"/>
          <w:iCs w:val="0"/>
          <w:color w:val="000000"/>
          <w:sz w:val="18"/>
          <w:szCs w:val="18"/>
        </w:rPr>
        <w:t>Refer to process_map_current_state.svg and process_map_future_state.svg in this repository.</w:t>
      </w:r>
    </w:p>
    <w:p w14:paraId="4BE1B70F">
      <w:pPr>
        <w:spacing w:before="40" w:after="40"/>
      </w:pPr>
    </w:p>
    <w:p w14:paraId="5FAF5CB6">
      <w:pPr>
        <w:pBdr>
          <w:bottom w:val="single" w:color="1B3A6B" w:sz="6" w:space="1"/>
        </w:pBdr>
        <w:spacing w:before="200" w:after="80"/>
      </w:pPr>
      <w:r>
        <w:rPr>
          <w:rFonts w:ascii="Calibri" w:hAnsi="Calibri" w:eastAsia="Calibri" w:cs="Calibri"/>
          <w:b/>
          <w:bCs/>
          <w:color w:val="1B3A6B"/>
          <w:sz w:val="20"/>
          <w:szCs w:val="20"/>
        </w:rPr>
        <w:t>3.3  Document Matrix — Bot Validation Rules</w:t>
      </w:r>
    </w:p>
    <w:p w14:paraId="7EF59F60">
      <w:pPr>
        <w:spacing w:before="60" w:after="80"/>
        <w:jc w:val="left"/>
      </w:pPr>
      <w:r>
        <w:rPr>
          <w:rFonts w:ascii="Calibri" w:hAnsi="Calibri" w:eastAsia="Calibri" w:cs="Calibri"/>
          <w:b w:val="0"/>
          <w:bCs w:val="0"/>
          <w:i w:val="0"/>
          <w:iCs w:val="0"/>
          <w:color w:val="000000"/>
          <w:sz w:val="18"/>
          <w:szCs w:val="18"/>
        </w:rPr>
        <w:t>The bot applies a predefined document matrix to determine the required document set for each shipment. The matrix is configurable and maintained by the system administrator, allowing updates without redeployment of the bot logic.</w:t>
      </w:r>
    </w:p>
    <w:p w14:paraId="7C6DEABB">
      <w:pPr>
        <w:spacing w:before="40" w:after="40"/>
      </w:pP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gridCol w:w="2760"/>
      </w:tblGrid>
      <w:tr w14:paraId="5D470A3B">
        <w:trPr>
          <w:tblHeader/>
        </w:trPr>
        <w:tc>
          <w:tcPr>
            <w:tcW w:w="24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0529CFC6">
            <w:pPr>
              <w:jc w:val="center"/>
            </w:pPr>
            <w:r>
              <w:rPr>
                <w:rFonts w:ascii="Calibri" w:hAnsi="Calibri" w:eastAsia="Calibri" w:cs="Calibri"/>
                <w:b/>
                <w:bCs/>
                <w:color w:val="FFFFFF"/>
                <w:sz w:val="17"/>
                <w:szCs w:val="17"/>
              </w:rPr>
              <w:t>Shipment Type</w:t>
            </w:r>
          </w:p>
        </w:tc>
        <w:tc>
          <w:tcPr>
            <w:tcW w:w="48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5B51E05D">
            <w:pPr>
              <w:jc w:val="center"/>
            </w:pPr>
            <w:r>
              <w:rPr>
                <w:rFonts w:ascii="Calibri" w:hAnsi="Calibri" w:eastAsia="Calibri" w:cs="Calibri"/>
                <w:b/>
                <w:bCs/>
                <w:color w:val="FFFFFF"/>
                <w:sz w:val="17"/>
                <w:szCs w:val="17"/>
              </w:rPr>
              <w:t>Required Documents</w:t>
            </w:r>
          </w:p>
        </w:tc>
        <w:tc>
          <w:tcPr>
            <w:tcW w:w="276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66C2CE49">
            <w:pPr>
              <w:jc w:val="center"/>
            </w:pPr>
            <w:r>
              <w:rPr>
                <w:rFonts w:ascii="Calibri" w:hAnsi="Calibri" w:eastAsia="Calibri" w:cs="Calibri"/>
                <w:b/>
                <w:bCs/>
                <w:color w:val="FFFFFF"/>
                <w:sz w:val="17"/>
                <w:szCs w:val="17"/>
              </w:rPr>
              <w:t>Additional Conditions</w:t>
            </w:r>
          </w:p>
        </w:tc>
      </w:tr>
      <w:tr w14:paraId="7DA51D94">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41898F">
            <w:r>
              <w:rPr>
                <w:rFonts w:ascii="Calibri" w:hAnsi="Calibri" w:eastAsia="Calibri" w:cs="Calibri"/>
                <w:sz w:val="17"/>
                <w:szCs w:val="17"/>
              </w:rPr>
              <w:t>Import, General Cargo</w:t>
            </w:r>
          </w:p>
        </w:tc>
        <w:tc>
          <w:tcPr>
            <w:tcW w:w="4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0AC67D">
            <w:r>
              <w:rPr>
                <w:rFonts w:ascii="Calibri" w:hAnsi="Calibri" w:eastAsia="Calibri" w:cs="Calibri"/>
                <w:sz w:val="17"/>
                <w:szCs w:val="17"/>
              </w:rPr>
              <w:t>Commercial invoice, packing list, bill of lading, customs entry form</w:t>
            </w:r>
          </w:p>
        </w:tc>
        <w:tc>
          <w:tcPr>
            <w:tcW w:w="2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5B4E274">
            <w:r>
              <w:rPr>
                <w:rFonts w:ascii="Calibri" w:hAnsi="Calibri" w:eastAsia="Calibri" w:cs="Calibri"/>
                <w:sz w:val="17"/>
                <w:szCs w:val="17"/>
              </w:rPr>
              <w:t>Country of origin certificate required if preferential tariff claimed</w:t>
            </w:r>
          </w:p>
        </w:tc>
      </w:tr>
      <w:tr w14:paraId="6A9F931F">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DCFC19">
            <w:r>
              <w:rPr>
                <w:rFonts w:ascii="Calibri" w:hAnsi="Calibri" w:eastAsia="Calibri" w:cs="Calibri"/>
                <w:sz w:val="17"/>
                <w:szCs w:val="17"/>
              </w:rPr>
              <w:t>Import, Dangerous Goods</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FEA6A0">
            <w:r>
              <w:rPr>
                <w:rFonts w:ascii="Calibri" w:hAnsi="Calibri" w:eastAsia="Calibri" w:cs="Calibri"/>
                <w:sz w:val="17"/>
                <w:szCs w:val="17"/>
              </w:rPr>
              <w:t>Commercial invoice, packing list, bill of lading, customs entry form, dangerous goods declaration, MSDS</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557B4">
            <w:r>
              <w:rPr>
                <w:rFonts w:ascii="Calibri" w:hAnsi="Calibri" w:eastAsia="Calibri" w:cs="Calibri"/>
                <w:sz w:val="17"/>
                <w:szCs w:val="17"/>
              </w:rPr>
              <w:t>Packaging certificate required for certain UN classes</w:t>
            </w:r>
          </w:p>
        </w:tc>
      </w:tr>
      <w:tr w14:paraId="1F1C3997">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E0205B">
            <w:r>
              <w:rPr>
                <w:rFonts w:ascii="Calibri" w:hAnsi="Calibri" w:eastAsia="Calibri" w:cs="Calibri"/>
                <w:sz w:val="17"/>
                <w:szCs w:val="17"/>
              </w:rPr>
              <w:t>Export, General Cargo</w:t>
            </w:r>
          </w:p>
        </w:tc>
        <w:tc>
          <w:tcPr>
            <w:tcW w:w="4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FB907D">
            <w:r>
              <w:rPr>
                <w:rFonts w:ascii="Calibri" w:hAnsi="Calibri" w:eastAsia="Calibri" w:cs="Calibri"/>
                <w:sz w:val="17"/>
                <w:szCs w:val="17"/>
              </w:rPr>
              <w:t>Commercial invoice, packing list, bill of lading, export declaration</w:t>
            </w:r>
          </w:p>
        </w:tc>
        <w:tc>
          <w:tcPr>
            <w:tcW w:w="2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7BD9D0F">
            <w:r>
              <w:rPr>
                <w:rFonts w:ascii="Calibri" w:hAnsi="Calibri" w:eastAsia="Calibri" w:cs="Calibri"/>
                <w:sz w:val="17"/>
                <w:szCs w:val="17"/>
              </w:rPr>
              <w:t>Certificate of origin required if destination country requires it</w:t>
            </w:r>
          </w:p>
        </w:tc>
      </w:tr>
      <w:tr w14:paraId="02570DAE">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A07E86">
            <w:r>
              <w:rPr>
                <w:rFonts w:ascii="Calibri" w:hAnsi="Calibri" w:eastAsia="Calibri" w:cs="Calibri"/>
                <w:sz w:val="17"/>
                <w:szCs w:val="17"/>
              </w:rPr>
              <w:t>Export, Controlled Goods</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E4AE63">
            <w:r>
              <w:rPr>
                <w:rFonts w:ascii="Calibri" w:hAnsi="Calibri" w:eastAsia="Calibri" w:cs="Calibri"/>
                <w:sz w:val="17"/>
                <w:szCs w:val="17"/>
              </w:rPr>
              <w:t>Commercial invoice, packing list, bill of lading, export declaration, export permit</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BBAF63">
            <w:r>
              <w:rPr>
                <w:rFonts w:ascii="Calibri" w:hAnsi="Calibri" w:eastAsia="Calibri" w:cs="Calibri"/>
                <w:sz w:val="17"/>
                <w:szCs w:val="17"/>
              </w:rPr>
              <w:t>End user certificate required where applicable</w:t>
            </w:r>
          </w:p>
        </w:tc>
      </w:tr>
      <w:tr w14:paraId="4ACF5D1E">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7F7864">
            <w:r>
              <w:rPr>
                <w:rFonts w:ascii="Calibri" w:hAnsi="Calibri" w:eastAsia="Calibri" w:cs="Calibri"/>
                <w:sz w:val="17"/>
                <w:szCs w:val="17"/>
              </w:rPr>
              <w:t>Transshipment</w:t>
            </w:r>
          </w:p>
        </w:tc>
        <w:tc>
          <w:tcPr>
            <w:tcW w:w="4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0C14140">
            <w:r>
              <w:rPr>
                <w:rFonts w:ascii="Calibri" w:hAnsi="Calibri" w:eastAsia="Calibri" w:cs="Calibri"/>
                <w:sz w:val="17"/>
                <w:szCs w:val="17"/>
              </w:rPr>
              <w:t>Commercial invoice, packing list, master bill of lading, house bill of lading, transit declaration</w:t>
            </w:r>
          </w:p>
        </w:tc>
        <w:tc>
          <w:tcPr>
            <w:tcW w:w="2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D14CA6">
            <w:r>
              <w:rPr>
                <w:rFonts w:ascii="Calibri" w:hAnsi="Calibri" w:eastAsia="Calibri" w:cs="Calibri"/>
                <w:sz w:val="17"/>
                <w:szCs w:val="17"/>
              </w:rPr>
              <w:t>Additional port authority documents where required by routing</w:t>
            </w:r>
          </w:p>
        </w:tc>
      </w:tr>
    </w:tbl>
    <w:p w14:paraId="0EFA67C9">
      <w:pPr>
        <w:spacing w:before="40" w:after="40"/>
      </w:pPr>
    </w:p>
    <w:p w14:paraId="05F1EF63">
      <w:r>
        <w:br w:type="page"/>
      </w:r>
    </w:p>
    <w:p w14:paraId="1953721F">
      <w:pPr>
        <w:shd w:val="clear" w:fill="1B3A6B"/>
        <w:spacing w:before="220" w:after="100"/>
        <w:ind w:left="120" w:right="120"/>
      </w:pPr>
      <w:r>
        <w:rPr>
          <w:rFonts w:ascii="Calibri" w:hAnsi="Calibri" w:eastAsia="Calibri" w:cs="Calibri"/>
          <w:b/>
          <w:bCs/>
          <w:color w:val="FFFFFF"/>
          <w:sz w:val="24"/>
          <w:szCs w:val="24"/>
        </w:rPr>
        <w:t>4.  Cost Benefit Analysis</w:t>
      </w:r>
    </w:p>
    <w:p w14:paraId="525A78EC">
      <w:pPr>
        <w:spacing w:before="40" w:after="40"/>
      </w:pPr>
    </w:p>
    <w:p w14:paraId="08540822">
      <w:pPr>
        <w:pBdr>
          <w:bottom w:val="single" w:color="1B3A6B" w:sz="6" w:space="1"/>
        </w:pBdr>
        <w:spacing w:before="200" w:after="80"/>
      </w:pPr>
      <w:r>
        <w:rPr>
          <w:rFonts w:ascii="Calibri" w:hAnsi="Calibri" w:eastAsia="Calibri" w:cs="Calibri"/>
          <w:b/>
          <w:bCs/>
          <w:color w:val="1B3A6B"/>
          <w:sz w:val="20"/>
          <w:szCs w:val="20"/>
        </w:rPr>
        <w:t>4.1  Implementation Costs</w:t>
      </w: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600"/>
        <w:gridCol w:w="2560"/>
      </w:tblGrid>
      <w:tr w14:paraId="0A973E7A">
        <w:trPr>
          <w:tblHeader/>
        </w:trPr>
        <w:tc>
          <w:tcPr>
            <w:tcW w:w="28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2E7899DE">
            <w:pPr>
              <w:jc w:val="center"/>
            </w:pPr>
            <w:r>
              <w:rPr>
                <w:rFonts w:ascii="Calibri" w:hAnsi="Calibri" w:eastAsia="Calibri" w:cs="Calibri"/>
                <w:b/>
                <w:bCs/>
                <w:color w:val="FFFFFF"/>
                <w:sz w:val="17"/>
                <w:szCs w:val="17"/>
              </w:rPr>
              <w:t>Cost Item</w:t>
            </w:r>
          </w:p>
        </w:tc>
        <w:tc>
          <w:tcPr>
            <w:tcW w:w="46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38E0A6D6">
            <w:pPr>
              <w:jc w:val="center"/>
            </w:pPr>
            <w:r>
              <w:rPr>
                <w:rFonts w:ascii="Calibri" w:hAnsi="Calibri" w:eastAsia="Calibri" w:cs="Calibri"/>
                <w:b/>
                <w:bCs/>
                <w:color w:val="FFFFFF"/>
                <w:sz w:val="17"/>
                <w:szCs w:val="17"/>
              </w:rPr>
              <w:t>Description</w:t>
            </w:r>
          </w:p>
        </w:tc>
        <w:tc>
          <w:tcPr>
            <w:tcW w:w="256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59C1D601">
            <w:pPr>
              <w:jc w:val="center"/>
            </w:pPr>
            <w:r>
              <w:rPr>
                <w:rFonts w:ascii="Calibri" w:hAnsi="Calibri" w:eastAsia="Calibri" w:cs="Calibri"/>
                <w:b/>
                <w:bCs/>
                <w:color w:val="FFFFFF"/>
                <w:sz w:val="17"/>
                <w:szCs w:val="17"/>
              </w:rPr>
              <w:t>Estimated Cost</w:t>
            </w:r>
          </w:p>
        </w:tc>
      </w:tr>
      <w:tr w14:paraId="45B0E871">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C449E9">
            <w:r>
              <w:rPr>
                <w:rFonts w:ascii="Calibri" w:hAnsi="Calibri" w:eastAsia="Calibri" w:cs="Calibri"/>
                <w:sz w:val="17"/>
                <w:szCs w:val="17"/>
              </w:rPr>
              <w:t>RPA Bot Development</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2FE1483">
            <w:r>
              <w:rPr>
                <w:rFonts w:ascii="Calibri" w:hAnsi="Calibri" w:eastAsia="Calibri" w:cs="Calibri"/>
                <w:sz w:val="17"/>
                <w:szCs w:val="17"/>
              </w:rPr>
              <w:t>Automation Anywhere bot design, development, testing, and deployment by RPA developer</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082904">
            <w:r>
              <w:rPr>
                <w:rFonts w:ascii="Calibri" w:hAnsi="Calibri" w:eastAsia="Calibri" w:cs="Calibri"/>
                <w:sz w:val="17"/>
                <w:szCs w:val="17"/>
              </w:rPr>
              <w:t>AUD 12,000</w:t>
            </w:r>
          </w:p>
        </w:tc>
      </w:tr>
      <w:tr w14:paraId="605650B2">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228283">
            <w:r>
              <w:rPr>
                <w:rFonts w:ascii="Calibri" w:hAnsi="Calibri" w:eastAsia="Calibri" w:cs="Calibri"/>
                <w:sz w:val="17"/>
                <w:szCs w:val="17"/>
              </w:rPr>
              <w:t>UAT and Go-Live Support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01D0CD">
            <w:r>
              <w:rPr>
                <w:rFonts w:ascii="Calibri" w:hAnsi="Calibri" w:eastAsia="Calibri" w:cs="Calibri"/>
                <w:sz w:val="17"/>
                <w:szCs w:val="17"/>
              </w:rPr>
              <w:t>Business Analyst and System Administrator time for UAT coordination, defect resolution, and go-live support</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4D24B7">
            <w:r>
              <w:rPr>
                <w:rFonts w:ascii="Calibri" w:hAnsi="Calibri" w:eastAsia="Calibri" w:cs="Calibri"/>
                <w:sz w:val="17"/>
                <w:szCs w:val="17"/>
              </w:rPr>
              <w:t>AUD 3,500</w:t>
            </w:r>
          </w:p>
        </w:tc>
      </w:tr>
      <w:tr w14:paraId="161152A2">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224E258">
            <w:r>
              <w:rPr>
                <w:rFonts w:ascii="Calibri" w:hAnsi="Calibri" w:eastAsia="Calibri" w:cs="Calibri"/>
                <w:sz w:val="17"/>
                <w:szCs w:val="17"/>
              </w:rPr>
              <w:t>Automation Anywhere Licence</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3B7745">
            <w:r>
              <w:rPr>
                <w:rFonts w:ascii="Calibri" w:hAnsi="Calibri" w:eastAsia="Calibri" w:cs="Calibri"/>
                <w:sz w:val="17"/>
                <w:szCs w:val="17"/>
              </w:rPr>
              <w:t>Unattended bot licence for production environment, annual cost</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3494EBE">
            <w:r>
              <w:rPr>
                <w:rFonts w:ascii="Calibri" w:hAnsi="Calibri" w:eastAsia="Calibri" w:cs="Calibri"/>
                <w:sz w:val="17"/>
                <w:szCs w:val="17"/>
              </w:rPr>
              <w:t>AUD 8,000 per year</w:t>
            </w:r>
          </w:p>
        </w:tc>
      </w:tr>
      <w:tr w14:paraId="0E8A2AA1">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57423C">
            <w:r>
              <w:rPr>
                <w:rFonts w:ascii="Calibri" w:hAnsi="Calibri" w:eastAsia="Calibri" w:cs="Calibri"/>
                <w:sz w:val="17"/>
                <w:szCs w:val="17"/>
              </w:rPr>
              <w:t>CargoWise Integration Review</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A45275">
            <w:r>
              <w:rPr>
                <w:rFonts w:ascii="Calibri" w:hAnsi="Calibri" w:eastAsia="Calibri" w:cs="Calibri"/>
                <w:sz w:val="17"/>
                <w:szCs w:val="17"/>
              </w:rPr>
              <w:t>System Administrator review of CargoWise One data access configuration for bot</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9CA17B">
            <w:r>
              <w:rPr>
                <w:rFonts w:ascii="Calibri" w:hAnsi="Calibri" w:eastAsia="Calibri" w:cs="Calibri"/>
                <w:sz w:val="17"/>
                <w:szCs w:val="17"/>
              </w:rPr>
              <w:t>AUD 1,500</w:t>
            </w:r>
          </w:p>
        </w:tc>
      </w:tr>
      <w:tr w14:paraId="66C367F9">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A1CE5D">
            <w:r>
              <w:rPr>
                <w:rFonts w:ascii="Calibri" w:hAnsi="Calibri" w:eastAsia="Calibri" w:cs="Calibri"/>
                <w:sz w:val="17"/>
                <w:szCs w:val="17"/>
              </w:rPr>
              <w:t>Training and Change Management</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5A1CDB6">
            <w:r>
              <w:rPr>
                <w:rFonts w:ascii="Calibri" w:hAnsi="Calibri" w:eastAsia="Calibri" w:cs="Calibri"/>
                <w:sz w:val="17"/>
                <w:szCs w:val="17"/>
              </w:rPr>
              <w:t>Operations team briefing and updated SOP documentation</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5E0CD44">
            <w:r>
              <w:rPr>
                <w:rFonts w:ascii="Calibri" w:hAnsi="Calibri" w:eastAsia="Calibri" w:cs="Calibri"/>
                <w:sz w:val="17"/>
                <w:szCs w:val="17"/>
              </w:rPr>
              <w:t>AUD 800</w:t>
            </w:r>
          </w:p>
        </w:tc>
      </w:tr>
      <w:tr w14:paraId="275505D8">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B3336B">
            <w:r>
              <w:rPr>
                <w:rFonts w:ascii="Calibri" w:hAnsi="Calibri" w:eastAsia="Calibri" w:cs="Calibri"/>
                <w:sz w:val="17"/>
                <w:szCs w:val="17"/>
              </w:rPr>
              <w:t>Total Year 1 Cost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4F3C36"/>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F5F74D">
            <w:r>
              <w:rPr>
                <w:rFonts w:ascii="Calibri" w:hAnsi="Calibri" w:eastAsia="Calibri" w:cs="Calibri"/>
                <w:sz w:val="17"/>
                <w:szCs w:val="17"/>
              </w:rPr>
              <w:t>AUD 25,800</w:t>
            </w:r>
          </w:p>
        </w:tc>
      </w:tr>
      <w:tr w14:paraId="01D69AE0">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F401FD1">
            <w:r>
              <w:rPr>
                <w:rFonts w:ascii="Calibri" w:hAnsi="Calibri" w:eastAsia="Calibri" w:cs="Calibri"/>
                <w:sz w:val="17"/>
                <w:szCs w:val="17"/>
              </w:rPr>
              <w:t>Annual Recurring Cost (Year 2 onwards)</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182998">
            <w:r>
              <w:rPr>
                <w:rFonts w:ascii="Calibri" w:hAnsi="Calibri" w:eastAsia="Calibri" w:cs="Calibri"/>
                <w:sz w:val="17"/>
                <w:szCs w:val="17"/>
              </w:rPr>
              <w:t>Licence renewal and maintenance</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736A7D1">
            <w:r>
              <w:rPr>
                <w:rFonts w:ascii="Calibri" w:hAnsi="Calibri" w:eastAsia="Calibri" w:cs="Calibri"/>
                <w:sz w:val="17"/>
                <w:szCs w:val="17"/>
              </w:rPr>
              <w:t>AUD 9,500 per year</w:t>
            </w:r>
          </w:p>
        </w:tc>
      </w:tr>
    </w:tbl>
    <w:p w14:paraId="7B5529BF">
      <w:pPr>
        <w:spacing w:before="40" w:after="40"/>
      </w:pPr>
    </w:p>
    <w:p w14:paraId="2ACE3DE1">
      <w:pPr>
        <w:pBdr>
          <w:bottom w:val="single" w:color="1B3A6B" w:sz="6" w:space="1"/>
        </w:pBdr>
        <w:spacing w:before="200" w:after="80"/>
      </w:pPr>
      <w:r>
        <w:rPr>
          <w:rFonts w:ascii="Calibri" w:hAnsi="Calibri" w:eastAsia="Calibri" w:cs="Calibri"/>
          <w:b/>
          <w:bCs/>
          <w:color w:val="1B3A6B"/>
          <w:sz w:val="20"/>
          <w:szCs w:val="20"/>
        </w:rPr>
        <w:t>4.2  Projected Benefits</w:t>
      </w: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600"/>
        <w:gridCol w:w="2560"/>
      </w:tblGrid>
      <w:tr w14:paraId="62331FFF">
        <w:trPr>
          <w:tblHeader/>
        </w:trPr>
        <w:tc>
          <w:tcPr>
            <w:tcW w:w="28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756B1A86">
            <w:pPr>
              <w:jc w:val="center"/>
            </w:pPr>
            <w:r>
              <w:rPr>
                <w:rFonts w:ascii="Calibri" w:hAnsi="Calibri" w:eastAsia="Calibri" w:cs="Calibri"/>
                <w:b/>
                <w:bCs/>
                <w:color w:val="FFFFFF"/>
                <w:sz w:val="17"/>
                <w:szCs w:val="17"/>
              </w:rPr>
              <w:t>Benefit Area</w:t>
            </w:r>
          </w:p>
        </w:tc>
        <w:tc>
          <w:tcPr>
            <w:tcW w:w="46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22FEBC36">
            <w:pPr>
              <w:jc w:val="center"/>
            </w:pPr>
            <w:r>
              <w:rPr>
                <w:rFonts w:ascii="Calibri" w:hAnsi="Calibri" w:eastAsia="Calibri" w:cs="Calibri"/>
                <w:b/>
                <w:bCs/>
                <w:color w:val="FFFFFF"/>
                <w:sz w:val="17"/>
                <w:szCs w:val="17"/>
              </w:rPr>
              <w:t>Basis of Calculation</w:t>
            </w:r>
          </w:p>
        </w:tc>
        <w:tc>
          <w:tcPr>
            <w:tcW w:w="256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6F69F7AC">
            <w:pPr>
              <w:jc w:val="center"/>
            </w:pPr>
            <w:r>
              <w:rPr>
                <w:rFonts w:ascii="Calibri" w:hAnsi="Calibri" w:eastAsia="Calibri" w:cs="Calibri"/>
                <w:b/>
                <w:bCs/>
                <w:color w:val="FFFFFF"/>
                <w:sz w:val="17"/>
                <w:szCs w:val="17"/>
              </w:rPr>
              <w:t>Estimated Annual Value</w:t>
            </w:r>
          </w:p>
        </w:tc>
      </w:tr>
      <w:tr w14:paraId="354AD35B">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871BEA5">
            <w:r>
              <w:rPr>
                <w:rFonts w:ascii="Calibri" w:hAnsi="Calibri" w:eastAsia="Calibri" w:cs="Calibri"/>
                <w:sz w:val="17"/>
                <w:szCs w:val="17"/>
              </w:rPr>
              <w:t>Operational time saving</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AADB941">
            <w:r>
              <w:rPr>
                <w:rFonts w:ascii="Calibri" w:hAnsi="Calibri" w:eastAsia="Calibri" w:cs="Calibri"/>
                <w:sz w:val="17"/>
                <w:szCs w:val="17"/>
              </w:rPr>
              <w:t>Reduction from 18 hours to 2 hours per week of manual check time. 16 hours per week at AUD 35 per hour average operations staff rate.</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540B63">
            <w:r>
              <w:rPr>
                <w:rFonts w:ascii="Calibri" w:hAnsi="Calibri" w:eastAsia="Calibri" w:cs="Calibri"/>
                <w:sz w:val="17"/>
                <w:szCs w:val="17"/>
              </w:rPr>
              <w:t>AUD 29,120</w:t>
            </w:r>
          </w:p>
        </w:tc>
      </w:tr>
      <w:tr w14:paraId="01E1BB55">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6F13CD">
            <w:r>
              <w:rPr>
                <w:rFonts w:ascii="Calibri" w:hAnsi="Calibri" w:eastAsia="Calibri" w:cs="Calibri"/>
                <w:sz w:val="17"/>
                <w:szCs w:val="17"/>
              </w:rPr>
              <w:t>Rework cost reduction</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7327C1">
            <w:r>
              <w:rPr>
                <w:rFonts w:ascii="Calibri" w:hAnsi="Calibri" w:eastAsia="Calibri" w:cs="Calibri"/>
                <w:sz w:val="17"/>
                <w:szCs w:val="17"/>
              </w:rPr>
              <w:t>Reduction from 35 percent to 5 percent of shipments requiring rework. Estimated 1.5 hours rework per shipment at AUD 35 per hour, across estimated shipment volumes.</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9370C3">
            <w:r>
              <w:rPr>
                <w:rFonts w:ascii="Calibri" w:hAnsi="Calibri" w:eastAsia="Calibri" w:cs="Calibri"/>
                <w:sz w:val="17"/>
                <w:szCs w:val="17"/>
              </w:rPr>
              <w:t>AUD 18,200</w:t>
            </w:r>
          </w:p>
        </w:tc>
      </w:tr>
      <w:tr w14:paraId="406756DD">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B9B514">
            <w:r>
              <w:rPr>
                <w:rFonts w:ascii="Calibri" w:hAnsi="Calibri" w:eastAsia="Calibri" w:cs="Calibri"/>
                <w:sz w:val="17"/>
                <w:szCs w:val="17"/>
              </w:rPr>
              <w:t>Clearance delay cost avoidance</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23A6BC">
            <w:r>
              <w:rPr>
                <w:rFonts w:ascii="Calibri" w:hAnsi="Calibri" w:eastAsia="Calibri" w:cs="Calibri"/>
                <w:sz w:val="17"/>
                <w:szCs w:val="17"/>
              </w:rPr>
              <w:t>Reduction of 2.4 day average delay on affected shipments. Storage and demurrage cost avoidance estimated at AUD 180 per day per shipment.</w:t>
            </w:r>
          </w:p>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A356A0">
            <w:r>
              <w:rPr>
                <w:rFonts w:ascii="Calibri" w:hAnsi="Calibri" w:eastAsia="Calibri" w:cs="Calibri"/>
                <w:sz w:val="17"/>
                <w:szCs w:val="17"/>
              </w:rPr>
              <w:t>AUD 14,400</w:t>
            </w:r>
          </w:p>
        </w:tc>
      </w:tr>
      <w:tr w14:paraId="7745B673">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C0D352">
            <w:r>
              <w:rPr>
                <w:rFonts w:ascii="Calibri" w:hAnsi="Calibri" w:eastAsia="Calibri" w:cs="Calibri"/>
                <w:sz w:val="17"/>
                <w:szCs w:val="17"/>
              </w:rPr>
              <w:t>Client retention value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E856A9">
            <w:r>
              <w:rPr>
                <w:rFonts w:ascii="Calibri" w:hAnsi="Calibri" w:eastAsia="Calibri" w:cs="Calibri"/>
                <w:sz w:val="17"/>
                <w:szCs w:val="17"/>
              </w:rPr>
              <w:t>Reduced complaint rate from documentation errors, estimated to protect approximately 3 percent of annual revenue at risk from repeat errors.</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C3DCF9">
            <w:r>
              <w:rPr>
                <w:rFonts w:ascii="Calibri" w:hAnsi="Calibri" w:eastAsia="Calibri" w:cs="Calibri"/>
                <w:sz w:val="17"/>
                <w:szCs w:val="17"/>
              </w:rPr>
              <w:t>AUD 22,000</w:t>
            </w:r>
          </w:p>
        </w:tc>
      </w:tr>
      <w:tr w14:paraId="48C87FC8">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75EAB8B">
            <w:r>
              <w:rPr>
                <w:rFonts w:ascii="Calibri" w:hAnsi="Calibri" w:eastAsia="Calibri" w:cs="Calibri"/>
                <w:sz w:val="17"/>
                <w:szCs w:val="17"/>
              </w:rPr>
              <w:t>Total Estimated Annual Benefit</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7DF19D"/>
        </w:tc>
        <w:tc>
          <w:tcPr>
            <w:tcW w:w="2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DDD5664">
            <w:r>
              <w:rPr>
                <w:rFonts w:ascii="Calibri" w:hAnsi="Calibri" w:eastAsia="Calibri" w:cs="Calibri"/>
                <w:sz w:val="17"/>
                <w:szCs w:val="17"/>
              </w:rPr>
              <w:t>AUD 83,720</w:t>
            </w:r>
          </w:p>
        </w:tc>
      </w:tr>
    </w:tbl>
    <w:p w14:paraId="0B0124EE">
      <w:pPr>
        <w:spacing w:before="40" w:after="40"/>
      </w:pPr>
    </w:p>
    <w:p w14:paraId="28DB62AE">
      <w:pPr>
        <w:pBdr>
          <w:bottom w:val="single" w:color="1B3A6B" w:sz="6" w:space="1"/>
        </w:pBdr>
        <w:spacing w:before="200" w:after="80"/>
      </w:pPr>
      <w:r>
        <w:rPr>
          <w:rFonts w:ascii="Calibri" w:hAnsi="Calibri" w:eastAsia="Calibri" w:cs="Calibri"/>
          <w:b/>
          <w:bCs/>
          <w:color w:val="1B3A6B"/>
          <w:sz w:val="20"/>
          <w:szCs w:val="20"/>
        </w:rPr>
        <w:t>4.3  Return on Investment</w:t>
      </w:r>
    </w:p>
    <w:tbl>
      <w:tblPr>
        <w:tblStyle w:val="9"/>
        <w:tblW w:w="9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60"/>
        <w:gridCol w:w="4960"/>
      </w:tblGrid>
      <w:tr w14:paraId="5E45C06B">
        <w:trPr>
          <w:tblHeader/>
        </w:trPr>
        <w:tc>
          <w:tcPr>
            <w:tcW w:w="496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28F31EFA">
            <w:pPr>
              <w:jc w:val="center"/>
            </w:pPr>
            <w:r>
              <w:rPr>
                <w:rFonts w:ascii="Calibri" w:hAnsi="Calibri" w:eastAsia="Calibri" w:cs="Calibri"/>
                <w:b/>
                <w:bCs/>
                <w:color w:val="FFFFFF"/>
                <w:sz w:val="17"/>
                <w:szCs w:val="17"/>
              </w:rPr>
              <w:t>ROI Metric</w:t>
            </w:r>
          </w:p>
        </w:tc>
        <w:tc>
          <w:tcPr>
            <w:tcW w:w="496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4A30876B">
            <w:pPr>
              <w:jc w:val="center"/>
            </w:pPr>
            <w:r>
              <w:rPr>
                <w:rFonts w:ascii="Calibri" w:hAnsi="Calibri" w:eastAsia="Calibri" w:cs="Calibri"/>
                <w:b/>
                <w:bCs/>
                <w:color w:val="FFFFFF"/>
                <w:sz w:val="17"/>
                <w:szCs w:val="17"/>
              </w:rPr>
              <w:t>Value</w:t>
            </w:r>
          </w:p>
        </w:tc>
      </w:tr>
      <w:tr w14:paraId="5D90FA6C">
        <w:tc>
          <w:tcPr>
            <w:tcW w:w="4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C09FFB">
            <w:r>
              <w:rPr>
                <w:rFonts w:ascii="Calibri" w:hAnsi="Calibri" w:eastAsia="Calibri" w:cs="Calibri"/>
                <w:sz w:val="17"/>
                <w:szCs w:val="17"/>
              </w:rPr>
              <w:t>Total Year 1 Investment</w:t>
            </w:r>
          </w:p>
        </w:tc>
        <w:tc>
          <w:tcPr>
            <w:tcW w:w="4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AF94E69">
            <w:r>
              <w:rPr>
                <w:rFonts w:ascii="Calibri" w:hAnsi="Calibri" w:eastAsia="Calibri" w:cs="Calibri"/>
                <w:sz w:val="17"/>
                <w:szCs w:val="17"/>
              </w:rPr>
              <w:t>AUD 25,800</w:t>
            </w:r>
          </w:p>
        </w:tc>
      </w:tr>
      <w:tr w14:paraId="74DE971F">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B88F8E">
            <w:r>
              <w:rPr>
                <w:rFonts w:ascii="Calibri" w:hAnsi="Calibri" w:eastAsia="Calibri" w:cs="Calibri"/>
                <w:sz w:val="17"/>
                <w:szCs w:val="17"/>
              </w:rPr>
              <w:t>Total Year 1 Benefit</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500F57">
            <w:r>
              <w:rPr>
                <w:rFonts w:ascii="Calibri" w:hAnsi="Calibri" w:eastAsia="Calibri" w:cs="Calibri"/>
                <w:sz w:val="17"/>
                <w:szCs w:val="17"/>
              </w:rPr>
              <w:t>AUD 83,720</w:t>
            </w:r>
          </w:p>
        </w:tc>
      </w:tr>
      <w:tr w14:paraId="44C4C234">
        <w:tc>
          <w:tcPr>
            <w:tcW w:w="4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F77EF08">
            <w:r>
              <w:rPr>
                <w:rFonts w:ascii="Calibri" w:hAnsi="Calibri" w:eastAsia="Calibri" w:cs="Calibri"/>
                <w:sz w:val="17"/>
                <w:szCs w:val="17"/>
              </w:rPr>
              <w:t>Net Year 1 Benefit</w:t>
            </w:r>
          </w:p>
        </w:tc>
        <w:tc>
          <w:tcPr>
            <w:tcW w:w="4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F017DC7">
            <w:r>
              <w:rPr>
                <w:rFonts w:ascii="Calibri" w:hAnsi="Calibri" w:eastAsia="Calibri" w:cs="Calibri"/>
                <w:sz w:val="17"/>
                <w:szCs w:val="17"/>
              </w:rPr>
              <w:t>AUD 57,920</w:t>
            </w:r>
          </w:p>
        </w:tc>
      </w:tr>
      <w:tr w14:paraId="355A6A01">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36EB7C">
            <w:r>
              <w:rPr>
                <w:rFonts w:ascii="Calibri" w:hAnsi="Calibri" w:eastAsia="Calibri" w:cs="Calibri"/>
                <w:sz w:val="17"/>
                <w:szCs w:val="17"/>
              </w:rPr>
              <w:t>ROI (Year 1)</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CA2885">
            <w:r>
              <w:rPr>
                <w:rFonts w:ascii="Calibri" w:hAnsi="Calibri" w:eastAsia="Calibri" w:cs="Calibri"/>
                <w:sz w:val="17"/>
                <w:szCs w:val="17"/>
              </w:rPr>
              <w:t>224 percent</w:t>
            </w:r>
          </w:p>
        </w:tc>
      </w:tr>
      <w:tr w14:paraId="4A2A6087">
        <w:tc>
          <w:tcPr>
            <w:tcW w:w="4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0D1ABEB">
            <w:r>
              <w:rPr>
                <w:rFonts w:ascii="Calibri" w:hAnsi="Calibri" w:eastAsia="Calibri" w:cs="Calibri"/>
                <w:sz w:val="17"/>
                <w:szCs w:val="17"/>
              </w:rPr>
              <w:t>Payback Period</w:t>
            </w:r>
          </w:p>
        </w:tc>
        <w:tc>
          <w:tcPr>
            <w:tcW w:w="4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70A2A7E">
            <w:r>
              <w:rPr>
                <w:rFonts w:ascii="Calibri" w:hAnsi="Calibri" w:eastAsia="Calibri" w:cs="Calibri"/>
                <w:sz w:val="17"/>
                <w:szCs w:val="17"/>
              </w:rPr>
              <w:t>Approximately 3.7 months</w:t>
            </w:r>
          </w:p>
        </w:tc>
      </w:tr>
      <w:tr w14:paraId="7350C045">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F7769C">
            <w:r>
              <w:rPr>
                <w:rFonts w:ascii="Calibri" w:hAnsi="Calibri" w:eastAsia="Calibri" w:cs="Calibri"/>
                <w:sz w:val="17"/>
                <w:szCs w:val="17"/>
              </w:rPr>
              <w:t>3-Year Net Benefit (after all costs)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3E82CB">
            <w:r>
              <w:rPr>
                <w:rFonts w:ascii="Calibri" w:hAnsi="Calibri" w:eastAsia="Calibri" w:cs="Calibri"/>
                <w:sz w:val="17"/>
                <w:szCs w:val="17"/>
              </w:rPr>
              <w:t>AUD 202,660</w:t>
            </w:r>
          </w:p>
        </w:tc>
      </w:tr>
    </w:tbl>
    <w:p w14:paraId="5976E61B">
      <w:r>
        <w:br w:type="page"/>
      </w:r>
    </w:p>
    <w:p w14:paraId="10EBFB83">
      <w:pPr>
        <w:shd w:val="clear" w:fill="1B3A6B"/>
        <w:spacing w:before="220" w:after="100"/>
        <w:ind w:left="120" w:right="120"/>
      </w:pPr>
      <w:r>
        <w:rPr>
          <w:rFonts w:ascii="Calibri" w:hAnsi="Calibri" w:eastAsia="Calibri" w:cs="Calibri"/>
          <w:b/>
          <w:bCs/>
          <w:color w:val="FFFFFF"/>
          <w:sz w:val="24"/>
          <w:szCs w:val="24"/>
        </w:rPr>
        <w:t>5.  Risk Assessment</w:t>
      </w:r>
    </w:p>
    <w:p w14:paraId="1DA286D3">
      <w:pPr>
        <w:spacing w:before="40" w:after="40"/>
      </w:pP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5"/>
        <w:gridCol w:w="2187"/>
        <w:gridCol w:w="1991"/>
        <w:gridCol w:w="1752"/>
        <w:gridCol w:w="1790"/>
        <w:gridCol w:w="1795"/>
      </w:tblGrid>
      <w:tr w14:paraId="26700BAC">
        <w:trPr>
          <w:tblHeader/>
        </w:trPr>
        <w:tc>
          <w:tcPr>
            <w:tcW w:w="4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tcPr>
          <w:p w14:paraId="2FBBECD0">
            <w:pPr>
              <w:jc w:val="center"/>
            </w:pPr>
            <w:r>
              <w:rPr>
                <w:rFonts w:ascii="Calibri" w:hAnsi="Calibri" w:eastAsia="Calibri" w:cs="Calibri"/>
                <w:b/>
                <w:bCs/>
                <w:color w:val="FFFFFF"/>
                <w:sz w:val="16"/>
                <w:szCs w:val="16"/>
              </w:rPr>
              <w:t>#</w:t>
            </w:r>
          </w:p>
        </w:tc>
        <w:tc>
          <w:tcPr>
            <w:tcW w:w="22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tcPr>
          <w:p w14:paraId="28809419">
            <w:pPr>
              <w:jc w:val="center"/>
            </w:pPr>
            <w:r>
              <w:rPr>
                <w:rFonts w:ascii="Calibri" w:hAnsi="Calibri" w:eastAsia="Calibri" w:cs="Calibri"/>
                <w:b/>
                <w:bCs/>
                <w:color w:val="FFFFFF"/>
                <w:sz w:val="16"/>
                <w:szCs w:val="16"/>
              </w:rPr>
              <w:t>Risk</w:t>
            </w:r>
          </w:p>
        </w:tc>
        <w:tc>
          <w:tcPr>
            <w:tcW w:w="20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tcPr>
          <w:p w14:paraId="23112C50">
            <w:pPr>
              <w:jc w:val="center"/>
            </w:pPr>
            <w:r>
              <w:rPr>
                <w:rFonts w:ascii="Calibri" w:hAnsi="Calibri" w:eastAsia="Calibri" w:cs="Calibri"/>
                <w:b/>
                <w:bCs/>
                <w:color w:val="FFFFFF"/>
                <w:sz w:val="16"/>
                <w:szCs w:val="16"/>
              </w:rPr>
              <w:t>Description</w:t>
            </w:r>
          </w:p>
        </w:tc>
        <w:tc>
          <w:tcPr>
            <w:tcW w:w="176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tcPr>
          <w:p w14:paraId="491C3E5B">
            <w:pPr>
              <w:jc w:val="center"/>
            </w:pPr>
            <w:r>
              <w:rPr>
                <w:rFonts w:ascii="Calibri" w:hAnsi="Calibri" w:eastAsia="Calibri" w:cs="Calibri"/>
                <w:b/>
                <w:bCs/>
                <w:color w:val="FFFFFF"/>
                <w:sz w:val="16"/>
                <w:szCs w:val="16"/>
              </w:rPr>
              <w:t>Likelihood</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tcPr>
          <w:p w14:paraId="24D4FB82">
            <w:pPr>
              <w:jc w:val="center"/>
            </w:pPr>
            <w:r>
              <w:rPr>
                <w:rFonts w:ascii="Calibri" w:hAnsi="Calibri" w:eastAsia="Calibri" w:cs="Calibri"/>
                <w:b/>
                <w:bCs/>
                <w:color w:val="FFFFFF"/>
                <w:sz w:val="16"/>
                <w:szCs w:val="16"/>
              </w:rPr>
              <w:t>Impact</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80" w:type="dxa"/>
              <w:left w:w="120" w:type="dxa"/>
              <w:bottom w:w="80" w:type="dxa"/>
              <w:right w:w="120" w:type="dxa"/>
            </w:tcMar>
          </w:tcPr>
          <w:p w14:paraId="6BC8B3C9">
            <w:pPr>
              <w:jc w:val="center"/>
            </w:pPr>
            <w:r>
              <w:rPr>
                <w:rFonts w:ascii="Calibri" w:hAnsi="Calibri" w:eastAsia="Calibri" w:cs="Calibri"/>
                <w:b/>
                <w:bCs/>
                <w:color w:val="FFFFFF"/>
                <w:sz w:val="16"/>
                <w:szCs w:val="16"/>
              </w:rPr>
              <w:t>Mitigation</w:t>
            </w:r>
          </w:p>
        </w:tc>
      </w:tr>
      <w:tr w14:paraId="290146FC">
        <w:tc>
          <w:tcPr>
            <w:tcW w:w="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2436D98">
            <w:pPr>
              <w:jc w:val="center"/>
            </w:pPr>
            <w:r>
              <w:rPr>
                <w:rFonts w:ascii="Calibri" w:hAnsi="Calibri" w:eastAsia="Calibri" w:cs="Calibri"/>
                <w:b/>
                <w:bCs/>
                <w:sz w:val="16"/>
                <w:szCs w:val="16"/>
              </w:rPr>
              <w:t>R1</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481242A">
            <w:pPr>
              <w:jc w:val="left"/>
            </w:pPr>
            <w:r>
              <w:rPr>
                <w:rFonts w:ascii="Calibri" w:hAnsi="Calibri" w:eastAsia="Calibri" w:cs="Calibri"/>
                <w:b w:val="0"/>
                <w:bCs w:val="0"/>
                <w:sz w:val="16"/>
                <w:szCs w:val="16"/>
              </w:rPr>
              <w:t>Document matrix incomplete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6D923FC">
            <w:pPr>
              <w:jc w:val="left"/>
            </w:pPr>
            <w:r>
              <w:rPr>
                <w:rFonts w:ascii="Calibri" w:hAnsi="Calibri" w:eastAsia="Calibri" w:cs="Calibri"/>
                <w:b w:val="0"/>
                <w:bCs w:val="0"/>
                <w:sz w:val="16"/>
                <w:szCs w:val="16"/>
              </w:rPr>
              <w:t>Bot flags false positives if the document matrix does not cover all shipment profile combinations</w:t>
            </w:r>
          </w:p>
        </w:tc>
        <w:tc>
          <w:tcPr>
            <w:tcW w:w="1760" w:type="dxa"/>
            <w:tcBorders>
              <w:top w:val="single" w:color="E6A800" w:sz="0" w:space="0"/>
              <w:left w:val="single" w:color="E6A800" w:sz="0" w:space="0"/>
              <w:bottom w:val="single" w:color="E6A800" w:sz="0" w:space="0"/>
              <w:right w:val="single" w:color="E6A800" w:sz="0" w:space="0"/>
            </w:tcBorders>
            <w:shd w:val="clear" w:color="auto" w:fill="E6A800"/>
            <w:tcMar>
              <w:top w:w="80" w:type="dxa"/>
              <w:left w:w="120" w:type="dxa"/>
              <w:bottom w:w="80" w:type="dxa"/>
              <w:right w:w="120" w:type="dxa"/>
            </w:tcMar>
          </w:tcPr>
          <w:p w14:paraId="027B933A">
            <w:pPr>
              <w:jc w:val="center"/>
            </w:pPr>
            <w:r>
              <w:rPr>
                <w:rFonts w:ascii="Calibri" w:hAnsi="Calibri" w:eastAsia="Calibri" w:cs="Calibri"/>
                <w:b/>
                <w:bCs/>
                <w:color w:val="FFFFFF"/>
                <w:sz w:val="16"/>
                <w:szCs w:val="16"/>
              </w:rPr>
              <w:t>Medium</w:t>
            </w:r>
          </w:p>
        </w:tc>
        <w:tc>
          <w:tcPr>
            <w:tcW w:w="1800" w:type="dxa"/>
            <w:tcBorders>
              <w:top w:val="single" w:color="C00000" w:sz="0" w:space="0"/>
              <w:left w:val="single" w:color="C00000" w:sz="0" w:space="0"/>
              <w:bottom w:val="single" w:color="C00000" w:sz="0" w:space="0"/>
              <w:right w:val="single" w:color="C00000" w:sz="0" w:space="0"/>
            </w:tcBorders>
            <w:shd w:val="clear" w:color="auto" w:fill="C00000"/>
            <w:tcMar>
              <w:top w:w="80" w:type="dxa"/>
              <w:left w:w="120" w:type="dxa"/>
              <w:bottom w:w="80" w:type="dxa"/>
              <w:right w:w="120" w:type="dxa"/>
            </w:tcMar>
          </w:tcPr>
          <w:p w14:paraId="6984B095">
            <w:pPr>
              <w:jc w:val="center"/>
            </w:pPr>
            <w:r>
              <w:rPr>
                <w:rFonts w:ascii="Calibri" w:hAnsi="Calibri" w:eastAsia="Calibri" w:cs="Calibri"/>
                <w:b/>
                <w:bCs/>
                <w:color w:val="FFFFFF"/>
                <w:sz w:val="16"/>
                <w:szCs w:val="16"/>
              </w:rPr>
              <w:t>High</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75B2ABF">
            <w:r>
              <w:rPr>
                <w:rFonts w:ascii="Calibri" w:hAnsi="Calibri" w:eastAsia="Calibri" w:cs="Calibri"/>
                <w:sz w:val="16"/>
                <w:szCs w:val="16"/>
              </w:rPr>
              <w:t>Comprehensive matrix review conducted before bot deployment. Operations team signs off on matrix completeness.</w:t>
            </w:r>
          </w:p>
        </w:tc>
      </w:tr>
      <w:tr w14:paraId="159E5C4B">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1EDB90">
            <w:pPr>
              <w:jc w:val="center"/>
            </w:pPr>
            <w:r>
              <w:rPr>
                <w:rFonts w:ascii="Calibri" w:hAnsi="Calibri" w:eastAsia="Calibri" w:cs="Calibri"/>
                <w:b/>
                <w:bCs/>
                <w:sz w:val="16"/>
                <w:szCs w:val="16"/>
              </w:rPr>
              <w:t>R2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3B6EDF">
            <w:pPr>
              <w:jc w:val="left"/>
            </w:pPr>
            <w:r>
              <w:rPr>
                <w:rFonts w:ascii="Calibri" w:hAnsi="Calibri" w:eastAsia="Calibri" w:cs="Calibri"/>
                <w:b w:val="0"/>
                <w:bCs w:val="0"/>
                <w:sz w:val="16"/>
                <w:szCs w:val="16"/>
              </w:rPr>
              <w:t>CargoWise One data access changes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5836DE">
            <w:pPr>
              <w:jc w:val="left"/>
            </w:pPr>
            <w:r>
              <w:rPr>
                <w:rFonts w:ascii="Calibri" w:hAnsi="Calibri" w:eastAsia="Calibri" w:cs="Calibri"/>
                <w:b w:val="0"/>
                <w:bCs w:val="0"/>
                <w:sz w:val="16"/>
                <w:szCs w:val="16"/>
              </w:rPr>
              <w:t>System updates to CargoWise One could affect bot data access paths and cause failures</w:t>
            </w:r>
          </w:p>
        </w:tc>
        <w:tc>
          <w:tcPr>
            <w:tcW w:w="1760" w:type="dxa"/>
            <w:tcBorders>
              <w:top w:val="single" w:color="3B6D11" w:sz="0" w:space="0"/>
              <w:left w:val="single" w:color="3B6D11" w:sz="0" w:space="0"/>
              <w:bottom w:val="single" w:color="3B6D11" w:sz="0" w:space="0"/>
              <w:right w:val="single" w:color="3B6D11" w:sz="0" w:space="0"/>
            </w:tcBorders>
            <w:shd w:val="clear" w:color="auto" w:fill="3B6D11"/>
            <w:tcMar>
              <w:top w:w="80" w:type="dxa"/>
              <w:left w:w="120" w:type="dxa"/>
              <w:bottom w:w="80" w:type="dxa"/>
              <w:right w:w="120" w:type="dxa"/>
            </w:tcMar>
          </w:tcPr>
          <w:p w14:paraId="49246EA1">
            <w:pPr>
              <w:jc w:val="center"/>
            </w:pPr>
            <w:r>
              <w:rPr>
                <w:rFonts w:ascii="Calibri" w:hAnsi="Calibri" w:eastAsia="Calibri" w:cs="Calibri"/>
                <w:b/>
                <w:bCs/>
                <w:color w:val="FFFFFF"/>
                <w:sz w:val="16"/>
                <w:szCs w:val="16"/>
              </w:rPr>
              <w:t>Low</w:t>
            </w:r>
          </w:p>
        </w:tc>
        <w:tc>
          <w:tcPr>
            <w:tcW w:w="1800" w:type="dxa"/>
            <w:tcBorders>
              <w:top w:val="single" w:color="C00000" w:sz="0" w:space="0"/>
              <w:left w:val="single" w:color="C00000" w:sz="0" w:space="0"/>
              <w:bottom w:val="single" w:color="C00000" w:sz="0" w:space="0"/>
              <w:right w:val="single" w:color="C00000" w:sz="0" w:space="0"/>
            </w:tcBorders>
            <w:shd w:val="clear" w:color="auto" w:fill="C00000"/>
            <w:tcMar>
              <w:top w:w="80" w:type="dxa"/>
              <w:left w:w="120" w:type="dxa"/>
              <w:bottom w:w="80" w:type="dxa"/>
              <w:right w:w="120" w:type="dxa"/>
            </w:tcMar>
          </w:tcPr>
          <w:p w14:paraId="47079C43">
            <w:pPr>
              <w:jc w:val="center"/>
            </w:pPr>
            <w:r>
              <w:rPr>
                <w:rFonts w:ascii="Calibri" w:hAnsi="Calibri" w:eastAsia="Calibri" w:cs="Calibri"/>
                <w:b/>
                <w:bCs/>
                <w:color w:val="FFFFFF"/>
                <w:sz w:val="16"/>
                <w:szCs w:val="16"/>
              </w:rPr>
              <w:t>High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60807F">
            <w:r>
              <w:rPr>
                <w:rFonts w:ascii="Calibri" w:hAnsi="Calibri" w:eastAsia="Calibri" w:cs="Calibri"/>
                <w:sz w:val="16"/>
                <w:szCs w:val="16"/>
              </w:rPr>
              <w:t>Bot built with resilience checks. System Administrator notified before any CargoWise One updates.</w:t>
            </w:r>
          </w:p>
        </w:tc>
      </w:tr>
      <w:tr w14:paraId="29095D66">
        <w:tc>
          <w:tcPr>
            <w:tcW w:w="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F78854F">
            <w:pPr>
              <w:jc w:val="center"/>
            </w:pPr>
            <w:r>
              <w:rPr>
                <w:rFonts w:ascii="Calibri" w:hAnsi="Calibri" w:eastAsia="Calibri" w:cs="Calibri"/>
                <w:b/>
                <w:bCs/>
                <w:sz w:val="16"/>
                <w:szCs w:val="16"/>
              </w:rPr>
              <w:t>R3</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65BC1F1">
            <w:pPr>
              <w:jc w:val="left"/>
            </w:pPr>
            <w:r>
              <w:rPr>
                <w:rFonts w:ascii="Calibri" w:hAnsi="Calibri" w:eastAsia="Calibri" w:cs="Calibri"/>
                <w:b w:val="0"/>
                <w:bCs w:val="0"/>
                <w:sz w:val="16"/>
                <w:szCs w:val="16"/>
              </w:rPr>
              <w:t>Operator resistance to automation</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486C1D8">
            <w:pPr>
              <w:jc w:val="left"/>
            </w:pPr>
            <w:r>
              <w:rPr>
                <w:rFonts w:ascii="Calibri" w:hAnsi="Calibri" w:eastAsia="Calibri" w:cs="Calibri"/>
                <w:b w:val="0"/>
                <w:bCs w:val="0"/>
                <w:sz w:val="16"/>
                <w:szCs w:val="16"/>
              </w:rPr>
              <w:t>Operations staff may be reluctant to trust bot validation outputs initially</w:t>
            </w:r>
          </w:p>
        </w:tc>
        <w:tc>
          <w:tcPr>
            <w:tcW w:w="1760" w:type="dxa"/>
            <w:tcBorders>
              <w:top w:val="single" w:color="E6A800" w:sz="0" w:space="0"/>
              <w:left w:val="single" w:color="E6A800" w:sz="0" w:space="0"/>
              <w:bottom w:val="single" w:color="E6A800" w:sz="0" w:space="0"/>
              <w:right w:val="single" w:color="E6A800" w:sz="0" w:space="0"/>
            </w:tcBorders>
            <w:shd w:val="clear" w:color="auto" w:fill="E6A800"/>
            <w:tcMar>
              <w:top w:w="80" w:type="dxa"/>
              <w:left w:w="120" w:type="dxa"/>
              <w:bottom w:w="80" w:type="dxa"/>
              <w:right w:w="120" w:type="dxa"/>
            </w:tcMar>
          </w:tcPr>
          <w:p w14:paraId="5E30350C">
            <w:pPr>
              <w:jc w:val="center"/>
            </w:pPr>
            <w:r>
              <w:rPr>
                <w:rFonts w:ascii="Calibri" w:hAnsi="Calibri" w:eastAsia="Calibri" w:cs="Calibri"/>
                <w:b/>
                <w:bCs/>
                <w:color w:val="FFFFFF"/>
                <w:sz w:val="16"/>
                <w:szCs w:val="16"/>
              </w:rPr>
              <w:t>Medium</w:t>
            </w:r>
          </w:p>
        </w:tc>
        <w:tc>
          <w:tcPr>
            <w:tcW w:w="1800" w:type="dxa"/>
            <w:tcBorders>
              <w:top w:val="single" w:color="E6A800" w:sz="0" w:space="0"/>
              <w:left w:val="single" w:color="E6A800" w:sz="0" w:space="0"/>
              <w:bottom w:val="single" w:color="E6A800" w:sz="0" w:space="0"/>
              <w:right w:val="single" w:color="E6A800" w:sz="0" w:space="0"/>
            </w:tcBorders>
            <w:shd w:val="clear" w:color="auto" w:fill="E6A800"/>
            <w:tcMar>
              <w:top w:w="80" w:type="dxa"/>
              <w:left w:w="120" w:type="dxa"/>
              <w:bottom w:w="80" w:type="dxa"/>
              <w:right w:w="120" w:type="dxa"/>
            </w:tcMar>
          </w:tcPr>
          <w:p w14:paraId="073D6156">
            <w:pPr>
              <w:jc w:val="center"/>
            </w:pPr>
            <w:r>
              <w:rPr>
                <w:rFonts w:ascii="Calibri" w:hAnsi="Calibri" w:eastAsia="Calibri" w:cs="Calibri"/>
                <w:b/>
                <w:bCs/>
                <w:color w:val="FFFFFF"/>
                <w:sz w:val="16"/>
                <w:szCs w:val="16"/>
              </w:rPr>
              <w:t>Medium</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D2F3292">
            <w:r>
              <w:rPr>
                <w:rFonts w:ascii="Calibri" w:hAnsi="Calibri" w:eastAsia="Calibri" w:cs="Calibri"/>
                <w:sz w:val="16"/>
                <w:szCs w:val="16"/>
              </w:rPr>
              <w:t>Change management briefing included in implementation plan. Parallel run period planned for first two weeks post go-live.</w:t>
            </w:r>
          </w:p>
        </w:tc>
      </w:tr>
      <w:tr w14:paraId="25C6A217">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A37E21">
            <w:pPr>
              <w:jc w:val="center"/>
            </w:pPr>
            <w:r>
              <w:rPr>
                <w:rFonts w:ascii="Calibri" w:hAnsi="Calibri" w:eastAsia="Calibri" w:cs="Calibri"/>
                <w:b/>
                <w:bCs/>
                <w:sz w:val="16"/>
                <w:szCs w:val="16"/>
              </w:rPr>
              <w:t>R4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81BB81">
            <w:pPr>
              <w:jc w:val="left"/>
            </w:pPr>
            <w:r>
              <w:rPr>
                <w:rFonts w:ascii="Calibri" w:hAnsi="Calibri" w:eastAsia="Calibri" w:cs="Calibri"/>
                <w:b w:val="0"/>
                <w:bCs w:val="0"/>
                <w:sz w:val="16"/>
                <w:szCs w:val="16"/>
              </w:rPr>
              <w:t>Bot handling edge cases incorrectly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5FD30">
            <w:pPr>
              <w:jc w:val="left"/>
            </w:pPr>
            <w:r>
              <w:rPr>
                <w:rFonts w:ascii="Calibri" w:hAnsi="Calibri" w:eastAsia="Calibri" w:cs="Calibri"/>
                <w:b w:val="0"/>
                <w:bCs w:val="0"/>
                <w:sz w:val="16"/>
                <w:szCs w:val="16"/>
              </w:rPr>
              <w:t>Unusual shipment profiles not covered by matrix rules may be misclassified</w:t>
            </w:r>
          </w:p>
        </w:tc>
        <w:tc>
          <w:tcPr>
            <w:tcW w:w="1760" w:type="dxa"/>
            <w:tcBorders>
              <w:top w:val="single" w:color="3B6D11" w:sz="0" w:space="0"/>
              <w:left w:val="single" w:color="3B6D11" w:sz="0" w:space="0"/>
              <w:bottom w:val="single" w:color="3B6D11" w:sz="0" w:space="0"/>
              <w:right w:val="single" w:color="3B6D11" w:sz="0" w:space="0"/>
            </w:tcBorders>
            <w:shd w:val="clear" w:color="auto" w:fill="3B6D11"/>
            <w:tcMar>
              <w:top w:w="80" w:type="dxa"/>
              <w:left w:w="120" w:type="dxa"/>
              <w:bottom w:w="80" w:type="dxa"/>
              <w:right w:w="120" w:type="dxa"/>
            </w:tcMar>
          </w:tcPr>
          <w:p w14:paraId="537BEE9A">
            <w:pPr>
              <w:jc w:val="center"/>
            </w:pPr>
            <w:r>
              <w:rPr>
                <w:rFonts w:ascii="Calibri" w:hAnsi="Calibri" w:eastAsia="Calibri" w:cs="Calibri"/>
                <w:b/>
                <w:bCs/>
                <w:color w:val="FFFFFF"/>
                <w:sz w:val="16"/>
                <w:szCs w:val="16"/>
              </w:rPr>
              <w:t>Low</w:t>
            </w:r>
          </w:p>
        </w:tc>
        <w:tc>
          <w:tcPr>
            <w:tcW w:w="1800" w:type="dxa"/>
            <w:tcBorders>
              <w:top w:val="single" w:color="E6A800" w:sz="0" w:space="0"/>
              <w:left w:val="single" w:color="E6A800" w:sz="0" w:space="0"/>
              <w:bottom w:val="single" w:color="E6A800" w:sz="0" w:space="0"/>
              <w:right w:val="single" w:color="E6A800" w:sz="0" w:space="0"/>
            </w:tcBorders>
            <w:shd w:val="clear" w:color="auto" w:fill="E6A800"/>
            <w:tcMar>
              <w:top w:w="80" w:type="dxa"/>
              <w:left w:w="120" w:type="dxa"/>
              <w:bottom w:w="80" w:type="dxa"/>
              <w:right w:w="120" w:type="dxa"/>
            </w:tcMar>
          </w:tcPr>
          <w:p w14:paraId="554D0C85">
            <w:pPr>
              <w:jc w:val="center"/>
            </w:pPr>
            <w:r>
              <w:rPr>
                <w:rFonts w:ascii="Calibri" w:hAnsi="Calibri" w:eastAsia="Calibri" w:cs="Calibri"/>
                <w:b/>
                <w:bCs/>
                <w:color w:val="FFFFFF"/>
                <w:sz w:val="16"/>
                <w:szCs w:val="16"/>
              </w:rPr>
              <w:t>Medium</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879F9D">
            <w:r>
              <w:rPr>
                <w:rFonts w:ascii="Calibri" w:hAnsi="Calibri" w:eastAsia="Calibri" w:cs="Calibri"/>
                <w:sz w:val="16"/>
                <w:szCs w:val="16"/>
              </w:rPr>
              <w:t>All unrecognised shipment profiles escalated to operator by default. No silent failures permitted.</w:t>
            </w:r>
          </w:p>
        </w:tc>
      </w:tr>
      <w:tr w14:paraId="7E76B3C9">
        <w:tc>
          <w:tcPr>
            <w:tcW w:w="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8801B2">
            <w:pPr>
              <w:jc w:val="center"/>
            </w:pPr>
            <w:r>
              <w:rPr>
                <w:rFonts w:ascii="Calibri" w:hAnsi="Calibri" w:eastAsia="Calibri" w:cs="Calibri"/>
                <w:b/>
                <w:bCs/>
                <w:sz w:val="16"/>
                <w:szCs w:val="16"/>
              </w:rPr>
              <w:t>R5</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83C966">
            <w:pPr>
              <w:jc w:val="left"/>
            </w:pPr>
            <w:r>
              <w:rPr>
                <w:rFonts w:ascii="Calibri" w:hAnsi="Calibri" w:eastAsia="Calibri" w:cs="Calibri"/>
                <w:b w:val="0"/>
                <w:bCs w:val="0"/>
                <w:sz w:val="16"/>
                <w:szCs w:val="16"/>
              </w:rPr>
              <w:t>Licence cost increase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EB6D224">
            <w:pPr>
              <w:jc w:val="left"/>
            </w:pPr>
            <w:r>
              <w:rPr>
                <w:rFonts w:ascii="Calibri" w:hAnsi="Calibri" w:eastAsia="Calibri" w:cs="Calibri"/>
                <w:b w:val="0"/>
                <w:bCs w:val="0"/>
                <w:sz w:val="16"/>
                <w:szCs w:val="16"/>
              </w:rPr>
              <w:t>Automation Anywhere licence costs may increase at renewal</w:t>
            </w:r>
          </w:p>
        </w:tc>
        <w:tc>
          <w:tcPr>
            <w:tcW w:w="1760" w:type="dxa"/>
            <w:tcBorders>
              <w:top w:val="single" w:color="3B6D11" w:sz="0" w:space="0"/>
              <w:left w:val="single" w:color="3B6D11" w:sz="0" w:space="0"/>
              <w:bottom w:val="single" w:color="3B6D11" w:sz="0" w:space="0"/>
              <w:right w:val="single" w:color="3B6D11" w:sz="0" w:space="0"/>
            </w:tcBorders>
            <w:shd w:val="clear" w:color="auto" w:fill="3B6D11"/>
            <w:tcMar>
              <w:top w:w="80" w:type="dxa"/>
              <w:left w:w="120" w:type="dxa"/>
              <w:bottom w:w="80" w:type="dxa"/>
              <w:right w:w="120" w:type="dxa"/>
            </w:tcMar>
          </w:tcPr>
          <w:p w14:paraId="7F1B13D1">
            <w:pPr>
              <w:jc w:val="center"/>
            </w:pPr>
            <w:r>
              <w:rPr>
                <w:rFonts w:ascii="Calibri" w:hAnsi="Calibri" w:eastAsia="Calibri" w:cs="Calibri"/>
                <w:b/>
                <w:bCs/>
                <w:color w:val="FFFFFF"/>
                <w:sz w:val="16"/>
                <w:szCs w:val="16"/>
              </w:rPr>
              <w:t>Low</w:t>
            </w:r>
          </w:p>
        </w:tc>
        <w:tc>
          <w:tcPr>
            <w:tcW w:w="1800" w:type="dxa"/>
            <w:tcBorders>
              <w:top w:val="single" w:color="3B6D11" w:sz="0" w:space="0"/>
              <w:left w:val="single" w:color="3B6D11" w:sz="0" w:space="0"/>
              <w:bottom w:val="single" w:color="3B6D11" w:sz="0" w:space="0"/>
              <w:right w:val="single" w:color="3B6D11" w:sz="0" w:space="0"/>
            </w:tcBorders>
            <w:shd w:val="clear" w:color="auto" w:fill="3B6D11"/>
            <w:tcMar>
              <w:top w:w="80" w:type="dxa"/>
              <w:left w:w="120" w:type="dxa"/>
              <w:bottom w:w="80" w:type="dxa"/>
              <w:right w:w="120" w:type="dxa"/>
            </w:tcMar>
          </w:tcPr>
          <w:p w14:paraId="09B1C90C">
            <w:pPr>
              <w:jc w:val="center"/>
            </w:pPr>
            <w:r>
              <w:rPr>
                <w:rFonts w:ascii="Calibri" w:hAnsi="Calibri" w:eastAsia="Calibri" w:cs="Calibri"/>
                <w:b/>
                <w:bCs/>
                <w:color w:val="FFFFFF"/>
                <w:sz w:val="16"/>
                <w:szCs w:val="16"/>
              </w:rPr>
              <w:t>Low</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31E893C">
            <w:r>
              <w:rPr>
                <w:rFonts w:ascii="Calibri" w:hAnsi="Calibri" w:eastAsia="Calibri" w:cs="Calibri"/>
                <w:sz w:val="16"/>
                <w:szCs w:val="16"/>
              </w:rPr>
              <w:t>Annual licence cost reviewed against benefit realisation at each renewal. Alternative platforms assessed if cost exceeds threshold.</w:t>
            </w:r>
          </w:p>
        </w:tc>
      </w:tr>
    </w:tbl>
    <w:p w14:paraId="0E33A1FF">
      <w:pPr>
        <w:spacing w:before="40" w:after="40"/>
      </w:pPr>
    </w:p>
    <w:p w14:paraId="55E59149">
      <w:r>
        <w:br w:type="page"/>
      </w:r>
    </w:p>
    <w:p w14:paraId="2FCFE9FA">
      <w:pPr>
        <w:shd w:val="clear" w:fill="1B3A6B"/>
        <w:spacing w:before="220" w:after="100"/>
        <w:ind w:left="120" w:right="120"/>
      </w:pPr>
      <w:r>
        <w:rPr>
          <w:rFonts w:ascii="Calibri" w:hAnsi="Calibri" w:eastAsia="Calibri" w:cs="Calibri"/>
          <w:b/>
          <w:bCs/>
          <w:color w:val="FFFFFF"/>
          <w:sz w:val="24"/>
          <w:szCs w:val="24"/>
        </w:rPr>
        <w:t>6.  Implementation Approach</w:t>
      </w:r>
    </w:p>
    <w:p w14:paraId="77A95219">
      <w:pPr>
        <w:spacing w:before="40" w:after="40"/>
      </w:pPr>
    </w:p>
    <w:p w14:paraId="2CC4E98D">
      <w:pPr>
        <w:pBdr>
          <w:bottom w:val="single" w:color="1B3A6B" w:sz="6" w:space="1"/>
        </w:pBdr>
        <w:spacing w:before="200" w:after="80"/>
      </w:pPr>
      <w:r>
        <w:rPr>
          <w:rFonts w:ascii="Calibri" w:hAnsi="Calibri" w:eastAsia="Calibri" w:cs="Calibri"/>
          <w:b/>
          <w:bCs/>
          <w:color w:val="1B3A6B"/>
          <w:sz w:val="20"/>
          <w:szCs w:val="20"/>
        </w:rPr>
        <w:t>6.1  Implementation Phases</w:t>
      </w: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400"/>
        <w:gridCol w:w="2200"/>
        <w:gridCol w:w="1160"/>
      </w:tblGrid>
      <w:tr w14:paraId="394BE106">
        <w:trPr>
          <w:tblHeader/>
        </w:trPr>
        <w:tc>
          <w:tcPr>
            <w:tcW w:w="22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7284FAD8">
            <w:pPr>
              <w:jc w:val="center"/>
            </w:pPr>
            <w:r>
              <w:rPr>
                <w:rFonts w:ascii="Calibri" w:hAnsi="Calibri" w:eastAsia="Calibri" w:cs="Calibri"/>
                <w:b/>
                <w:bCs/>
                <w:color w:val="FFFFFF"/>
                <w:sz w:val="17"/>
                <w:szCs w:val="17"/>
              </w:rPr>
              <w:t>Phase</w:t>
            </w:r>
          </w:p>
        </w:tc>
        <w:tc>
          <w:tcPr>
            <w:tcW w:w="44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1FB31B9D">
            <w:pPr>
              <w:jc w:val="center"/>
            </w:pPr>
            <w:r>
              <w:rPr>
                <w:rFonts w:ascii="Calibri" w:hAnsi="Calibri" w:eastAsia="Calibri" w:cs="Calibri"/>
                <w:b/>
                <w:bCs/>
                <w:color w:val="FFFFFF"/>
                <w:sz w:val="17"/>
                <w:szCs w:val="17"/>
              </w:rPr>
              <w:t>Activity</w:t>
            </w:r>
          </w:p>
        </w:tc>
        <w:tc>
          <w:tcPr>
            <w:tcW w:w="22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1F85408E">
            <w:pPr>
              <w:jc w:val="center"/>
            </w:pPr>
            <w:r>
              <w:rPr>
                <w:rFonts w:ascii="Calibri" w:hAnsi="Calibri" w:eastAsia="Calibri" w:cs="Calibri"/>
                <w:b/>
                <w:bCs/>
                <w:color w:val="FFFFFF"/>
                <w:sz w:val="17"/>
                <w:szCs w:val="17"/>
              </w:rPr>
              <w:t>Owner</w:t>
            </w:r>
          </w:p>
        </w:tc>
        <w:tc>
          <w:tcPr>
            <w:tcW w:w="116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0204929F">
            <w:pPr>
              <w:jc w:val="center"/>
            </w:pPr>
            <w:r>
              <w:rPr>
                <w:rFonts w:ascii="Calibri" w:hAnsi="Calibri" w:eastAsia="Calibri" w:cs="Calibri"/>
                <w:b/>
                <w:bCs/>
                <w:color w:val="FFFFFF"/>
                <w:sz w:val="17"/>
                <w:szCs w:val="17"/>
              </w:rPr>
              <w:t>Duration</w:t>
            </w:r>
          </w:p>
        </w:tc>
      </w:tr>
      <w:tr w14:paraId="7652E62E">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6B11C4">
            <w:r>
              <w:rPr>
                <w:rFonts w:ascii="Calibri" w:hAnsi="Calibri" w:eastAsia="Calibri" w:cs="Calibri"/>
                <w:sz w:val="17"/>
                <w:szCs w:val="17"/>
              </w:rPr>
              <w:t>Phase 1, Discovery</w:t>
            </w:r>
          </w:p>
        </w:tc>
        <w:tc>
          <w:tcPr>
            <w:tcW w:w="4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F60085">
            <w:r>
              <w:rPr>
                <w:rFonts w:ascii="Calibri" w:hAnsi="Calibri" w:eastAsia="Calibri" w:cs="Calibri"/>
                <w:sz w:val="17"/>
                <w:szCs w:val="17"/>
              </w:rPr>
              <w:t>Document matrix finalisation and CargoWise One data mapping. RPA developer briefing and bot design sign-off.</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655EA98">
            <w:r>
              <w:rPr>
                <w:rFonts w:ascii="Calibri" w:hAnsi="Calibri" w:eastAsia="Calibri" w:cs="Calibri"/>
                <w:sz w:val="17"/>
                <w:szCs w:val="17"/>
              </w:rPr>
              <w:t>BA with System Administrator</w:t>
            </w:r>
          </w:p>
        </w:tc>
        <w:tc>
          <w:tcPr>
            <w:tcW w:w="1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E98343">
            <w:r>
              <w:rPr>
                <w:rFonts w:ascii="Calibri" w:hAnsi="Calibri" w:eastAsia="Calibri" w:cs="Calibri"/>
                <w:sz w:val="17"/>
                <w:szCs w:val="17"/>
              </w:rPr>
              <w:t>1 week</w:t>
            </w:r>
          </w:p>
        </w:tc>
      </w:tr>
      <w:tr w14:paraId="2AF7CD64">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F714D5">
            <w:r>
              <w:rPr>
                <w:rFonts w:ascii="Calibri" w:hAnsi="Calibri" w:eastAsia="Calibri" w:cs="Calibri"/>
                <w:sz w:val="17"/>
                <w:szCs w:val="17"/>
              </w:rPr>
              <w:t>Phase 2, Development</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F8A7A">
            <w:r>
              <w:rPr>
                <w:rFonts w:ascii="Calibri" w:hAnsi="Calibri" w:eastAsia="Calibri" w:cs="Calibri"/>
                <w:sz w:val="17"/>
                <w:szCs w:val="17"/>
              </w:rPr>
              <w:t>Automation Anywhere bot development covering monitoring, data extraction, rule application, logging, and exception escalation.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EB09C5">
            <w:r>
              <w:rPr>
                <w:rFonts w:ascii="Calibri" w:hAnsi="Calibri" w:eastAsia="Calibri" w:cs="Calibri"/>
                <w:sz w:val="17"/>
                <w:szCs w:val="17"/>
              </w:rPr>
              <w:t>RPA Developer</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4189B9">
            <w:r>
              <w:rPr>
                <w:rFonts w:ascii="Calibri" w:hAnsi="Calibri" w:eastAsia="Calibri" w:cs="Calibri"/>
                <w:sz w:val="17"/>
                <w:szCs w:val="17"/>
              </w:rPr>
              <w:t>2 weeks</w:t>
            </w:r>
          </w:p>
        </w:tc>
      </w:tr>
      <w:tr w14:paraId="116DB5C7">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A1B40B7">
            <w:r>
              <w:rPr>
                <w:rFonts w:ascii="Calibri" w:hAnsi="Calibri" w:eastAsia="Calibri" w:cs="Calibri"/>
                <w:sz w:val="17"/>
                <w:szCs w:val="17"/>
              </w:rPr>
              <w:t>Phase 3, Testing</w:t>
            </w:r>
          </w:p>
        </w:tc>
        <w:tc>
          <w:tcPr>
            <w:tcW w:w="4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5839B6">
            <w:r>
              <w:rPr>
                <w:rFonts w:ascii="Calibri" w:hAnsi="Calibri" w:eastAsia="Calibri" w:cs="Calibri"/>
                <w:sz w:val="17"/>
                <w:szCs w:val="17"/>
              </w:rPr>
              <w:t>Bot testing in CargoWise One UAT environment across all shipment types in the document matrix. Defect resolution.</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A6FAC1">
            <w:r>
              <w:rPr>
                <w:rFonts w:ascii="Calibri" w:hAnsi="Calibri" w:eastAsia="Calibri" w:cs="Calibri"/>
                <w:sz w:val="17"/>
                <w:szCs w:val="17"/>
              </w:rPr>
              <w:t>RPA Developer with BA</w:t>
            </w:r>
          </w:p>
        </w:tc>
        <w:tc>
          <w:tcPr>
            <w:tcW w:w="1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F3BCC7C">
            <w:r>
              <w:rPr>
                <w:rFonts w:ascii="Calibri" w:hAnsi="Calibri" w:eastAsia="Calibri" w:cs="Calibri"/>
                <w:sz w:val="17"/>
                <w:szCs w:val="17"/>
              </w:rPr>
              <w:t>1 week</w:t>
            </w:r>
          </w:p>
        </w:tc>
      </w:tr>
      <w:tr w14:paraId="2E7B7A88">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4382FC">
            <w:r>
              <w:rPr>
                <w:rFonts w:ascii="Calibri" w:hAnsi="Calibri" w:eastAsia="Calibri" w:cs="Calibri"/>
                <w:sz w:val="17"/>
                <w:szCs w:val="17"/>
              </w:rPr>
              <w:t>Phase 4, Parallel Run</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CA97B9">
            <w:r>
              <w:rPr>
                <w:rFonts w:ascii="Calibri" w:hAnsi="Calibri" w:eastAsia="Calibri" w:cs="Calibri"/>
                <w:sz w:val="17"/>
                <w:szCs w:val="17"/>
              </w:rPr>
              <w:t>Bot runs alongside manual process for two weeks. Results compared to validate accuracy before manual process is retired.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830BB4">
            <w:r>
              <w:rPr>
                <w:rFonts w:ascii="Calibri" w:hAnsi="Calibri" w:eastAsia="Calibri" w:cs="Calibri"/>
                <w:sz w:val="17"/>
                <w:szCs w:val="17"/>
              </w:rPr>
              <w:t>Operations Team with BA</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F5035">
            <w:r>
              <w:rPr>
                <w:rFonts w:ascii="Calibri" w:hAnsi="Calibri" w:eastAsia="Calibri" w:cs="Calibri"/>
                <w:sz w:val="17"/>
                <w:szCs w:val="17"/>
              </w:rPr>
              <w:t>2 weeks</w:t>
            </w:r>
          </w:p>
        </w:tc>
      </w:tr>
      <w:tr w14:paraId="4866EDED">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8D2E9E">
            <w:r>
              <w:rPr>
                <w:rFonts w:ascii="Calibri" w:hAnsi="Calibri" w:eastAsia="Calibri" w:cs="Calibri"/>
                <w:sz w:val="17"/>
                <w:szCs w:val="17"/>
              </w:rPr>
              <w:t>Phase 5, Go-Live</w:t>
            </w:r>
          </w:p>
        </w:tc>
        <w:tc>
          <w:tcPr>
            <w:tcW w:w="4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D261AAA">
            <w:r>
              <w:rPr>
                <w:rFonts w:ascii="Calibri" w:hAnsi="Calibri" w:eastAsia="Calibri" w:cs="Calibri"/>
                <w:sz w:val="17"/>
                <w:szCs w:val="17"/>
              </w:rPr>
              <w:t>Manual completeness check retired. Bot operates as primary validation mechanism. Operations team handles exceptions only.</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7FCC80">
            <w:r>
              <w:rPr>
                <w:rFonts w:ascii="Calibri" w:hAnsi="Calibri" w:eastAsia="Calibri" w:cs="Calibri"/>
                <w:sz w:val="17"/>
                <w:szCs w:val="17"/>
              </w:rPr>
              <w:t>System Administrator</w:t>
            </w:r>
          </w:p>
        </w:tc>
        <w:tc>
          <w:tcPr>
            <w:tcW w:w="1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0744D27">
            <w:r>
              <w:rPr>
                <w:rFonts w:ascii="Calibri" w:hAnsi="Calibri" w:eastAsia="Calibri" w:cs="Calibri"/>
                <w:sz w:val="17"/>
                <w:szCs w:val="17"/>
              </w:rPr>
              <w:t>1 day</w:t>
            </w:r>
          </w:p>
        </w:tc>
      </w:tr>
      <w:tr w14:paraId="00871321">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2BFFA3">
            <w:r>
              <w:rPr>
                <w:rFonts w:ascii="Calibri" w:hAnsi="Calibri" w:eastAsia="Calibri" w:cs="Calibri"/>
                <w:sz w:val="17"/>
                <w:szCs w:val="17"/>
              </w:rPr>
              <w:t>Phase 6, Review</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3A7040">
            <w:r>
              <w:rPr>
                <w:rFonts w:ascii="Calibri" w:hAnsi="Calibri" w:eastAsia="Calibri" w:cs="Calibri"/>
                <w:sz w:val="17"/>
                <w:szCs w:val="17"/>
              </w:rPr>
              <w:t>30-day post go-live review of bot accuracy, exception rate, and time savings against projected benefits.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D1DDCB">
            <w:r>
              <w:rPr>
                <w:rFonts w:ascii="Calibri" w:hAnsi="Calibri" w:eastAsia="Calibri" w:cs="Calibri"/>
                <w:sz w:val="17"/>
                <w:szCs w:val="17"/>
              </w:rPr>
              <w:t>BA</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6266F0">
            <w:r>
              <w:rPr>
                <w:rFonts w:ascii="Calibri" w:hAnsi="Calibri" w:eastAsia="Calibri" w:cs="Calibri"/>
                <w:sz w:val="17"/>
                <w:szCs w:val="17"/>
              </w:rPr>
              <w:t>Ongoing</w:t>
            </w:r>
          </w:p>
        </w:tc>
      </w:tr>
    </w:tbl>
    <w:p w14:paraId="2755C729">
      <w:pPr>
        <w:spacing w:before="40" w:after="40"/>
      </w:pPr>
    </w:p>
    <w:p w14:paraId="7B1B67CE">
      <w:pPr>
        <w:pBdr>
          <w:bottom w:val="single" w:color="1B3A6B" w:sz="6" w:space="1"/>
        </w:pBdr>
        <w:spacing w:before="200" w:after="80"/>
      </w:pPr>
      <w:r>
        <w:rPr>
          <w:rFonts w:ascii="Calibri" w:hAnsi="Calibri" w:eastAsia="Calibri" w:cs="Calibri"/>
          <w:b/>
          <w:bCs/>
          <w:color w:val="1B3A6B"/>
          <w:sz w:val="20"/>
          <w:szCs w:val="20"/>
        </w:rPr>
        <w:t>6.2  Success Criteria</w:t>
      </w:r>
    </w:p>
    <w:p w14:paraId="7737C766">
      <w:pPr>
        <w:spacing w:before="60" w:after="80"/>
        <w:jc w:val="left"/>
      </w:pPr>
      <w:r>
        <w:rPr>
          <w:rFonts w:ascii="Calibri" w:hAnsi="Calibri" w:eastAsia="Calibri" w:cs="Calibri"/>
          <w:b w:val="0"/>
          <w:bCs w:val="0"/>
          <w:i w:val="0"/>
          <w:iCs w:val="0"/>
          <w:color w:val="000000"/>
          <w:sz w:val="18"/>
          <w:szCs w:val="18"/>
        </w:rPr>
        <w:t>The implementation will be considered successful when the following criteria are met at the 30-day post go-live review.</w:t>
      </w:r>
    </w:p>
    <w:p w14:paraId="1BEBC0F1">
      <w:pPr>
        <w:pStyle w:val="16"/>
        <w:numPr>
          <w:ilvl w:val="0"/>
          <w:numId w:val="1"/>
        </w:numPr>
        <w:spacing w:before="30" w:after="30"/>
      </w:pPr>
      <w:r>
        <w:rPr>
          <w:rFonts w:ascii="Calibri" w:hAnsi="Calibri" w:eastAsia="Calibri" w:cs="Calibri"/>
          <w:sz w:val="18"/>
          <w:szCs w:val="18"/>
        </w:rPr>
        <w:t>Bot validation accuracy is greater than 97 percent across all shipment types processed</w:t>
      </w:r>
    </w:p>
    <w:p w14:paraId="3355568C">
      <w:pPr>
        <w:pStyle w:val="16"/>
        <w:numPr>
          <w:ilvl w:val="0"/>
          <w:numId w:val="1"/>
        </w:numPr>
        <w:spacing w:before="30" w:after="30"/>
      </w:pPr>
      <w:r>
        <w:rPr>
          <w:rFonts w:ascii="Calibri" w:hAnsi="Calibri" w:eastAsia="Calibri" w:cs="Calibri"/>
          <w:sz w:val="18"/>
          <w:szCs w:val="18"/>
        </w:rPr>
        <w:t>Documentation error rate has reduced from 12 percent to less than 3 percent of shipments</w:t>
      </w:r>
    </w:p>
    <w:p w14:paraId="01096C46">
      <w:pPr>
        <w:pStyle w:val="16"/>
        <w:numPr>
          <w:ilvl w:val="0"/>
          <w:numId w:val="1"/>
        </w:numPr>
        <w:spacing w:before="30" w:after="30"/>
      </w:pPr>
      <w:r>
        <w:rPr>
          <w:rFonts w:ascii="Calibri" w:hAnsi="Calibri" w:eastAsia="Calibri" w:cs="Calibri"/>
          <w:sz w:val="18"/>
          <w:szCs w:val="18"/>
        </w:rPr>
        <w:t>Manual completeness check effort has reduced from 18 hours to less than 2 hours per week</w:t>
      </w:r>
    </w:p>
    <w:p w14:paraId="077D9B4C">
      <w:pPr>
        <w:pStyle w:val="16"/>
        <w:numPr>
          <w:ilvl w:val="0"/>
          <w:numId w:val="1"/>
        </w:numPr>
        <w:spacing w:before="30" w:after="30"/>
      </w:pPr>
      <w:r>
        <w:rPr>
          <w:rFonts w:ascii="Calibri" w:hAnsi="Calibri" w:eastAsia="Calibri" w:cs="Calibri"/>
          <w:sz w:val="18"/>
          <w:szCs w:val="18"/>
        </w:rPr>
        <w:t>Zero silent bot failures — all unrecognised profiles are correctly escalated to the operations team</w:t>
      </w:r>
    </w:p>
    <w:p w14:paraId="0B41BE2B">
      <w:pPr>
        <w:pStyle w:val="16"/>
        <w:numPr>
          <w:ilvl w:val="0"/>
          <w:numId w:val="1"/>
        </w:numPr>
        <w:spacing w:before="30" w:after="30"/>
      </w:pPr>
      <w:r>
        <w:rPr>
          <w:rFonts w:ascii="Calibri" w:hAnsi="Calibri" w:eastAsia="Calibri" w:cs="Calibri"/>
          <w:sz w:val="18"/>
          <w:szCs w:val="18"/>
        </w:rPr>
        <w:t>Operator satisfaction with the exception handling workflow is rated satisfactory or above in post-go-live feedback</w:t>
      </w:r>
    </w:p>
    <w:p w14:paraId="0F5B5F93">
      <w:pPr>
        <w:spacing w:before="40" w:after="40"/>
      </w:pPr>
    </w:p>
    <w:p w14:paraId="41C7BE0F">
      <w:pPr>
        <w:spacing w:before="40" w:after="40"/>
      </w:pPr>
    </w:p>
    <w:p w14:paraId="27741D59">
      <w:pPr>
        <w:spacing w:before="40" w:after="40"/>
      </w:pPr>
    </w:p>
    <w:p w14:paraId="4ACB9A5C">
      <w:pPr>
        <w:spacing w:before="40" w:after="40"/>
      </w:pPr>
    </w:p>
    <w:p w14:paraId="6D9AB24C">
      <w:pPr>
        <w:spacing w:before="40" w:after="40"/>
      </w:pPr>
    </w:p>
    <w:p w14:paraId="05D5ED73">
      <w:pPr>
        <w:spacing w:before="40" w:after="40"/>
      </w:pPr>
    </w:p>
    <w:p w14:paraId="5E654B99">
      <w:pPr>
        <w:spacing w:before="40" w:after="40"/>
      </w:pPr>
    </w:p>
    <w:p w14:paraId="3CC4D21E">
      <w:pPr>
        <w:spacing w:before="40" w:after="40"/>
      </w:pPr>
    </w:p>
    <w:p w14:paraId="14970AEA">
      <w:pPr>
        <w:spacing w:before="40" w:after="40"/>
      </w:pPr>
    </w:p>
    <w:p w14:paraId="5A91810C">
      <w:pPr>
        <w:spacing w:before="40" w:after="40"/>
      </w:pPr>
    </w:p>
    <w:p w14:paraId="6E0460FD">
      <w:pPr>
        <w:spacing w:before="40" w:after="40"/>
      </w:pPr>
    </w:p>
    <w:p w14:paraId="7BFFA314">
      <w:pPr>
        <w:spacing w:before="40" w:after="40"/>
      </w:pPr>
    </w:p>
    <w:p w14:paraId="004658BC">
      <w:pPr>
        <w:spacing w:before="40" w:after="40"/>
      </w:pPr>
    </w:p>
    <w:p w14:paraId="1265BC3C">
      <w:pPr>
        <w:spacing w:before="40" w:after="40"/>
      </w:pPr>
    </w:p>
    <w:p w14:paraId="4A016DEA">
      <w:pPr>
        <w:spacing w:before="40" w:after="40"/>
      </w:pPr>
    </w:p>
    <w:p w14:paraId="1841943C">
      <w:pPr>
        <w:spacing w:before="40" w:after="40"/>
      </w:pPr>
    </w:p>
    <w:p w14:paraId="6E969823">
      <w:pPr>
        <w:spacing w:before="40" w:after="40"/>
      </w:pPr>
    </w:p>
    <w:p w14:paraId="5C1E4A97">
      <w:pPr>
        <w:spacing w:before="40" w:after="40"/>
      </w:pPr>
    </w:p>
    <w:p w14:paraId="28A76B91">
      <w:pPr>
        <w:spacing w:before="40" w:after="40"/>
      </w:pPr>
    </w:p>
    <w:p w14:paraId="3A3CE7EC">
      <w:pPr>
        <w:spacing w:before="40" w:after="40"/>
      </w:pPr>
    </w:p>
    <w:p w14:paraId="6270111F">
      <w:pPr>
        <w:shd w:val="clear" w:fill="1B3A6B"/>
        <w:spacing w:before="220" w:after="100"/>
        <w:ind w:left="120" w:right="120"/>
      </w:pPr>
      <w:r>
        <w:rPr>
          <w:rFonts w:ascii="Calibri" w:hAnsi="Calibri" w:eastAsia="Calibri" w:cs="Calibri"/>
          <w:b/>
          <w:bCs/>
          <w:color w:val="FFFFFF"/>
          <w:sz w:val="24"/>
          <w:szCs w:val="24"/>
        </w:rPr>
        <w:t>7.  Recommendation and Decision</w:t>
      </w:r>
    </w:p>
    <w:p w14:paraId="21421488">
      <w:pPr>
        <w:spacing w:before="40" w:after="40"/>
      </w:pPr>
    </w:p>
    <w:p w14:paraId="01C286E4">
      <w:pPr>
        <w:spacing w:before="60" w:after="80"/>
        <w:jc w:val="left"/>
      </w:pPr>
      <w:r>
        <w:rPr>
          <w:rFonts w:ascii="Calibri" w:hAnsi="Calibri" w:eastAsia="Calibri" w:cs="Calibri"/>
          <w:b w:val="0"/>
          <w:bCs w:val="0"/>
          <w:i w:val="0"/>
          <w:iCs w:val="0"/>
          <w:color w:val="000000"/>
          <w:sz w:val="18"/>
          <w:szCs w:val="18"/>
        </w:rPr>
        <w:t>Based on the gap analysis findings from the Customs Documentation Workflow BRD, the cost benefit analysis in this document, and the risk assessment above, I recommend proceeding with the Automation Anywhere RPA implementation as proposed.</w:t>
      </w:r>
    </w:p>
    <w:p w14:paraId="7C9D4932">
      <w:pPr>
        <w:spacing w:before="60" w:after="80"/>
        <w:jc w:val="left"/>
      </w:pPr>
      <w:r>
        <w:rPr>
          <w:rFonts w:ascii="Calibri" w:hAnsi="Calibri" w:eastAsia="Calibri" w:cs="Calibri"/>
          <w:b w:val="0"/>
          <w:bCs w:val="0"/>
          <w:i w:val="0"/>
          <w:iCs w:val="0"/>
          <w:color w:val="000000"/>
          <w:sz w:val="18"/>
          <w:szCs w:val="18"/>
        </w:rPr>
        <w:t>The process is a strong automation candidate, the financial case is compelling with a 3.7-month payback period and 224 percent first-year ROI, and the risk profile is manageable with the mitigations outlined. The parallel run approach in Phase 4 provides a low-risk transition path that maintains operational continuity while confidence in the bot is established.</w:t>
      </w:r>
    </w:p>
    <w:p w14:paraId="07495D05">
      <w:pPr>
        <w:spacing w:before="60" w:after="80"/>
        <w:jc w:val="left"/>
      </w:pPr>
      <w:r>
        <w:rPr>
          <w:rFonts w:ascii="Calibri" w:hAnsi="Calibri" w:eastAsia="Calibri" w:cs="Calibri"/>
          <w:b w:val="0"/>
          <w:bCs w:val="0"/>
          <w:i w:val="0"/>
          <w:iCs w:val="0"/>
          <w:color w:val="000000"/>
          <w:sz w:val="18"/>
          <w:szCs w:val="18"/>
        </w:rPr>
        <w:t>Approval is sought to proceed to Phase 1 Discovery and to commission the RPA developer engagement.</w:t>
      </w:r>
    </w:p>
    <w:p w14:paraId="41D1EB0B">
      <w:pPr>
        <w:spacing w:before="40" w:after="40"/>
      </w:pP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400"/>
        <w:gridCol w:w="2000"/>
        <w:gridCol w:w="1960"/>
      </w:tblGrid>
      <w:tr w14:paraId="323BCC7E">
        <w:trPr>
          <w:tblHeader/>
        </w:trPr>
        <w:tc>
          <w:tcPr>
            <w:tcW w:w="36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6D34F939">
            <w:pPr>
              <w:jc w:val="center"/>
            </w:pPr>
            <w:r>
              <w:rPr>
                <w:rFonts w:ascii="Calibri" w:hAnsi="Calibri" w:eastAsia="Calibri" w:cs="Calibri"/>
                <w:b/>
                <w:bCs/>
                <w:color w:val="FFFFFF"/>
                <w:sz w:val="17"/>
                <w:szCs w:val="17"/>
              </w:rPr>
              <w:t>Decision</w:t>
            </w:r>
          </w:p>
        </w:tc>
        <w:tc>
          <w:tcPr>
            <w:tcW w:w="24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552483AD">
            <w:pPr>
              <w:jc w:val="center"/>
            </w:pPr>
            <w:r>
              <w:rPr>
                <w:rFonts w:ascii="Calibri" w:hAnsi="Calibri" w:eastAsia="Calibri" w:cs="Calibri"/>
                <w:b/>
                <w:bCs/>
                <w:color w:val="FFFFFF"/>
                <w:sz w:val="17"/>
                <w:szCs w:val="17"/>
              </w:rPr>
              <w:t>Approver</w:t>
            </w:r>
          </w:p>
        </w:tc>
        <w:tc>
          <w:tcPr>
            <w:tcW w:w="20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417955BF">
            <w:pPr>
              <w:jc w:val="center"/>
            </w:pPr>
            <w:r>
              <w:rPr>
                <w:rFonts w:ascii="Calibri" w:hAnsi="Calibri" w:eastAsia="Calibri" w:cs="Calibri"/>
                <w:b/>
                <w:bCs/>
                <w:color w:val="FFFFFF"/>
                <w:sz w:val="17"/>
                <w:szCs w:val="17"/>
              </w:rPr>
              <w:t>Date</w:t>
            </w:r>
          </w:p>
        </w:tc>
        <w:tc>
          <w:tcPr>
            <w:tcW w:w="196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661BD9E6">
            <w:pPr>
              <w:jc w:val="center"/>
            </w:pPr>
            <w:r>
              <w:rPr>
                <w:rFonts w:ascii="Calibri" w:hAnsi="Calibri" w:eastAsia="Calibri" w:cs="Calibri"/>
                <w:b/>
                <w:bCs/>
                <w:color w:val="FFFFFF"/>
                <w:sz w:val="17"/>
                <w:szCs w:val="17"/>
              </w:rPr>
              <w:t>Signature</w:t>
            </w:r>
          </w:p>
        </w:tc>
      </w:tr>
      <w:tr w14:paraId="679AD13B">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7A521B3">
            <w:r>
              <w:rPr>
                <w:rFonts w:ascii="Calibri" w:hAnsi="Calibri" w:eastAsia="Calibri" w:cs="Calibri"/>
                <w:sz w:val="17"/>
                <w:szCs w:val="17"/>
              </w:rPr>
              <w:t>Proceed with RPA implementation as proposed</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2F3274">
            <w:r>
              <w:rPr>
                <w:rFonts w:ascii="Calibri" w:hAnsi="Calibri" w:eastAsia="Calibri" w:cs="Calibri"/>
                <w:sz w:val="17"/>
                <w:szCs w:val="17"/>
              </w:rPr>
              <w:t>Operations Manager</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DB2AEA"/>
        </w:tc>
        <w:tc>
          <w:tcPr>
            <w:tcW w:w="1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81451F"/>
        </w:tc>
      </w:tr>
      <w:tr w14:paraId="3822FB21">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502E64">
            <w:r>
              <w:rPr>
                <w:rFonts w:ascii="Calibri" w:hAnsi="Calibri" w:eastAsia="Calibri" w:cs="Calibri"/>
                <w:sz w:val="17"/>
                <w:szCs w:val="17"/>
              </w:rPr>
              <w:t>Budget approval for Year 1 investment of AUD 25,800</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8AB3BF">
            <w:r>
              <w:rPr>
                <w:rFonts w:ascii="Calibri" w:hAnsi="Calibri" w:eastAsia="Calibri" w:cs="Calibri"/>
                <w:sz w:val="17"/>
                <w:szCs w:val="17"/>
              </w:rPr>
              <w:t>Finance Director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447F25"/>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DDB406"/>
        </w:tc>
      </w:tr>
    </w:tbl>
    <w:p w14:paraId="4C81E1BD">
      <w:pPr>
        <w:spacing w:before="40" w:after="40"/>
      </w:pPr>
    </w:p>
    <w:p w14:paraId="61C132F2">
      <w:pPr>
        <w:shd w:val="clear" w:fill="1B3A6B"/>
        <w:spacing w:before="220" w:after="100"/>
        <w:ind w:left="120" w:right="120"/>
      </w:pPr>
      <w:r>
        <w:rPr>
          <w:rFonts w:ascii="Calibri" w:hAnsi="Calibri" w:eastAsia="Calibri" w:cs="Calibri"/>
          <w:b/>
          <w:bCs/>
          <w:color w:val="FFFFFF"/>
          <w:sz w:val="24"/>
          <w:szCs w:val="24"/>
        </w:rPr>
        <w:t>8.  Document Control</w:t>
      </w:r>
    </w:p>
    <w:p w14:paraId="2CB9B353">
      <w:pPr>
        <w:spacing w:before="40" w:after="40"/>
      </w:pPr>
    </w:p>
    <w:tbl>
      <w:tblPr>
        <w:tblStyle w:val="9"/>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2400"/>
        <w:gridCol w:w="4760"/>
      </w:tblGrid>
      <w:tr w14:paraId="071D153B">
        <w:trPr>
          <w:tblHeader/>
        </w:trPr>
        <w:tc>
          <w:tcPr>
            <w:tcW w:w="12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61F8A8C0">
            <w:pPr>
              <w:jc w:val="center"/>
            </w:pPr>
            <w:r>
              <w:rPr>
                <w:rFonts w:ascii="Calibri" w:hAnsi="Calibri" w:eastAsia="Calibri" w:cs="Calibri"/>
                <w:b/>
                <w:bCs/>
                <w:color w:val="FFFFFF"/>
                <w:sz w:val="17"/>
                <w:szCs w:val="17"/>
              </w:rPr>
              <w:t>Version</w:t>
            </w:r>
          </w:p>
        </w:tc>
        <w:tc>
          <w:tcPr>
            <w:tcW w:w="16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03F01FCF">
            <w:pPr>
              <w:jc w:val="center"/>
            </w:pPr>
            <w:r>
              <w:rPr>
                <w:rFonts w:ascii="Calibri" w:hAnsi="Calibri" w:eastAsia="Calibri" w:cs="Calibri"/>
                <w:b/>
                <w:bCs/>
                <w:color w:val="FFFFFF"/>
                <w:sz w:val="17"/>
                <w:szCs w:val="17"/>
              </w:rPr>
              <w:t>Date</w:t>
            </w:r>
          </w:p>
        </w:tc>
        <w:tc>
          <w:tcPr>
            <w:tcW w:w="240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7DCC7145">
            <w:pPr>
              <w:jc w:val="center"/>
            </w:pPr>
            <w:r>
              <w:rPr>
                <w:rFonts w:ascii="Calibri" w:hAnsi="Calibri" w:eastAsia="Calibri" w:cs="Calibri"/>
                <w:b/>
                <w:bCs/>
                <w:color w:val="FFFFFF"/>
                <w:sz w:val="17"/>
                <w:szCs w:val="17"/>
              </w:rPr>
              <w:t>Author</w:t>
            </w:r>
          </w:p>
        </w:tc>
        <w:tc>
          <w:tcPr>
            <w:tcW w:w="4760" w:type="dxa"/>
            <w:tcBorders>
              <w:top w:val="single" w:color="1B3A6B" w:sz="0" w:space="0"/>
              <w:left w:val="single" w:color="1B3A6B" w:sz="0" w:space="0"/>
              <w:bottom w:val="single" w:color="1B3A6B" w:sz="0" w:space="0"/>
              <w:right w:val="single" w:color="1B3A6B" w:sz="0" w:space="0"/>
            </w:tcBorders>
            <w:shd w:val="clear" w:color="auto" w:fill="2E5B9A"/>
            <w:tcMar>
              <w:top w:w="80" w:type="dxa"/>
              <w:left w:w="120" w:type="dxa"/>
              <w:bottom w:w="80" w:type="dxa"/>
              <w:right w:w="120" w:type="dxa"/>
            </w:tcMar>
            <w:vAlign w:val="center"/>
          </w:tcPr>
          <w:p w14:paraId="159BA99F">
            <w:pPr>
              <w:jc w:val="center"/>
            </w:pPr>
            <w:r>
              <w:rPr>
                <w:rFonts w:ascii="Calibri" w:hAnsi="Calibri" w:eastAsia="Calibri" w:cs="Calibri"/>
                <w:b/>
                <w:bCs/>
                <w:color w:val="FFFFFF"/>
                <w:sz w:val="17"/>
                <w:szCs w:val="17"/>
              </w:rPr>
              <w:t>Changes</w:t>
            </w:r>
          </w:p>
        </w:tc>
      </w:tr>
      <w:tr w14:paraId="556C19C2">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4675A07">
            <w:r>
              <w:rPr>
                <w:rFonts w:ascii="Calibri" w:hAnsi="Calibri" w:eastAsia="Calibri" w:cs="Calibri"/>
                <w:sz w:val="17"/>
                <w:szCs w:val="17"/>
              </w:rPr>
              <w:t>0.1</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844A62">
            <w:r>
              <w:rPr>
                <w:rFonts w:ascii="Calibri" w:hAnsi="Calibri" w:eastAsia="Calibri" w:cs="Calibri"/>
                <w:sz w:val="17"/>
                <w:szCs w:val="17"/>
              </w:rPr>
              <w:t>June 2025</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0070918">
            <w:r>
              <w:rPr>
                <w:rFonts w:ascii="Calibri" w:hAnsi="Calibri" w:eastAsia="Calibri" w:cs="Calibri"/>
                <w:sz w:val="17"/>
                <w:szCs w:val="17"/>
              </w:rPr>
              <w:t>N M Ziyaf</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39EDD7F">
            <w:r>
              <w:rPr>
                <w:rFonts w:ascii="Calibri" w:hAnsi="Calibri" w:eastAsia="Calibri" w:cs="Calibri"/>
                <w:sz w:val="17"/>
                <w:szCs w:val="17"/>
              </w:rPr>
              <w:t>Initial draft following BRD gap analysis completion</w:t>
            </w:r>
          </w:p>
        </w:tc>
      </w:tr>
      <w:tr w14:paraId="327F60E2">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3F23DA">
            <w:r>
              <w:rPr>
                <w:rFonts w:ascii="Calibri" w:hAnsi="Calibri" w:eastAsia="Calibri" w:cs="Calibri"/>
                <w:sz w:val="17"/>
                <w:szCs w:val="17"/>
              </w:rPr>
              <w:t>0.2</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8F49C1">
            <w:r>
              <w:rPr>
                <w:rFonts w:ascii="Calibri" w:hAnsi="Calibri" w:eastAsia="Calibri" w:cs="Calibri"/>
                <w:sz w:val="17"/>
                <w:szCs w:val="17"/>
              </w:rPr>
              <w:t>June 2025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C5EA8">
            <w:r>
              <w:rPr>
                <w:rFonts w:ascii="Calibri" w:hAnsi="Calibri" w:eastAsia="Calibri" w:cs="Calibri"/>
                <w:sz w:val="17"/>
                <w:szCs w:val="17"/>
              </w:rPr>
              <w:t>N M Ziyaf</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4FBD52">
            <w:r>
              <w:rPr>
                <w:rFonts w:ascii="Calibri" w:hAnsi="Calibri" w:eastAsia="Calibri" w:cs="Calibri"/>
                <w:sz w:val="17"/>
                <w:szCs w:val="17"/>
              </w:rPr>
              <w:t>Cost benefit analysis and risk assessment added</w:t>
            </w:r>
          </w:p>
        </w:tc>
      </w:tr>
      <w:tr w14:paraId="4EC6E3B9">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052666">
            <w:r>
              <w:rPr>
                <w:rFonts w:ascii="Calibri" w:hAnsi="Calibri" w:eastAsia="Calibri" w:cs="Calibri"/>
                <w:sz w:val="17"/>
                <w:szCs w:val="17"/>
              </w:rPr>
              <w:t>1.0</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6A9178">
            <w:r>
              <w:rPr>
                <w:rFonts w:ascii="Calibri" w:hAnsi="Calibri" w:eastAsia="Calibri" w:cs="Calibri"/>
                <w:sz w:val="17"/>
                <w:szCs w:val="17"/>
              </w:rPr>
              <w:t>June 2025</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96446E5">
            <w:r>
              <w:rPr>
                <w:rFonts w:ascii="Calibri" w:hAnsi="Calibri" w:eastAsia="Calibri" w:cs="Calibri"/>
                <w:sz w:val="17"/>
                <w:szCs w:val="17"/>
              </w:rPr>
              <w:t>N M Ziyaf</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60342C">
            <w:r>
              <w:rPr>
                <w:rFonts w:ascii="Calibri" w:hAnsi="Calibri" w:eastAsia="Calibri" w:cs="Calibri"/>
                <w:sz w:val="17"/>
                <w:szCs w:val="17"/>
              </w:rPr>
              <w:t>Final version with all sections complete</w:t>
            </w:r>
          </w:p>
        </w:tc>
      </w:tr>
    </w:tbl>
    <w:p w14:paraId="3F91D6C6">
      <w:pPr>
        <w:spacing w:before="40" w:after="40"/>
      </w:pPr>
    </w:p>
    <w:p w14:paraId="6B2960CC">
      <w:pPr>
        <w:spacing w:before="40" w:after="40"/>
      </w:pPr>
    </w:p>
    <w:p w14:paraId="685617A2">
      <w:pPr>
        <w:pBdr>
          <w:top w:val="single" w:color="1B3A6B" w:sz="6" w:space="0"/>
        </w:pBdr>
        <w:spacing w:before="120" w:after="40"/>
      </w:pPr>
    </w:p>
    <w:p w14:paraId="40E3DCAA">
      <w:pPr>
        <w:jc w:val="center"/>
        <w:rPr>
          <w:rFonts w:hint="default"/>
          <w:lang w:val="en-US"/>
        </w:rPr>
      </w:pPr>
      <w:r>
        <w:rPr>
          <w:rFonts w:ascii="Calibri" w:hAnsi="Calibri" w:eastAsia="Calibri" w:cs="Calibri"/>
          <w:i/>
          <w:iCs/>
          <w:color w:val="666666"/>
          <w:sz w:val="16"/>
          <w:szCs w:val="16"/>
        </w:rPr>
        <w:t xml:space="preserve">Prepared by N M Ziyaf, Supply Chain Business Analyst   |   linkedin.com/in/ziyafmohamed   </w:t>
      </w:r>
      <w:r>
        <w:rPr>
          <w:rFonts w:hint="default" w:cs="Calibri"/>
          <w:i/>
          <w:iCs/>
          <w:color w:val="666666"/>
          <w:sz w:val="16"/>
          <w:szCs w:val="16"/>
          <w:lang w:val="en-US"/>
        </w:rPr>
        <w:t>ß</w:t>
      </w:r>
      <w:bookmarkStart w:id="0" w:name="_GoBack"/>
      <w:bookmarkEnd w:id="0"/>
    </w:p>
    <w:sectPr>
      <w:pgSz w:w="12240" w:h="15840"/>
      <w:pgMar w:top="1100" w:right="1100" w:bottom="11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FE091C"/>
    <w:multiLevelType w:val="singleLevel"/>
    <w:tmpl w:val="4DFE091C"/>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isplayBackgroundShape w:val="1"/>
  <w:documentProtection w:enforcement="0"/>
  <w:compat>
    <w:compatSetting w:name="compatibilityMode" w:uri="http://schemas.microsoft.com/office/word" w:val="15"/>
  </w:compat>
  <w:rsids>
    <w:rsidRoot w:val="00000000"/>
    <w:rsid w:val="F5DB44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18"/>
      <w:szCs w:val="18"/>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18"/>
      <w:szCs w:val="18"/>
    </w:rPr>
  </w:style>
  <w:style w:type="paragraph" w:styleId="6">
    <w:name w:val="heading 5"/>
    <w:next w:val="1"/>
    <w:qFormat/>
    <w:uiPriority w:val="0"/>
    <w:rPr>
      <w:rFonts w:ascii="Calibri" w:hAnsi="Calibri" w:eastAsia="Calibri" w:cs="Calibri"/>
      <w:color w:val="2E74B5"/>
      <w:sz w:val="18"/>
      <w:szCs w:val="18"/>
    </w:rPr>
  </w:style>
  <w:style w:type="paragraph" w:styleId="7">
    <w:name w:val="heading 6"/>
    <w:next w:val="1"/>
    <w:qFormat/>
    <w:uiPriority w:val="0"/>
    <w:rPr>
      <w:rFonts w:ascii="Calibri" w:hAnsi="Calibri" w:eastAsia="Calibri" w:cs="Calibri"/>
      <w:color w:val="1F4D78"/>
      <w:sz w:val="18"/>
      <w:szCs w:val="1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18"/>
      <w:szCs w:val="18"/>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TotalTime>
  <ScaleCrop>false</ScaleCrop>
  <LinksUpToDate>false</LinksUpToDate>
  <Application>WPS Office_6.15.0.8733_F1E327BC-269C-435d-A152-05C5408002CA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Hyfaa Fha</cp:lastModifiedBy>
  <dcterms:modified xsi:type="dcterms:W3CDTF">2026-06-29T18:35:32Z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95B3BBC4A18CF080542E426A891F65C3_42</vt:lpwstr>
  </property>
</Properties>
</file>