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-description--chainagnosticnamespaces"/>
    <w:p>
      <w:pPr>
        <w:pStyle w:val="Heading1"/>
      </w:pPr>
      <w:r>
        <w:t xml:space="preserve">PR description — ChainAgnostic/namespaces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moi</w:t>
      </w:r>
      <w:r>
        <w:t xml:space="preserve"> </w:t>
      </w:r>
      <w:r>
        <w:t xml:space="preserve">namespace (CAIP-104 profile + CAIP-2 chains profile)</w:t>
      </w:r>
    </w:p>
    <w:p>
      <w:pPr>
        <w:pStyle w:val="BodyText"/>
      </w:pPr>
      <w:r>
        <w:t xml:space="preserve">This PR adds a namespace profile for MOI, an account-centric protocol in which each participant</w:t>
      </w:r>
      <w:r>
        <w:t xml:space="preserve"> </w:t>
      </w:r>
      <w:r>
        <w:t xml:space="preserve">account holds its own state and tesseract sequence. Because there is no chain-wide genesis</w:t>
      </w:r>
      <w:r>
        <w:t xml:space="preserve"> </w:t>
      </w:r>
      <w:r>
        <w:t xml:space="preserve">artefact, the CAIP-2 reference is a short network name (pending: the protocol team is adding a</w:t>
      </w:r>
      <w:r>
        <w:t xml:space="preserve"> </w:t>
      </w:r>
      <w:r>
        <w:t xml:space="preserve">chain-id RPC, and the reference format will be confirmed against it before this PR is opened).</w:t>
      </w:r>
    </w:p>
    <w:p>
      <w:pPr>
        <w:pStyle w:val="BodyText"/>
      </w:pPr>
      <w:r>
        <w:t xml:space="preserve">Files follow</w:t>
      </w:r>
      <w:r>
        <w:t xml:space="preserve"> </w:t>
      </w:r>
      <w:r>
        <w:rPr>
          <w:rStyle w:val="VerbatimChar"/>
        </w:rPr>
        <w:t xml:space="preserve">_template/</w:t>
      </w:r>
      <w:r>
        <w:t xml:space="preserve">, modelled on the accepted</w:t>
      </w:r>
      <w:r>
        <w:t xml:space="preserve"> </w:t>
      </w:r>
      <w:r>
        <w:rPr>
          <w:rStyle w:val="VerbatimChar"/>
        </w:rPr>
        <w:t xml:space="preserve">stellar</w:t>
      </w:r>
      <w:r>
        <w:t xml:space="preserve">,</w:t>
      </w:r>
      <w:r>
        <w:t xml:space="preserve"> </w:t>
      </w:r>
      <w:r>
        <w:rPr>
          <w:rStyle w:val="VerbatimChar"/>
        </w:rPr>
        <w:t xml:space="preserve">aptos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neo</w:t>
      </w:r>
      <w:r>
        <w:t xml:space="preserve"> </w:t>
      </w:r>
      <w:r>
        <w:t xml:space="preserve">profiles.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author</w:t>
      </w:r>
      <w:r>
        <w:t xml:space="preserve"> </w:t>
      </w:r>
      <w:r>
        <w:t xml:space="preserve">filled with a real GitHub handle (CASA will chase this person)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discussions-to</w:t>
      </w:r>
      <w:r>
        <w:t xml:space="preserve"> </w:t>
      </w:r>
      <w:r>
        <w:t xml:space="preserve">URL created and monitored</w:t>
      </w:r>
    </w:p>
    <w:p>
      <w:pPr>
        <w:pStyle w:val="Compact"/>
        <w:numPr>
          <w:ilvl w:val="0"/>
          <w:numId w:val="1003"/>
        </w:numPr>
      </w:pPr>
      <w:r>
        <w:t xml:space="preserve">Reference format confirmed against the protocol chain-id PR</w:t>
      </w:r>
    </w:p>
    <w:p>
      <w:pPr>
        <w:pStyle w:val="Compact"/>
        <w:numPr>
          <w:ilvl w:val="0"/>
          <w:numId w:val="1004"/>
        </w:numPr>
      </w:pPr>
      <w:r>
        <w:t xml:space="preserve">Internal review (Rahul) complete</w:t>
      </w:r>
    </w:p>
    <w:p>
      <w:pPr>
        <w:pStyle w:val="FirstParagraph"/>
      </w:pPr>
      <w:r>
        <w:t xml:space="preserve">Drafted with AI assistance; reviewed by the listed author.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2026-09-09T04:05:59Z</dcterms:created>
  <dcterms:modified xsi:type="dcterms:W3CDTF">2026-09-09T04:05:59Z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