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MOI Namespace - Chains</w:t>
      </w:r>
    </w:p>
    <w:p>
      <w:pPr>
        <w:pStyle w:val="Author"/>
      </w:pPr>
      <w:r>
        <w:t xml:space="preserve">TODO Name (@TODO-github-handle)</w:t>
      </w:r>
    </w:p>
    <w:bookmarkStart w:id="30" w:name="caip-2"/>
    <w:p>
      <w:pPr>
        <w:pStyle w:val="Heading1"/>
      </w:pPr>
      <w:r>
        <w:t xml:space="preserve">CAIP-2</w:t>
      </w:r>
    </w:p>
    <w:p>
      <w:pPr>
        <w:pStyle w:val="FirstParagraph"/>
      </w:pPr>
      <w:r>
        <w:rPr>
          <w:i/>
          <w:iCs/>
        </w:rPr>
        <w:t xml:space="preserve">For context, see the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CAIP-2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specification.</w:t>
      </w:r>
    </w:p>
    <w:bookmarkStart w:id="1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MOI is an account-centric protocol.</w:t>
      </w:r>
      <w:r>
        <w:t xml:space="preserve"> </w:t>
      </w:r>
      <w:r>
        <w:t xml:space="preserve">Unlike chains that append blocks to one global ledger, each participant account on MOI holds its</w:t>
      </w:r>
      <w:r>
        <w:t xml:space="preserve"> </w:t>
      </w:r>
      <w:r>
        <w:t xml:space="preserve">own sequence of</w:t>
      </w:r>
      <w:r>
        <w:t xml:space="preserve"> </w:t>
      </w:r>
      <w:r>
        <w:rPr>
          <w:i/>
          <w:iCs/>
        </w:rPr>
        <w:t xml:space="preserve">tesseracts</w:t>
      </w:r>
      <w:r>
        <w:t xml:space="preserve">, and state changes are carried by signed</w:t>
      </w:r>
      <w:r>
        <w:t xml:space="preserve"> </w:t>
      </w:r>
      <w:r>
        <w:rPr>
          <w:i/>
          <w:iCs/>
        </w:rPr>
        <w:t xml:space="preserve">interactions</w:t>
      </w:r>
      <w:r>
        <w:t xml:space="preserve">.</w:t>
      </w:r>
    </w:p>
    <w:p>
      <w:pPr>
        <w:pStyle w:val="BodyText"/>
      </w:pPr>
      <w:r>
        <w:t xml:space="preserve">A consequence of that design is that MOI has no chain-wide genesis block, and therefore no genesis</w:t>
      </w:r>
      <w:r>
        <w:t xml:space="preserve"> </w:t>
      </w:r>
      <w:r>
        <w:t xml:space="preserve">hash to identify a network by.</w:t>
      </w:r>
      <w:r>
        <w:t xml:space="preserve"> </w:t>
      </w:r>
      <w:r>
        <w:t xml:space="preserve">Networks are instead distinguished by name, in the manner of the</w:t>
      </w:r>
      <w:r>
        <w:t xml:space="preserve"> </w:t>
      </w:r>
      <w:hyperlink r:id="rId10">
        <w:r>
          <w:rPr>
            <w:rStyle w:val="VerbatimChar"/>
          </w:rPr>
          <w:t xml:space="preserve">stellar</w:t>
        </w:r>
      </w:hyperlink>
      <w:r>
        <w:t xml:space="preserve"> </w:t>
      </w:r>
      <w:r>
        <w:t xml:space="preserve">namespace.</w:t>
      </w:r>
    </w:p>
    <w:bookmarkEnd w:id="11"/>
    <w:bookmarkStart w:id="16" w:name="specification"/>
    <w:p>
      <w:pPr>
        <w:pStyle w:val="Heading2"/>
      </w:pPr>
      <w:r>
        <w:t xml:space="preserve">Specification</w:t>
      </w:r>
    </w:p>
    <w:bookmarkStart w:id="12" w:name="semantics"/>
    <w:p>
      <w:pPr>
        <w:pStyle w:val="Heading3"/>
      </w:pPr>
      <w:r>
        <w:t xml:space="preserve">Semantics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moi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 </w:t>
      </w:r>
      <w:r>
        <w:t xml:space="preserve">is the short, lowercase name of a MOI network.</w:t>
      </w:r>
    </w:p>
    <w:bookmarkEnd w:id="12"/>
    <w:bookmarkStart w:id="14" w:name="syntax"/>
    <w:p>
      <w:pPr>
        <w:pStyle w:val="Heading3"/>
      </w:pPr>
      <w:r>
        <w:t xml:space="preserve">Syntax</w:t>
      </w:r>
    </w:p>
    <w:p>
      <w:pPr>
        <w:pStyle w:val="FirstParagraph"/>
      </w:pPr>
      <w:r>
        <w:t xml:space="preserve">The reference is a lowercase alphanumeric string, optionally containing hyphens, between 1 and 32</w:t>
      </w:r>
      <w:r>
        <w:t xml:space="preserve"> </w:t>
      </w:r>
      <w:r>
        <w:t xml:space="preserve">characters:</w:t>
      </w:r>
    </w:p>
    <w:p>
      <w:pPr>
        <w:pStyle w:val="SourceCode"/>
      </w:pPr>
      <w:r>
        <w:rPr>
          <w:rStyle w:val="VerbatimChar"/>
        </w:rPr>
        <w:t xml:space="preserve">^[a-z0-9][a-z0-9-]{0,31}$</w:t>
      </w:r>
    </w:p>
    <w:p>
      <w:pPr>
        <w:pStyle w:val="FirstParagraph"/>
      </w:pPr>
      <w:r>
        <w:t xml:space="preserve">The reference MUST NOT begin or end with a hyphen and MUST NOT contain uppercase characters,</w:t>
      </w:r>
      <w:r>
        <w:t xml:space="preserve"> </w:t>
      </w:r>
      <w:r>
        <w:t xml:space="preserve">whitespace, or separators other than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</w:p>
    <w:bookmarkStart w:id="13" w:name="well-known-networks"/>
    <w:p>
      <w:pPr>
        <w:pStyle w:val="Heading4"/>
      </w:pPr>
      <w:r>
        <w:t xml:space="preserve">Well-known networks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CAIP-2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Voyage devnet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moi:devnet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Voyage mainnet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moi:mainnet</w:t>
            </w:r>
          </w:p>
        </w:tc>
      </w:tr>
    </w:tbl>
    <w:p>
      <w:pPr>
        <w:pStyle w:val="BodyText"/>
      </w:pPr>
      <w:r>
        <w:t xml:space="preserve">Private deployments SHOULD choose a reference that is unlikely to collide with the names above.</w:t>
      </w:r>
    </w:p>
    <w:bookmarkEnd w:id="13"/>
    <w:bookmarkEnd w:id="14"/>
    <w:bookmarkStart w:id="15" w:name="resolution-mechanics"/>
    <w:p>
      <w:pPr>
        <w:pStyle w:val="Heading3"/>
      </w:pPr>
      <w:r>
        <w:t xml:space="preserve">Resolution Mechanics</w:t>
      </w:r>
    </w:p>
    <w:p>
      <w:pPr>
        <w:pStyle w:val="BlockText"/>
      </w:pPr>
      <w:r>
        <w:rPr>
          <w:b/>
          <w:bCs/>
        </w:rPr>
        <w:t xml:space="preserve">⚠️ OPEN ITEM — this section cannot be completed as written until MOI exposes a network</w:t>
      </w:r>
      <w:r>
        <w:rPr>
          <w:b/>
          <w:bCs/>
        </w:rPr>
        <w:t xml:space="preserve"> </w:t>
      </w:r>
      <w:r>
        <w:rPr>
          <w:b/>
          <w:bCs/>
        </w:rPr>
        <w:t xml:space="preserve">identifier over JSON-RPC.</w:t>
      </w:r>
    </w:p>
    <w:p>
      <w:pPr>
        <w:pStyle w:val="BlockText"/>
      </w:pPr>
      <w:r>
        <w:t xml:space="preserve">At the time of drafting, MOI's RPC surface comprises 36 methods across the</w:t>
      </w:r>
      <w:r>
        <w:t xml:space="preserve"> </w:t>
      </w:r>
      <w:r>
        <w:rPr>
          <w:rStyle w:val="VerbatimChar"/>
        </w:rPr>
        <w:t xml:space="preserve">moi.*</w:t>
      </w:r>
      <w:r>
        <w:t xml:space="preserve">,</w:t>
      </w:r>
      <w:r>
        <w:t xml:space="preserve"> </w:t>
      </w:r>
      <w:r>
        <w:rPr>
          <w:rStyle w:val="VerbatimChar"/>
        </w:rPr>
        <w:t xml:space="preserve">ixpool.*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net.*</w:t>
      </w:r>
      <w:r>
        <w:t xml:space="preserve"> </w:t>
      </w:r>
      <w:r>
        <w:t xml:space="preserve">namespaces, and</w:t>
      </w:r>
      <w:r>
        <w:t xml:space="preserve"> </w:t>
      </w:r>
      <w:r>
        <w:rPr>
          <w:b/>
          <w:bCs/>
        </w:rPr>
        <w:t xml:space="preserve">none of them report which network a node belongs to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net.Version</w:t>
      </w:r>
      <w:r>
        <w:t xml:space="preserve"> </w:t>
      </w:r>
      <w:r>
        <w:t xml:space="preserve">returns the node's software version (e.g.</w:t>
      </w:r>
      <w:r>
        <w:t xml:space="preserve"> </w:t>
      </w:r>
      <w:r>
        <w:rPr>
          <w:rStyle w:val="VerbatimChar"/>
        </w:rPr>
        <w:t xml:space="preserve">"0.12.0"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net.Info</w:t>
      </w:r>
      <w:r>
        <w:t xml:space="preserve"> </w:t>
      </w:r>
      <w:r>
        <w:t xml:space="preserve">returns the node's own peer identifier (</w:t>
      </w:r>
      <w:r>
        <w:rPr>
          <w:rStyle w:val="VerbatimChar"/>
        </w:rPr>
        <w:t xml:space="preserve">krama_id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moi.Tesseract</w:t>
      </w:r>
      <w:r>
        <w:t xml:space="preserve"> </w:t>
      </w:r>
      <w:r>
        <w:t xml:space="preserve">is keyed by account address, so there is no global genesis to read</w:t>
      </w:r>
    </w:p>
    <w:p>
      <w:pPr>
        <w:pStyle w:val="BlockText"/>
      </w:pPr>
      <w:r>
        <w:t xml:space="preserve">CAIP-2 profiles are expected to describe how a client verifies the reference against a live</w:t>
      </w:r>
      <w:r>
        <w:t xml:space="preserve"> </w:t>
      </w:r>
      <w:r>
        <w:t xml:space="preserve">node. The text below is written against a proposed method and MUST be confirmed or replaced by</w:t>
      </w:r>
      <w:r>
        <w:t xml:space="preserve"> </w:t>
      </w:r>
      <w:r>
        <w:t xml:space="preserve">the MOI protocol team before submission.</w:t>
      </w:r>
    </w:p>
    <w:p>
      <w:pPr>
        <w:pStyle w:val="BlockText"/>
      </w:pPr>
      <w:r>
        <w:rPr>
          <w:b/>
          <w:bCs/>
        </w:rPr>
        <w:t xml:space="preserve">Update, 9 September 2026:</w:t>
      </w:r>
      <w:r>
        <w:t xml:space="preserve"> </w:t>
      </w:r>
      <w:r>
        <w:t xml:space="preserve">the protocol team has committed to a PR that returns network</w:t>
      </w:r>
      <w:r>
        <w:t xml:space="preserve"> </w:t>
      </w:r>
      <w:r>
        <w:t xml:space="preserve">details — a chain id, distinct per network — on RPC calls. Once its shape is known, this</w:t>
      </w:r>
      <w:r>
        <w:t xml:space="preserve"> </w:t>
      </w:r>
      <w:r>
        <w:t xml:space="preserve">section must be rewritten against the real method, and the reference format below</w:t>
      </w:r>
      <w:r>
        <w:t xml:space="preserve"> </w:t>
      </w:r>
      <w:r>
        <w:t xml:space="preserve">(short names) should be re-decided against the alternative of using that chain id directly.</w:t>
      </w:r>
      <w:r>
        <w:t xml:space="preserve"> </w:t>
      </w:r>
      <w:r>
        <w:t xml:space="preserve">Both the Syntax and Rationale sections change together if the chain id wins.</w:t>
      </w:r>
    </w:p>
    <w:p>
      <w:pPr>
        <w:pStyle w:val="FirstParagraph"/>
      </w:pPr>
      <w:r>
        <w:t xml:space="preserve">A client resolves the network of a node by calling the proposed</w:t>
      </w:r>
      <w:r>
        <w:t xml:space="preserve"> </w:t>
      </w:r>
      <w:r>
        <w:rPr>
          <w:rStyle w:val="VerbatimChar"/>
        </w:rPr>
        <w:t xml:space="preserve">net.Network</w:t>
      </w:r>
      <w:r>
        <w:t xml:space="preserve"> </w:t>
      </w:r>
      <w:r>
        <w:t xml:space="preserve">JSON-RPC method: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https://dev.voyage-rpc.moi.technology/devnet/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'{"jsonrpc":"2.0","id":1,"method":"net.Network","params":[]}'</w:t>
      </w:r>
    </w:p>
    <w:p>
      <w:pPr>
        <w:pStyle w:val="FirstParagraph"/>
      </w:pPr>
      <w:r>
        <w:t xml:space="preserve">Returning: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"network"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"devnet"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field is the CAIP-2 reference.</w:t>
      </w:r>
      <w:r>
        <w:t xml:space="preserve"> </w:t>
      </w:r>
      <w:r>
        <w:t xml:space="preserve">A client MUST treat a mismatch between the expected and reported reference as a fatal error and</w:t>
      </w:r>
      <w:r>
        <w:t xml:space="preserve"> </w:t>
      </w:r>
      <w:r>
        <w:t xml:space="preserve">MUST NOT submit interactions to a node it cannot identify.</w:t>
      </w:r>
    </w:p>
    <w:bookmarkEnd w:id="15"/>
    <w:bookmarkEnd w:id="16"/>
    <w:bookmarkStart w:id="18" w:name="rationale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Three candidate references were considered.</w:t>
      </w:r>
    </w:p>
    <w:p>
      <w:pPr>
        <w:pStyle w:val="BodyText"/>
      </w:pPr>
      <w:r>
        <w:rPr>
          <w:b/>
          <w:bCs/>
        </w:rPr>
        <w:t xml:space="preserve">A numeric chain id</w:t>
      </w:r>
      <w:r>
        <w:t xml:space="preserve">, as</w:t>
      </w:r>
      <w:r>
        <w:t xml:space="preserve"> </w:t>
      </w:r>
      <w:r>
        <w:rPr>
          <w:rStyle w:val="VerbatimChar"/>
        </w:rPr>
        <w:t xml:space="preserve">eip155</w:t>
      </w:r>
      <w:r>
        <w:t xml:space="preserve"> </w:t>
      </w:r>
      <w:r>
        <w:t xml:space="preserve">uses, was rejected because MOI assigns no such value.</w:t>
      </w:r>
    </w:p>
    <w:p>
      <w:pPr>
        <w:pStyle w:val="BodyText"/>
      </w:pPr>
      <w:r>
        <w:rPr>
          <w:b/>
          <w:bCs/>
        </w:rPr>
        <w:t xml:space="preserve">A genesis hash</w:t>
      </w:r>
      <w:r>
        <w:t xml:space="preserve">, as</w:t>
      </w:r>
      <w:r>
        <w:t xml:space="preserve"> </w:t>
      </w:r>
      <w:r>
        <w:rPr>
          <w:rStyle w:val="VerbatimChar"/>
        </w:rPr>
        <w:t xml:space="preserve">solana</w:t>
      </w:r>
      <w:r>
        <w:t xml:space="preserve"> </w:t>
      </w:r>
      <w:r>
        <w:t xml:space="preserve">uses, was rejected because MOI is account-centric: tesseracts are</w:t>
      </w:r>
      <w:r>
        <w:t xml:space="preserve"> </w:t>
      </w:r>
      <w:r>
        <w:t xml:space="preserve">per-account, so no single genesis artefact exists to hash.</w:t>
      </w:r>
    </w:p>
    <w:p>
      <w:pPr>
        <w:pStyle w:val="BodyText"/>
      </w:pPr>
      <w:r>
        <w:rPr>
          <w:b/>
          <w:bCs/>
        </w:rPr>
        <w:t xml:space="preserve">A short network name</w:t>
      </w:r>
      <w:r>
        <w:t xml:space="preserve"> </w:t>
      </w:r>
      <w:r>
        <w:t xml:space="preserve">was chosen, following</w:t>
      </w:r>
      <w:r>
        <w:t xml:space="preserve"> </w:t>
      </w:r>
      <w:r>
        <w:rPr>
          <w:rStyle w:val="VerbatimChar"/>
        </w:rPr>
        <w:t xml:space="preserve">stellar:testnet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stellar:pubnet</w:t>
      </w:r>
      <w:r>
        <w:t xml:space="preserve">.</w:t>
      </w:r>
      <w:r>
        <w:t xml:space="preserve"> </w:t>
      </w:r>
      <w:r>
        <w:t xml:space="preserve">It is human-legible, stable across protocol upgrades, and does not require a client to fetch</w:t>
      </w:r>
      <w:r>
        <w:t xml:space="preserve"> </w:t>
      </w:r>
      <w:r>
        <w:t xml:space="preserve">anything in order to construct an identifier — only to verify one.</w:t>
      </w:r>
    </w:p>
    <w:bookmarkStart w:id="17" w:name="backwards-compatibility"/>
    <w:p>
      <w:pPr>
        <w:pStyle w:val="Heading3"/>
      </w:pPr>
      <w:r>
        <w:t xml:space="preserve">Backwards Compatibility</w:t>
      </w:r>
    </w:p>
    <w:p>
      <w:pPr>
        <w:pStyle w:val="FirstParagraph"/>
      </w:pPr>
      <w:r>
        <w:t xml:space="preserve">Not applicable. No prior CAIP-2 profile exists for MOI.</w:t>
      </w:r>
    </w:p>
    <w:bookmarkEnd w:id="17"/>
    <w:bookmarkEnd w:id="18"/>
    <w:bookmarkStart w:id="21" w:name="test-cases"/>
    <w:p>
      <w:pPr>
        <w:pStyle w:val="Heading2"/>
      </w:pPr>
      <w:r>
        <w:t xml:space="preserve">Test Cases</w:t>
      </w:r>
    </w:p>
    <w:bookmarkStart w:id="19" w:name="valid"/>
    <w:p>
      <w:pPr>
        <w:pStyle w:val="Heading3"/>
      </w:pPr>
      <w:r>
        <w:t xml:space="preserve">Valid</w:t>
      </w:r>
    </w:p>
    <w:p>
      <w:pPr>
        <w:pStyle w:val="SourceCode"/>
      </w:pPr>
      <w:r>
        <w:rPr>
          <w:rStyle w:val="VerbatimChar"/>
        </w:rPr>
        <w:t xml:space="preserve"># Voyage devnet</w:t>
      </w:r>
      <w:r>
        <w:br/>
      </w:r>
      <w:r>
        <w:rPr>
          <w:rStyle w:val="VerbatimChar"/>
        </w:rPr>
        <w:t xml:space="preserve">moi:devnet</w:t>
      </w:r>
      <w:r>
        <w:br/>
      </w:r>
      <w:r>
        <w:br/>
      </w:r>
      <w:r>
        <w:rPr>
          <w:rStyle w:val="VerbatimChar"/>
        </w:rPr>
        <w:t xml:space="preserve"># Voyage mainnet</w:t>
      </w:r>
      <w:r>
        <w:br/>
      </w:r>
      <w:r>
        <w:rPr>
          <w:rStyle w:val="VerbatimChar"/>
        </w:rPr>
        <w:t xml:space="preserve">moi:mainnet</w:t>
      </w:r>
      <w:r>
        <w:br/>
      </w:r>
      <w:r>
        <w:br/>
      </w:r>
      <w:r>
        <w:rPr>
          <w:rStyle w:val="VerbatimChar"/>
        </w:rPr>
        <w:t xml:space="preserve"># A private deployment</w:t>
      </w:r>
      <w:r>
        <w:br/>
      </w:r>
      <w:r>
        <w:rPr>
          <w:rStyle w:val="VerbatimChar"/>
        </w:rPr>
        <w:t xml:space="preserve">moi:acme-internal</w:t>
      </w:r>
      <w:r>
        <w:br/>
      </w:r>
      <w:r>
        <w:br/>
      </w:r>
      <w:r>
        <w:rPr>
          <w:rStyle w:val="VerbatimChar"/>
        </w:rPr>
        <w:t xml:space="preserve"># Minimum-length reference</w:t>
      </w:r>
      <w:r>
        <w:br/>
      </w:r>
      <w:r>
        <w:rPr>
          <w:rStyle w:val="VerbatimChar"/>
        </w:rPr>
        <w:t xml:space="preserve">moi:x</w:t>
      </w:r>
    </w:p>
    <w:bookmarkEnd w:id="19"/>
    <w:bookmarkStart w:id="20" w:name="invalid"/>
    <w:p>
      <w:pPr>
        <w:pStyle w:val="Heading3"/>
      </w:pPr>
      <w:r>
        <w:t xml:space="preserve">Invalid</w:t>
      </w:r>
    </w:p>
    <w:p>
      <w:pPr>
        <w:pStyle w:val="SourceCode"/>
      </w:pPr>
      <w:r>
        <w:rPr>
          <w:rStyle w:val="VerbatimChar"/>
        </w:rPr>
        <w:t xml:space="preserve">moi:                 # empty reference</w:t>
      </w:r>
      <w:r>
        <w:br/>
      </w:r>
      <w:r>
        <w:rPr>
          <w:rStyle w:val="VerbatimChar"/>
        </w:rPr>
        <w:t xml:space="preserve">moi:DevNet           # uppercase characters</w:t>
      </w:r>
      <w:r>
        <w:br/>
      </w:r>
      <w:r>
        <w:rPr>
          <w:rStyle w:val="VerbatimChar"/>
        </w:rPr>
        <w:t xml:space="preserve">moi:dev net          # whitespace</w:t>
      </w:r>
      <w:r>
        <w:br/>
      </w:r>
      <w:r>
        <w:rPr>
          <w:rStyle w:val="VerbatimChar"/>
        </w:rPr>
        <w:t xml:space="preserve">moi:-devnet          # leading hyphen</w:t>
      </w:r>
      <w:r>
        <w:br/>
      </w:r>
      <w:r>
        <w:rPr>
          <w:rStyle w:val="VerbatimChar"/>
        </w:rPr>
        <w:t xml:space="preserve">moi:devnet-          # trailing hyphen</w:t>
      </w:r>
      <w:r>
        <w:br/>
      </w:r>
      <w:r>
        <w:rPr>
          <w:rStyle w:val="VerbatimChar"/>
        </w:rPr>
        <w:t xml:space="preserve">moi:dev_net          # underscore is not permitted</w:t>
      </w:r>
      <w:r>
        <w:br/>
      </w:r>
      <w:r>
        <w:rPr>
          <w:rStyle w:val="VerbatimChar"/>
        </w:rPr>
        <w:t xml:space="preserve">MOI:devnet           # uppercase namespace</w:t>
      </w:r>
      <w:r>
        <w:br/>
      </w:r>
      <w:r>
        <w:rPr>
          <w:rStyle w:val="VerbatimChar"/>
        </w:rPr>
        <w:t xml:space="preserve">moi:this-reference-is-far-too-long-to-be-valid   # exceeds 32 characters</w:t>
      </w:r>
    </w:p>
    <w:bookmarkEnd w:id="20"/>
    <w:bookmarkEnd w:id="21"/>
    <w:bookmarkStart w:id="22" w:name="security-considerations"/>
    <w:p>
      <w:pPr>
        <w:pStyle w:val="Heading2"/>
      </w:pPr>
      <w:r>
        <w:t xml:space="preserve">Security Considerations</w:t>
      </w:r>
    </w:p>
    <w:p>
      <w:pPr>
        <w:pStyle w:val="FirstParagraph"/>
      </w:pPr>
      <w:r>
        <w:t xml:space="preserve">A network reference is only as trustworthy as the endpoint reporting it.</w:t>
      </w:r>
      <w:r>
        <w:t xml:space="preserve"> </w:t>
      </w:r>
      <w:r>
        <w:t xml:space="preserve">Clients SHOULD authenticate their RPC endpoint and SHOULD NOT infer a network from an unverified</w:t>
      </w:r>
      <w:r>
        <w:t xml:space="preserve"> </w:t>
      </w:r>
      <w:r>
        <w:t xml:space="preserve">URL. Because MOI participant identifiers are derived from public keys rather than allocated per</w:t>
      </w:r>
      <w:r>
        <w:t xml:space="preserve"> </w:t>
      </w:r>
      <w:r>
        <w:t xml:space="preserve">network, the same identifier may exist on more than one MOI network — so a client that submits an</w:t>
      </w:r>
      <w:r>
        <w:t xml:space="preserve"> </w:t>
      </w:r>
      <w:r>
        <w:t xml:space="preserve">interaction to the wrong network may find it succeeds.</w:t>
      </w:r>
    </w:p>
    <w:bookmarkEnd w:id="22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CAIP-2</w:t>
        </w:r>
      </w:hyperlink>
      <w:r>
        <w:t xml:space="preserve"> </w:t>
      </w:r>
      <w:r>
        <w:t xml:space="preserve">— Blockchain ID Specification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CAIP-104</w:t>
        </w:r>
      </w:hyperlink>
      <w:r>
        <w:t xml:space="preserve"> </w:t>
      </w:r>
      <w:r>
        <w:t xml:space="preserve">— Chain Agnostic Namespaces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MOI Protocol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Voyage Explorer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js-moi-sdk</w:t>
        </w:r>
      </w:hyperlink>
    </w:p>
    <w:bookmarkEnd w:id="27"/>
    <w:bookmarkStart w:id="29" w:name="copyright"/>
    <w:p>
      <w:pPr>
        <w:pStyle w:val="Heading2"/>
      </w:pPr>
      <w:r>
        <w:t xml:space="preserve">Copyright</w:t>
      </w:r>
    </w:p>
    <w:p>
      <w:pPr>
        <w:pStyle w:val="FirstParagraph"/>
      </w:pPr>
      <w:r>
        <w:t xml:space="preserve">Copyright and related rights waived via</w:t>
      </w:r>
      <w:r>
        <w:t xml:space="preserve"> </w:t>
      </w:r>
      <w:hyperlink r:id="rId28">
        <w:r>
          <w:rPr>
            <w:rStyle w:val="Hyperlink"/>
          </w:rPr>
          <w:t xml:space="preserve">CC0</w:t>
        </w:r>
      </w:hyperlink>
      <w: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chainagnostic.org/CAIPs/caip-104" TargetMode="External" /><Relationship Type="http://schemas.openxmlformats.org/officeDocument/2006/relationships/hyperlink" Id="rId9" Target="https://chainagnostic.org/CAIPs/caip-2" TargetMode="External" /><Relationship Type="http://schemas.openxmlformats.org/officeDocument/2006/relationships/hyperlink" Id="rId28" Target="https://creativecommons.org/publicdomain/zero/1.0/" TargetMode="External" /><Relationship Type="http://schemas.openxmlformats.org/officeDocument/2006/relationships/hyperlink" Id="rId31" Target="https://github.com/ChainAgnostic/namespaces/pull/TODO" TargetMode="External" /><Relationship Type="http://schemas.openxmlformats.org/officeDocument/2006/relationships/hyperlink" Id="rId24" Target="https://moi.technology" TargetMode="External" /><Relationship Type="http://schemas.openxmlformats.org/officeDocument/2006/relationships/hyperlink" Id="rId10" Target="https://namespaces.chainagnostic.org/stellar/caip2" TargetMode="External" /><Relationship Type="http://schemas.openxmlformats.org/officeDocument/2006/relationships/hyperlink" Id="rId25" Target="https://voyage.moi.technology" TargetMode="External" /><Relationship Type="http://schemas.openxmlformats.org/officeDocument/2006/relationships/hyperlink" Id="rId26" Target="https://www.npmjs.com/package/js-moi-sd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hainagnostic.org/CAIPs/caip-104" TargetMode="External" /><Relationship Type="http://schemas.openxmlformats.org/officeDocument/2006/relationships/hyperlink" Id="rId9" Target="https://chainagnostic.org/CAIPs/caip-2" TargetMode="External" /><Relationship Type="http://schemas.openxmlformats.org/officeDocument/2006/relationships/hyperlink" Id="rId28" Target="https://creativecommons.org/publicdomain/zero/1.0/" TargetMode="External" /><Relationship Type="http://schemas.openxmlformats.org/officeDocument/2006/relationships/hyperlink" Id="rId31" Target="https://github.com/ChainAgnostic/namespaces/pull/TODO" TargetMode="External" /><Relationship Type="http://schemas.openxmlformats.org/officeDocument/2006/relationships/hyperlink" Id="rId24" Target="https://moi.technology" TargetMode="External" /><Relationship Type="http://schemas.openxmlformats.org/officeDocument/2006/relationships/hyperlink" Id="rId10" Target="https://namespaces.chainagnostic.org/stellar/caip2" TargetMode="External" /><Relationship Type="http://schemas.openxmlformats.org/officeDocument/2006/relationships/hyperlink" Id="rId25" Target="https://voyage.moi.technology" TargetMode="External" /><Relationship Type="http://schemas.openxmlformats.org/officeDocument/2006/relationships/hyperlink" Id="rId26" Target="https://www.npmjs.com/package/js-moi-sd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MOI Namespace - Chains</dc:title>
  <dc:creator>TODO Name (@TODO-github-handle)</dc:creator>
  <cp:keywords/>
  <dcterms:created xsi:type="dcterms:W3CDTF">2026-09-09T04:05:59Z</dcterms:created>
  <dcterms:modified xsi:type="dcterms:W3CDTF">2026-09-09T04:05:59Z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2026-08-08</vt:lpwstr>
  </property>
  <property fmtid="{D5CDD505-2E9C-101B-9397-08002B2CF9AE}" pid="3" name="discussions-to">
    <vt:lpwstr>https://github.com/ChainAgnostic/namespaces/pull/TODO</vt:lpwstr>
  </property>
  <property fmtid="{D5CDD505-2E9C-101B-9397-08002B2CF9AE}" pid="4" name="namespace-identifier">
    <vt:lpwstr>moi-caip2</vt:lpwstr>
  </property>
  <property fmtid="{D5CDD505-2E9C-101B-9397-08002B2CF9AE}" pid="5" name="requires">
    <vt:lpwstr>CAIP-2</vt:lpwstr>
  </property>
  <property fmtid="{D5CDD505-2E9C-101B-9397-08002B2CF9AE}" pid="6" name="status">
    <vt:lpwstr>Draft</vt:lpwstr>
  </property>
  <property fmtid="{D5CDD505-2E9C-101B-9397-08002B2CF9AE}" pid="7" name="type">
    <vt:lpwstr>Standard</vt:lpwstr>
  </property>
</Properties>
</file>