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965ec35bec486600b88dacb661b758732413a8"/>
    <w:p>
      <w:pPr>
        <w:pStyle w:val="Heading1"/>
      </w:pPr>
      <w:r>
        <w:t xml:space="preserve">PR description — x402-foundation/x402 (spec only)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specs: add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 for MOI (</w:t>
      </w:r>
      <w:r>
        <w:rPr>
          <w:rStyle w:val="VerbatimChar"/>
        </w:rPr>
        <w:t xml:space="preserve">moi:*</w:t>
      </w:r>
      <w:r>
        <w:t xml:space="preserve">), upfront flow</w:t>
      </w:r>
    </w:p>
    <w:p>
      <w:pPr>
        <w:pStyle w:val="BodyText"/>
      </w:pPr>
      <w:r>
        <w:t xml:space="preserve">Adds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. Specification only, no code — per the repo's</w:t>
      </w:r>
      <w:r>
        <w:t xml:space="preserve"> </w:t>
      </w:r>
      <w:r>
        <w:t xml:space="preserve">process, the spec lands before any mechanism package is reviewed.</w:t>
      </w:r>
    </w:p>
    <w:p>
      <w:pPr>
        <w:pStyle w:val="BodyText"/>
      </w:pPr>
      <w:r>
        <w:t xml:space="preserve">MOI uses the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flow: interactions are signed whole, so no detached authorization object</w:t>
      </w:r>
      <w:r>
        <w:t xml:space="preserve"> </w:t>
      </w:r>
      <w:r>
        <w:t xml:space="preserve">exists; the buyer settles first and proves with a signed claim binding the settled transfer to</w:t>
      </w:r>
      <w:r>
        <w:t xml:space="preserve"> </w:t>
      </w:r>
      <w:r>
        <w:t xml:space="preserve">one resource.</w:t>
      </w:r>
      <w:r>
        <w:t xml:space="preserve"> </w:t>
      </w:r>
      <w:r>
        <w:rPr>
          <w:rStyle w:val="VerbatimChar"/>
        </w:rPr>
        <w:t xml:space="preserve">settle()</w:t>
      </w:r>
      <w:r>
        <w:t xml:space="preserve"> </w:t>
      </w:r>
      <w:r>
        <w:t xml:space="preserve">confirms rather than executes, fees are not sponsored, and the</w:t>
      </w:r>
      <w:r>
        <w:t xml:space="preserve"> </w:t>
      </w:r>
      <w:r>
        <w:t xml:space="preserve">facilitator holds no keys, making self-facilitation the natural deployment.</w:t>
      </w:r>
    </w:p>
    <w:p>
      <w:pPr>
        <w:pStyle w:val="Compact"/>
        <w:numPr>
          <w:ilvl w:val="0"/>
          <w:numId w:val="1001"/>
        </w:numPr>
      </w:pPr>
      <w:r>
        <w:t xml:space="preserve">CAIP-2 namespace PR to CASA opened first (spec names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 </w:t>
      </w:r>
      <w:r>
        <w:t xml:space="preserve">networks)</w:t>
      </w:r>
    </w:p>
    <w:p>
      <w:pPr>
        <w:pStyle w:val="Compact"/>
        <w:numPr>
          <w:ilvl w:val="0"/>
          <w:numId w:val="1002"/>
        </w:numPr>
      </w:pPr>
      <w:r>
        <w:t xml:space="preserve">Commits GPG-signed, conventional prefixes</w:t>
      </w:r>
    </w:p>
    <w:p>
      <w:pPr>
        <w:pStyle w:val="Compact"/>
        <w:numPr>
          <w:ilvl w:val="0"/>
          <w:numId w:val="1003"/>
        </w:numPr>
      </w:pPr>
      <w:r>
        <w:t xml:space="preserve">AI assistance disclosed (this PR was drafted with AI assistance and human-reviewed)</w:t>
      </w:r>
    </w:p>
    <w:p>
      <w:pPr>
        <w:pStyle w:val="Compact"/>
        <w:numPr>
          <w:ilvl w:val="0"/>
          <w:numId w:val="1004"/>
        </w:numPr>
      </w:pPr>
      <w:r>
        <w:t xml:space="preserve">Internal review (Rahul) complete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