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me-exact-on-moi"/>
    <w:p>
      <w:pPr>
        <w:pStyle w:val="Heading1"/>
      </w:pPr>
      <w:r>
        <w:t xml:space="preserve">Scheme: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on MOI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document specifies the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payment scheme on MOI networks (</w:t>
      </w:r>
      <w:r>
        <w:rPr>
          <w:rStyle w:val="VerbatimChar"/>
        </w:rPr>
        <w:t xml:space="preserve">moi:*</w:t>
      </w:r>
      <w:r>
        <w:t xml:space="preserve">). The buyer pays</w:t>
      </w:r>
      <w:r>
        <w:t xml:space="preserve"> </w:t>
      </w:r>
      <w:r>
        <w:t xml:space="preserve">exactly the quoted amount in a MOI-native MAS0 asset.</w:t>
      </w:r>
    </w:p>
    <w:p>
      <w:pPr>
        <w:pStyle w:val="BodyText"/>
      </w:pPr>
      <w:r>
        <w:t xml:space="preserve">MOI uses the</w:t>
      </w:r>
      <w:r>
        <w:t xml:space="preserve"> </w:t>
      </w:r>
      <w:r>
        <w:rPr>
          <w:b/>
          <w:bCs/>
        </w:rPr>
        <w:t xml:space="preserve">upfront flow</w:t>
      </w:r>
      <w:r>
        <w:t xml:space="preserve">: the buyer settles the transfer on chain first, then presents a</w:t>
      </w:r>
      <w:r>
        <w:t xml:space="preserve"> </w:t>
      </w:r>
      <w:r>
        <w:t xml:space="preserve">signed claim naming that settled transfer as proof. This differs from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flow</w:t>
      </w:r>
      <w:r>
        <w:t xml:space="preserve"> </w:t>
      </w:r>
      <w:r>
        <w:t xml:space="preserve">used by EVM chains, and the reason is structural: a MOI interaction is signed as a whole by the</w:t>
      </w:r>
      <w:r>
        <w:t xml:space="preserve"> </w:t>
      </w:r>
      <w:r>
        <w:t xml:space="preserve">account that submits it. There is no detached permission object, in the manner of EIP-3009, that</w:t>
      </w:r>
      <w:r>
        <w:t xml:space="preserve"> </w:t>
      </w:r>
      <w:r>
        <w:t xml:space="preserve">a buyer could sign and hand to someone else to submit. Nothing exists to hand over, so the buyer</w:t>
      </w:r>
      <w:r>
        <w:t xml:space="preserve"> </w:t>
      </w:r>
      <w:r>
        <w:t xml:space="preserve">submits its own transfer and proves it afterwards.</w:t>
      </w:r>
    </w:p>
    <w:p>
      <w:pPr>
        <w:pStyle w:val="BodyText"/>
      </w:pPr>
      <w:r>
        <w:t xml:space="preserve">Two consequences follow, and both simplify operation: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settle()</w:t>
      </w:r>
      <w:r>
        <w:t xml:space="preserve"> </w:t>
      </w:r>
      <w:r>
        <w:rPr>
          <w:b/>
          <w:bCs/>
        </w:rPr>
        <w:t xml:space="preserve">confirms rather than executes.</w:t>
      </w:r>
      <w:r>
        <w:t xml:space="preserve"> </w:t>
      </w:r>
      <w:r>
        <w:t xml:space="preserve">The money moved before the server ever saw the</w:t>
      </w:r>
      <w:r>
        <w:t xml:space="preserve"> </w:t>
      </w:r>
      <w:r>
        <w:t xml:space="preserve">request. Settlement verifies the transfer on chain and marks it spent.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Fees are not sponsored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areFeesSponsored: false</w:t>
      </w:r>
      <w:r>
        <w:t xml:space="preserve">). The buyer paid its own fuel when it</w:t>
      </w:r>
      <w:r>
        <w:t xml:space="preserve"> </w:t>
      </w:r>
      <w:r>
        <w:t xml:space="preserve">submitted the transfer. A facilitator for this scheme holds no keys and signs nothing, which</w:t>
      </w:r>
      <w:r>
        <w:t xml:space="preserve"> </w:t>
      </w:r>
      <w:r>
        <w:t xml:space="preserve">makes in-process self-facilitation the natural deployment.</w:t>
      </w:r>
    </w:p>
    <w:bookmarkEnd w:id="9"/>
    <w:bookmarkStart w:id="10" w:name="network"/>
    <w:p>
      <w:pPr>
        <w:pStyle w:val="Heading2"/>
      </w:pPr>
      <w:r>
        <w:t xml:space="preserve">Network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moi:devnet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moi:mainnet</w:t>
            </w:r>
            <w:r>
              <w:t xml:space="preserve"> </w:t>
            </w:r>
            <w:r>
              <w:t xml:space="preserve">(CAIP-2 registration in progress with CASA)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upfront</w:t>
            </w:r>
          </w:p>
        </w:tc>
      </w:tr>
    </w:tbl>
    <w:p>
      <w:pPr>
        <w:pStyle w:val="BodyText"/>
      </w:pPr>
      <w:r>
        <w:t xml:space="preserve">The MOI protocol team is adding a JSON-RPC method that reports a node's network identity</w:t>
      </w:r>
      <w:r>
        <w:t xml:space="preserve"> </w:t>
      </w:r>
      <w:r>
        <w:t xml:space="preserve">(a per-network chain id). The CAIP-2 reference format will be finalized against that method.</w:t>
      </w:r>
    </w:p>
    <w:bookmarkEnd w:id="10"/>
    <w:bookmarkStart w:id="11" w:name="paymentrequirements"/>
    <w:p>
      <w:pPr>
        <w:pStyle w:val="Heading2"/>
      </w:pPr>
      <w:r>
        <w:rPr>
          <w:rStyle w:val="VerbatimChar"/>
        </w:rPr>
        <w:t xml:space="preserve">PaymentRequirements</w:t>
      </w:r>
    </w:p>
    <w:p>
      <w:pPr>
        <w:pStyle w:val="FirstParagraph"/>
      </w:pPr>
      <w:r>
        <w:t xml:space="preserve">Standard fields, interpreted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 on MOI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moi:*</w:t>
            </w:r>
            <w:r>
              <w:t xml:space="preserve"> </w:t>
            </w:r>
            <w:r>
              <w:t xml:space="preserve">CAIP-2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The 32-byte identifier of a MAS0 asset,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Atomic units of that asset, decimal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payTo</w:t>
            </w:r>
          </w:p>
        </w:tc>
        <w:tc>
          <w:tcPr/>
          <w:p>
            <w:pPr>
              <w:pStyle w:val="Compact"/>
            </w:pPr>
            <w:r>
              <w:t xml:space="preserve">The seller's participant identifier, 32 bytes, 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maxTimeoutSeconds</w:t>
            </w:r>
          </w:p>
        </w:tc>
        <w:tc>
          <w:tcPr/>
          <w:p>
            <w:pPr>
              <w:pStyle w:val="Compact"/>
            </w:pPr>
            <w:r>
              <w:t xml:space="preserve">Bounds</w:t>
            </w:r>
            <w:r>
              <w:t xml:space="preserve"> </w:t>
            </w:r>
            <w:r>
              <w:rPr>
                <w:rStyle w:val="VerbatimChar"/>
              </w:rPr>
              <w:t xml:space="preserve">validBefore</w:t>
            </w:r>
            <w:r>
              <w:t xml:space="preserve"> </w:t>
            </w:r>
            <w:r>
              <w:t xml:space="preserve">in the claim</w:t>
            </w:r>
          </w:p>
        </w:tc>
      </w:tr>
    </w:tbl>
    <w:bookmarkEnd w:id="11"/>
    <w:bookmarkStart w:id="14" w:name="x-payment-payload"/>
    <w:p>
      <w:pPr>
        <w:pStyle w:val="Heading2"/>
      </w:pPr>
      <w:r>
        <w:rPr>
          <w:rStyle w:val="VerbatimChar"/>
        </w:rPr>
        <w:t xml:space="preserve">X-PAYMENT</w:t>
      </w:r>
      <w:r>
        <w:t xml:space="preserve"> </w:t>
      </w:r>
      <w:r>
        <w:t xml:space="preserve">payload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member of the standard</w:t>
      </w:r>
      <w:r>
        <w:t xml:space="preserve"> </w:t>
      </w:r>
      <w:r>
        <w:rPr>
          <w:rStyle w:val="VerbatimChar"/>
        </w:rPr>
        <w:t xml:space="preserve">PaymentPayload</w:t>
      </w:r>
      <w:r>
        <w:t xml:space="preserve"> </w:t>
      </w:r>
      <w:r>
        <w:t xml:space="preserve">envelope carries: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"02a1…"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compressed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public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key,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hex,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0x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prefix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ECDSA</w:t>
      </w:r>
      <w:r>
        <w:rPr>
          <w:rStyle w:val="NormalTok"/>
        </w:rPr>
        <w:t xml:space="preserve"> </w:t>
      </w:r>
      <w:r>
        <w:rPr>
          <w:rStyle w:val="ErrorTok"/>
        </w:rPr>
        <w:t xml:space="preserve">over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canonical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claim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"0x00000000…"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account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"0x00000000…"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equal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requirements.payTo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"0x…"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MAS0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must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equal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requirements.asset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"1000"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atomic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units,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decimal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"txHash"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"0x…"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interaction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hash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ALREADY-SETTLED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transfer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was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bought;</w:t>
      </w:r>
      <w:r>
        <w:rPr>
          <w:rStyle w:val="NormalTok"/>
        </w:rPr>
        <w:t xml:space="preserve"> </w:t>
      </w:r>
      <w:r>
        <w:rPr>
          <w:rStyle w:val="ErrorTok"/>
        </w:rPr>
        <w:t xml:space="preserve">binds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"1757000000"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"1757000060"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"0x…"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random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bytes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2" w:name="canonical-claim-bytes"/>
    <w:p>
      <w:pPr>
        <w:pStyle w:val="Heading3"/>
      </w:pPr>
      <w:r>
        <w:t xml:space="preserve">Canonical claim bytes</w:t>
      </w:r>
    </w:p>
    <w:p>
      <w:pPr>
        <w:pStyle w:val="FirstParagraph"/>
      </w:pPr>
      <w:r>
        <w:t xml:space="preserve">Signer and verifier MUST produce identical bytes, so the claim is serialized positionally rather</w:t>
      </w:r>
      <w:r>
        <w:t xml:space="preserve"> </w:t>
      </w:r>
      <w:r>
        <w:t xml:space="preserve">than as an object, with a domain separator as the first element: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"moi-x402-payment-claim-v1"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asset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txHash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resource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validAfter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validBefore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nonce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 UTF-8 encoding of that JSON array is what the buyer signs. The domain separator prevents a</w:t>
      </w:r>
      <w:r>
        <w:t xml:space="preserve"> </w:t>
      </w:r>
      <w:r>
        <w:t xml:space="preserve">signature produced here from being reinterpreted as a signature over any other message the same</w:t>
      </w:r>
      <w:r>
        <w:t xml:space="preserve"> </w:t>
      </w:r>
      <w:r>
        <w:t xml:space="preserve">key might sign.</w:t>
      </w:r>
    </w:p>
    <w:bookmarkEnd w:id="12"/>
    <w:bookmarkStart w:id="13" w:name="why-the-claim-exists-at-all"/>
    <w:p>
      <w:pPr>
        <w:pStyle w:val="Heading3"/>
      </w:pPr>
      <w:r>
        <w:t xml:space="preserve">Why the claim exists at all</w:t>
      </w:r>
    </w:p>
    <w:p>
      <w:pPr>
        <w:pStyle w:val="FirstParagraph"/>
      </w:pPr>
      <w:r>
        <w:t xml:space="preserve">The transfer's hash is public the moment it is mined. Anyone watching the chain could copy it.</w:t>
      </w:r>
      <w:r>
        <w:t xml:space="preserve"> </w:t>
      </w:r>
      <w:r>
        <w:t xml:space="preserve">The claim is what stops a lifted hash being redeemed by someone other than the payer:</w:t>
      </w:r>
    </w:p>
    <w:p>
      <w:pPr>
        <w:pStyle w:val="Compact"/>
        <w:numPr>
          <w:ilvl w:val="0"/>
          <w:numId w:val="1002"/>
        </w:numPr>
      </w:pPr>
      <w:r>
        <w:t xml:space="preserve">the claim is</w:t>
      </w:r>
      <w:r>
        <w:t xml:space="preserve"> </w:t>
      </w:r>
      <w:r>
        <w:rPr>
          <w:b/>
          <w:bCs/>
        </w:rPr>
        <w:t xml:space="preserve">signed</w:t>
      </w:r>
      <w:r>
        <w:t xml:space="preserve">, and verification derives a participant identifier from the signing</w:t>
      </w:r>
      <w:r>
        <w:t xml:space="preserve"> </w:t>
      </w:r>
      <w:r>
        <w:t xml:space="preserve">public key and requires it to equal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 </w:t>
      </w:r>
      <w:r>
        <w:t xml:space="preserve">— so only the key that controls the paying</w:t>
      </w:r>
      <w:r>
        <w:t xml:space="preserve"> </w:t>
      </w:r>
      <w:r>
        <w:t xml:space="preserve">account can produce a valid claim over that account's transfer;</w:t>
      </w:r>
    </w:p>
    <w:p>
      <w:pPr>
        <w:pStyle w:val="Compact"/>
        <w:numPr>
          <w:ilvl w:val="0"/>
          <w:numId w:val="1002"/>
        </w:numPr>
      </w:pPr>
      <w:r>
        <w:t xml:space="preserve">the claim names a</w:t>
      </w:r>
      <w:r>
        <w:t xml:space="preserve"> </w:t>
      </w:r>
      <w:r>
        <w:rPr>
          <w:b/>
          <w:bCs/>
        </w:rPr>
        <w:t xml:space="preserve">resource</w:t>
      </w:r>
      <w:r>
        <w:t xml:space="preserve">, binding one payment to one purchase;</w:t>
      </w:r>
    </w:p>
    <w:p>
      <w:pPr>
        <w:pStyle w:val="Compact"/>
        <w:numPr>
          <w:ilvl w:val="0"/>
          <w:numId w:val="1002"/>
        </w:numPr>
      </w:pPr>
      <w:r>
        <w:t xml:space="preserve">the claim carries a</w:t>
      </w:r>
      <w:r>
        <w:t xml:space="preserve"> </w:t>
      </w:r>
      <w:r>
        <w:rPr>
          <w:b/>
          <w:bCs/>
        </w:rPr>
        <w:t xml:space="preserve">validity window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nonce</w:t>
      </w:r>
      <w:r>
        <w:t xml:space="preserve">, and the transfer hash is</w:t>
      </w:r>
      <w:r>
        <w:t xml:space="preserve"> </w:t>
      </w:r>
      <w:r>
        <w:rPr>
          <w:b/>
          <w:bCs/>
        </w:rPr>
        <w:t xml:space="preserve">burned on</w:t>
      </w:r>
      <w:r>
        <w:rPr>
          <w:b/>
          <w:bCs/>
        </w:rPr>
        <w:t xml:space="preserve"> </w:t>
      </w:r>
      <w:r>
        <w:rPr>
          <w:b/>
          <w:bCs/>
        </w:rPr>
        <w:t xml:space="preserve">settlement</w:t>
      </w:r>
      <w:r>
        <w:t xml:space="preserve">, so the same payment cannot be redeemed twice.</w:t>
      </w:r>
    </w:p>
    <w:bookmarkEnd w:id="13"/>
    <w:bookmarkEnd w:id="14"/>
    <w:bookmarkStart w:id="15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rPr>
          <w:rStyle w:val="VerbatimChar"/>
        </w:rPr>
        <w:t xml:space="preserve">verify(payload, requirements)</w:t>
      </w:r>
      <w:r>
        <w:t xml:space="preserve"> </w:t>
      </w:r>
      <w:r>
        <w:t xml:space="preserve">performs, in order: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Shape.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are present.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Signature.</w:t>
      </w:r>
      <w:r>
        <w:t xml:space="preserve"> </w:t>
      </w:r>
      <w:r>
        <w:t xml:space="preserve">ECDSA over the canonical claim bytes verifies against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controls payer.</w:t>
      </w:r>
      <w:r>
        <w:t xml:space="preserve"> </w:t>
      </w:r>
      <w:r>
        <w:t xml:space="preserve">The participant identifier derived from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. A valid signature alone could still merely</w:t>
      </w:r>
      <w:r>
        <w:t xml:space="preserve"> </w:t>
      </w:r>
      <w:r>
        <w:rPr>
          <w:i/>
          <w:iCs/>
        </w:rPr>
        <w:t xml:space="preserve">claim</w:t>
      </w:r>
      <w:r>
        <w:t xml:space="preserve"> </w:t>
      </w:r>
      <w:r>
        <w:t xml:space="preserve">someone else's transfer;</w:t>
      </w:r>
      <w:r>
        <w:t xml:space="preserve"> </w:t>
      </w:r>
      <w:r>
        <w:t xml:space="preserve">this step is what defeats a lifted hash.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Claim matches quote.</w:t>
      </w:r>
      <w:r>
        <w:t xml:space="preserve"> </w:t>
      </w:r>
      <w:r>
        <w:rPr>
          <w:rStyle w:val="VerbatimChar"/>
        </w:rPr>
        <w:t xml:space="preserve">claim.asset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requirements.asset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claim.to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requirements.payTo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claim.value</w:t>
      </w:r>
      <w:r>
        <w:t xml:space="preserve"> </w:t>
      </w:r>
      <w:r>
        <w:t xml:space="preserve">is at least</w:t>
      </w:r>
      <w:r>
        <w:t xml:space="preserve"> </w:t>
      </w:r>
      <w:r>
        <w:rPr>
          <w:rStyle w:val="VerbatimChar"/>
        </w:rPr>
        <w:t xml:space="preserve">requirements.amount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Freshness.</w:t>
      </w:r>
      <w:r>
        <w:t xml:space="preserve"> </w:t>
      </w:r>
      <w:r>
        <w:t xml:space="preserve">Current time lies within</w:t>
      </w:r>
      <w:r>
        <w:t xml:space="preserve"> </w:t>
      </w:r>
      <w:r>
        <w:rPr>
          <w:rStyle w:val="VerbatimChar"/>
        </w:rPr>
        <w:t xml:space="preserve">[validAfter, validBefore]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money actually moved.</w:t>
      </w:r>
      <w:r>
        <w:t xml:space="preserve"> </w:t>
      </w:r>
      <w:r>
        <w:t xml:space="preserve">The transfer at</w:t>
      </w:r>
      <w:r>
        <w:t xml:space="preserve"> </w:t>
      </w:r>
      <w:r>
        <w:rPr>
          <w:rStyle w:val="VerbatimChar"/>
        </w:rPr>
        <w:t xml:space="preserve">claim.txHash</w:t>
      </w:r>
      <w:r>
        <w:t xml:space="preserve"> </w:t>
      </w:r>
      <w:r>
        <w:t xml:space="preserve">is read back from the chain and</w:t>
      </w:r>
      <w:r>
        <w:t xml:space="preserve"> </w:t>
      </w:r>
      <w:r>
        <w:t xml:space="preserve">its on-chain facts — sender, beneficiary, amount, and that the invoked callsite is a</w:t>
      </w:r>
      <w:r>
        <w:t xml:space="preserve"> </w:t>
      </w:r>
      <w:r>
        <w:t xml:space="preserve">transfer — must agree with the claim. The payload is never believed on its own. This read-back</w:t>
      </w:r>
      <w:r>
        <w:t xml:space="preserve"> </w:t>
      </w:r>
      <w:r>
        <w:t xml:space="preserve">is mandatory on MOI: a refused MAS0 transfer still returns an interaction hash, so the hash's</w:t>
      </w:r>
      <w:r>
        <w:t xml:space="preserve"> </w:t>
      </w:r>
      <w:r>
        <w:t xml:space="preserve">existence proves nothing by itself.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Replay.</w:t>
      </w:r>
      <w:r>
        <w:t xml:space="preserve"> </w:t>
      </w:r>
      <w:r>
        <w:rPr>
          <w:rStyle w:val="VerbatimChar"/>
        </w:rPr>
        <w:t xml:space="preserve">claim.txHash</w:t>
      </w:r>
      <w:r>
        <w:t xml:space="preserve"> </w:t>
      </w:r>
      <w:r>
        <w:t xml:space="preserve">has not been redeemed before.</w:t>
      </w:r>
    </w:p>
    <w:p>
      <w:pPr>
        <w:pStyle w:val="FirstParagraph"/>
      </w:pPr>
      <w:r>
        <w:t xml:space="preserve">Failures map to the standard reasons:</w:t>
      </w:r>
      <w:r>
        <w:t xml:space="preserve"> </w:t>
      </w:r>
      <w:r>
        <w:rPr>
          <w:rStyle w:val="VerbatimChar"/>
        </w:rPr>
        <w:t xml:space="preserve">invalid_payload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invalid_signature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payment_expired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already_spent</w:t>
      </w:r>
      <w:r>
        <w:t xml:space="preserve">.</w:t>
      </w:r>
    </w:p>
    <w:bookmarkEnd w:id="15"/>
    <w:bookmarkStart w:id="16" w:name="settlement"/>
    <w:p>
      <w:pPr>
        <w:pStyle w:val="Heading2"/>
      </w:pPr>
      <w:r>
        <w:t xml:space="preserve">Settlement</w:t>
      </w:r>
    </w:p>
    <w:p>
      <w:pPr>
        <w:pStyle w:val="FirstParagraph"/>
      </w:pPr>
      <w:r>
        <w:rPr>
          <w:rStyle w:val="VerbatimChar"/>
        </w:rPr>
        <w:t xml:space="preserve">settle()</w:t>
      </w:r>
      <w:r>
        <w:t xml:space="preserve"> </w:t>
      </w:r>
      <w:r>
        <w:t xml:space="preserve">re-runs verification in full — it must not assume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ran, or passed — then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claim.txHash</w:t>
      </w:r>
      <w:r>
        <w:t xml:space="preserve"> </w:t>
      </w:r>
      <w:r>
        <w:t xml:space="preserve">in a spent-store and reports success with: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claim.txHash</w:t>
            </w:r>
            <w:r>
              <w:t xml:space="preserve"> </w:t>
            </w:r>
            <w:r>
              <w:t xml:space="preserve">— the buyer's own transfer, confirmed rather than executed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claim.from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from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claim.value</w:t>
            </w:r>
          </w:p>
        </w:tc>
      </w:tr>
    </w:tbl>
    <w:p>
      <w:pPr>
        <w:pStyle w:val="BodyText"/>
      </w:pPr>
      <w:r>
        <w:t xml:space="preserve">The spent-store is the replay boundary. In production it MUST be durable across process</w:t>
      </w:r>
      <w:r>
        <w:t xml:space="preserve"> </w:t>
      </w:r>
      <w:r>
        <w:t xml:space="preserve">restarts; an in-memory store is acceptable only for development.</w:t>
      </w:r>
    </w:p>
    <w:bookmarkEnd w:id="16"/>
    <w:bookmarkStart w:id="17" w:name="facilitator"/>
    <w:p>
      <w:pPr>
        <w:pStyle w:val="Heading2"/>
      </w:pPr>
      <w:r>
        <w:t xml:space="preserve">Facilitator</w:t>
      </w:r>
    </w:p>
    <w:p>
      <w:pPr>
        <w:pStyle w:val="FirstParagraph"/>
      </w:pPr>
      <w:r>
        <w:t xml:space="preserve">The facilitator for this scheme holds no keys, signs nothing (</w:t>
      </w:r>
      <w:r>
        <w:rPr>
          <w:rStyle w:val="VerbatimChar"/>
        </w:rPr>
        <w:t xml:space="preserve">getSigners</w:t>
      </w:r>
      <w:r>
        <w:t xml:space="preserve"> </w:t>
      </w:r>
      <w:r>
        <w:t xml:space="preserve">returns an empty</w:t>
      </w:r>
      <w:r>
        <w:t xml:space="preserve"> </w:t>
      </w:r>
      <w:r>
        <w:t xml:space="preserve">list), and performs only chain reads. It can therefore run in-process inside the seller</w:t>
      </w:r>
      <w:r>
        <w:t xml:space="preserve"> </w:t>
      </w:r>
      <w:r>
        <w:t xml:space="preserve">("self-facilitation"), which is the recommended deployment on MOI.</w:t>
      </w:r>
      <w:r>
        <w:t xml:space="preserve"> </w:t>
      </w:r>
      <w:r>
        <w:rPr>
          <w:rStyle w:val="VerbatimChar"/>
        </w:rPr>
        <w:t xml:space="preserve">getExtra</w:t>
      </w:r>
      <w:r>
        <w:t xml:space="preserve"> </w:t>
      </w:r>
      <w:r>
        <w:t xml:space="preserve">advertises</w:t>
      </w:r>
      <w:r>
        <w:t xml:space="preserve"> </w:t>
      </w:r>
      <w:r>
        <w:rPr>
          <w:rStyle w:val="VerbatimChar"/>
        </w:rPr>
        <w:t xml:space="preserve">{ "flow": "upfront", "feesSponsored": false }</w:t>
      </w:r>
      <w:r>
        <w:t xml:space="preserve"> </w:t>
      </w:r>
      <w:r>
        <w:t xml:space="preserve">so clients select the correct flow.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Lifted transfer hashes</w:t>
      </w:r>
      <w:r>
        <w:t xml:space="preserve"> </w:t>
      </w:r>
      <w:r>
        <w:t xml:space="preserve">are defeated by step 3 (key must derive to</w:t>
      </w:r>
      <w:r>
        <w:t xml:space="preserve"> </w:t>
      </w:r>
      <w:r>
        <w:rPr>
          <w:rStyle w:val="VerbatimChar"/>
        </w:rPr>
        <w:t xml:space="preserve">claim.from</w:t>
      </w:r>
      <w:r>
        <w:t xml:space="preserve">), the</w:t>
      </w:r>
      <w:r>
        <w:t xml:space="preserve"> </w:t>
      </w:r>
      <w:r>
        <w:t xml:space="preserve">resource binding, and the spent-store.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Silent MAS0 refusals</w:t>
      </w:r>
      <w:r>
        <w:t xml:space="preserve">: a refused transfer still yields an interaction hash. Verification</w:t>
      </w:r>
      <w:r>
        <w:t xml:space="preserve"> </w:t>
      </w:r>
      <w:r>
        <w:t xml:space="preserve">MUST read the transfer back (step 6) and MUST NOT treat possession of a hash as proof of</w:t>
      </w:r>
      <w:r>
        <w:t xml:space="preserve"> </w:t>
      </w:r>
      <w:r>
        <w:t xml:space="preserve">payment.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Overpayment</w:t>
      </w:r>
      <w:r>
        <w:t xml:space="preserve"> </w:t>
      </w:r>
      <w:r>
        <w:t xml:space="preserve">is accepted (</w:t>
      </w:r>
      <w:r>
        <w:rPr>
          <w:rStyle w:val="VerbatimChar"/>
        </w:rPr>
        <w:t xml:space="preserve">value &gt;= amount</w:t>
      </w:r>
      <w:r>
        <w:t xml:space="preserve">); underpayment is rejected at step 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Clock skew</w:t>
      </w:r>
      <w:r>
        <w:t xml:space="preserve"> </w:t>
      </w:r>
      <w:r>
        <w:t xml:space="preserve">between buyer and seller shrinks the effective validity window; sellers should</w:t>
      </w:r>
      <w:r>
        <w:t xml:space="preserve"> </w:t>
      </w:r>
      <w:r>
        <w:t xml:space="preserve">quote</w:t>
      </w:r>
      <w:r>
        <w:t xml:space="preserve"> </w:t>
      </w:r>
      <w:r>
        <w:rPr>
          <w:rStyle w:val="VerbatimChar"/>
        </w:rPr>
        <w:t xml:space="preserve">maxTimeoutSeconds</w:t>
      </w:r>
      <w:r>
        <w:t xml:space="preserve"> </w:t>
      </w:r>
      <w:r>
        <w:t xml:space="preserve">accordingly.</w:t>
      </w:r>
    </w:p>
    <w:bookmarkEnd w:id="18"/>
    <w:bookmarkStart w:id="19" w:name="appendix-moi-in-one-paragraph"/>
    <w:p>
      <w:pPr>
        <w:pStyle w:val="Heading2"/>
      </w:pPr>
      <w:r>
        <w:t xml:space="preserve">Appendix: MOI in one paragraph</w:t>
      </w:r>
    </w:p>
    <w:p>
      <w:pPr>
        <w:pStyle w:val="FirstParagraph"/>
      </w:pPr>
      <w:r>
        <w:t xml:space="preserve">MOI is an account-centric protocol. Each participant account holds its own state and its own</w:t>
      </w:r>
      <w:r>
        <w:t xml:space="preserve"> </w:t>
      </w:r>
      <w:r>
        <w:t xml:space="preserve">sequence of tesseracts; there is no single global block chain. Assets are protocol-native (MAS0)</w:t>
      </w:r>
      <w:r>
        <w:t xml:space="preserve"> </w:t>
      </w:r>
      <w:r>
        <w:t xml:space="preserve">rather than contract-deployed, transfers are protocol operations, and interactions are signed</w:t>
      </w:r>
      <w:r>
        <w:t xml:space="preserve"> </w:t>
      </w:r>
      <w:r>
        <w:t xml:space="preserve">whole by the submitting account. Those three facts are why this scheme settles first and proves</w:t>
      </w:r>
      <w:r>
        <w:t xml:space="preserve"> </w:t>
      </w:r>
      <w:r>
        <w:t xml:space="preserve">second.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2026-09-09T04:05:59Z</dcterms:created>
  <dcterms:modified xsi:type="dcterms:W3CDTF">2026-09-09T04:05:59Z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