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883144" w14:textId="726B016F" w:rsidR="0032437F" w:rsidRPr="008C0A8B" w:rsidRDefault="0032437F" w:rsidP="0032437F">
      <w:pPr>
        <w:numPr>
          <w:ilvl w:val="0"/>
          <w:numId w:val="13"/>
        </w:numPr>
        <w:spacing w:line="276" w:lineRule="auto"/>
        <w:rPr>
          <w:rFonts w:ascii="Arial" w:eastAsia="Times New Roman" w:hAnsi="Arial" w:cs="Arial"/>
          <w:lang w:val="es-ES"/>
        </w:rPr>
      </w:pPr>
      <w:r w:rsidRPr="008C0A8B">
        <w:rPr>
          <w:rFonts w:ascii="Arial" w:eastAsia="Times New Roman" w:hAnsi="Arial" w:cs="Arial"/>
          <w:lang w:val="es-ES"/>
        </w:rPr>
        <w:t>y normas que regulan la seguridad informática y la protección de datos.</w:t>
      </w:r>
    </w:p>
    <w:p w14:paraId="57D6DFC8" w14:textId="77777777" w:rsidR="0032437F" w:rsidRPr="006F5A11" w:rsidRDefault="0032437F">
      <w:pPr>
        <w:pStyle w:val="Ttulo2"/>
        <w:rPr>
          <w:rFonts w:ascii="Arial" w:eastAsia="Times New Roman" w:hAnsi="Arial" w:cs="Arial"/>
          <w:lang w:val="es-ES"/>
        </w:rPr>
      </w:pPr>
      <w:bookmarkStart w:id="0" w:name="_Toc213589459"/>
      <w:r w:rsidRPr="006F5A11">
        <w:rPr>
          <w:rFonts w:ascii="Arial" w:eastAsia="Times New Roman" w:hAnsi="Arial" w:cs="Arial"/>
          <w:lang w:val="es-ES"/>
        </w:rPr>
        <w:lastRenderedPageBreak/>
        <w:t>Desarrollo del tema</w:t>
      </w:r>
      <w:bookmarkEnd w:id="0"/>
    </w:p>
    <w:p w14:paraId="6953F2F1" w14:textId="77777777" w:rsidR="0032437F" w:rsidRPr="008C0A8B" w:rsidRDefault="0032437F">
      <w:pPr>
        <w:rPr>
          <w:rFonts w:ascii="Arial" w:eastAsiaTheme="minorEastAsia" w:hAnsi="Arial" w:cs="Arial"/>
          <w:lang w:val="es-ES"/>
        </w:rPr>
      </w:pPr>
      <w:r w:rsidRPr="008C0A8B">
        <w:rPr>
          <w:rFonts w:ascii="Arial" w:hAnsi="Arial" w:cs="Arial"/>
          <w:lang w:val="es-ES"/>
        </w:rPr>
        <w:t>La auditoría de seguridad informática es un proceso sistemático que tiene como objetivo identificar, evaluar y mejorar las medidas de protección existentes dentro de una infraestructura tecnológica. Este procedimiento abarca desde la revisión de políticas de seguridad hasta el análisis técnico de vulnerabilidades en sistemas, aplicaciones, redes y dispositivos. La auditoría permite asegurar el cumplimiento de estándares internacionales y la protección de los activos digitales frente a incidentes de ciberseguridad.</w:t>
      </w:r>
    </w:p>
    <w:p w14:paraId="549BE7FC" w14:textId="77777777" w:rsidR="0032437F" w:rsidRPr="008C0A8B" w:rsidRDefault="0032437F">
      <w:pPr>
        <w:rPr>
          <w:rFonts w:ascii="Arial" w:hAnsi="Arial" w:cs="Arial"/>
          <w:lang w:val="es-ES"/>
        </w:rPr>
      </w:pPr>
      <w:r w:rsidRPr="008C0A8B">
        <w:rPr>
          <w:rFonts w:ascii="Arial" w:hAnsi="Arial" w:cs="Arial"/>
          <w:lang w:val="es-ES"/>
        </w:rPr>
        <w:t xml:space="preserve">En paralelo, el hacking ético se presenta como una práctica complementaria, basada en el principio de </w:t>
      </w:r>
      <w:proofErr w:type="gramStart"/>
      <w:r w:rsidRPr="008C0A8B">
        <w:rPr>
          <w:rFonts w:ascii="Arial" w:hAnsi="Arial" w:cs="Arial"/>
          <w:lang w:val="es-ES"/>
        </w:rPr>
        <w:t>que</w:t>
      </w:r>
      <w:proofErr w:type="gramEnd"/>
      <w:r w:rsidRPr="008C0A8B">
        <w:rPr>
          <w:rFonts w:ascii="Arial" w:hAnsi="Arial" w:cs="Arial"/>
          <w:lang w:val="es-ES"/>
        </w:rPr>
        <w:t xml:space="preserve"> para proteger un sistema, es necesario entender cómo puede ser atacado. Los hackers éticos, conocidos también como </w:t>
      </w:r>
      <w:proofErr w:type="spellStart"/>
      <w:r w:rsidRPr="008C0A8B">
        <w:rPr>
          <w:rFonts w:ascii="Arial" w:hAnsi="Arial" w:cs="Arial"/>
          <w:lang w:val="es-ES"/>
        </w:rPr>
        <w:t>penetration</w:t>
      </w:r>
      <w:proofErr w:type="spellEnd"/>
      <w:r w:rsidRPr="008C0A8B">
        <w:rPr>
          <w:rFonts w:ascii="Arial" w:hAnsi="Arial" w:cs="Arial"/>
          <w:lang w:val="es-ES"/>
        </w:rPr>
        <w:t xml:space="preserve"> </w:t>
      </w:r>
      <w:proofErr w:type="spellStart"/>
      <w:r w:rsidRPr="008C0A8B">
        <w:rPr>
          <w:rFonts w:ascii="Arial" w:hAnsi="Arial" w:cs="Arial"/>
          <w:lang w:val="es-ES"/>
        </w:rPr>
        <w:t>testers</w:t>
      </w:r>
      <w:proofErr w:type="spellEnd"/>
      <w:r w:rsidRPr="008C0A8B">
        <w:rPr>
          <w:rFonts w:ascii="Arial" w:hAnsi="Arial" w:cs="Arial"/>
          <w:lang w:val="es-ES"/>
        </w:rPr>
        <w:t>, utilizan herramientas y técnicas similares a las de los atacantes reales, pero con el consentimiento de la organización. Su labor incluye detectar vulnerabilidades, evaluar el impacto de un ataque potencial y recomendar soluciones para fortalecer las defensas tecnológicas.</w:t>
      </w:r>
    </w:p>
    <w:p w14:paraId="7C1F7F9E" w14:textId="77777777" w:rsidR="0032437F" w:rsidRPr="008C0A8B" w:rsidRDefault="0032437F">
      <w:pPr>
        <w:rPr>
          <w:rFonts w:ascii="Arial" w:hAnsi="Arial" w:cs="Arial"/>
          <w:lang w:val="es-ES"/>
        </w:rPr>
      </w:pPr>
      <w:r w:rsidRPr="008C0A8B">
        <w:rPr>
          <w:rFonts w:ascii="Arial" w:hAnsi="Arial" w:cs="Arial"/>
          <w:lang w:val="es-ES"/>
        </w:rPr>
        <w:t xml:space="preserve">El proceso de auditoría y hacking ético se desarrolla en varias fases: el reconocimiento inicial, el escaneo de sistemas, el análisis de vulnerabilidades, la explotación controlada, el mantenimiento del acceso, la limpieza de huellas y la elaboración del informe final. Cada etapa requiere un conjunto de habilidades y herramientas específicas. Por ejemplo, en el reconocimiento se utilizan técnicas de OSINT y herramientas como </w:t>
      </w:r>
      <w:proofErr w:type="spellStart"/>
      <w:r w:rsidRPr="008C0A8B">
        <w:rPr>
          <w:rFonts w:ascii="Arial" w:hAnsi="Arial" w:cs="Arial"/>
          <w:lang w:val="es-ES"/>
        </w:rPr>
        <w:t>Shodan</w:t>
      </w:r>
      <w:proofErr w:type="spellEnd"/>
      <w:r w:rsidRPr="008C0A8B">
        <w:rPr>
          <w:rFonts w:ascii="Arial" w:hAnsi="Arial" w:cs="Arial"/>
          <w:lang w:val="es-ES"/>
        </w:rPr>
        <w:t xml:space="preserve"> o </w:t>
      </w:r>
      <w:proofErr w:type="spellStart"/>
      <w:r w:rsidRPr="008C0A8B">
        <w:rPr>
          <w:rFonts w:ascii="Arial" w:hAnsi="Arial" w:cs="Arial"/>
          <w:lang w:val="es-ES"/>
        </w:rPr>
        <w:t>Maltego</w:t>
      </w:r>
      <w:proofErr w:type="spellEnd"/>
      <w:r w:rsidRPr="008C0A8B">
        <w:rPr>
          <w:rFonts w:ascii="Arial" w:hAnsi="Arial" w:cs="Arial"/>
          <w:lang w:val="es-ES"/>
        </w:rPr>
        <w:t xml:space="preserve">; en el escaneo, programas como </w:t>
      </w:r>
      <w:proofErr w:type="spellStart"/>
      <w:r w:rsidRPr="008C0A8B">
        <w:rPr>
          <w:rFonts w:ascii="Arial" w:hAnsi="Arial" w:cs="Arial"/>
          <w:lang w:val="es-ES"/>
        </w:rPr>
        <w:t>Nmap</w:t>
      </w:r>
      <w:proofErr w:type="spellEnd"/>
      <w:r w:rsidRPr="008C0A8B">
        <w:rPr>
          <w:rFonts w:ascii="Arial" w:hAnsi="Arial" w:cs="Arial"/>
          <w:lang w:val="es-ES"/>
        </w:rPr>
        <w:t xml:space="preserve"> o Nessus permiten mapear los puertos y servicios activos; mientras </w:t>
      </w:r>
      <w:proofErr w:type="gramStart"/>
      <w:r w:rsidRPr="008C0A8B">
        <w:rPr>
          <w:rFonts w:ascii="Arial" w:hAnsi="Arial" w:cs="Arial"/>
          <w:lang w:val="es-ES"/>
        </w:rPr>
        <w:t>que</w:t>
      </w:r>
      <w:proofErr w:type="gramEnd"/>
      <w:r w:rsidRPr="008C0A8B">
        <w:rPr>
          <w:rFonts w:ascii="Arial" w:hAnsi="Arial" w:cs="Arial"/>
          <w:lang w:val="es-ES"/>
        </w:rPr>
        <w:t xml:space="preserve"> en la fase de explotación, </w:t>
      </w:r>
      <w:proofErr w:type="spellStart"/>
      <w:r w:rsidRPr="008C0A8B">
        <w:rPr>
          <w:rFonts w:ascii="Arial" w:hAnsi="Arial" w:cs="Arial"/>
          <w:lang w:val="es-ES"/>
        </w:rPr>
        <w:t>frameworks</w:t>
      </w:r>
      <w:proofErr w:type="spellEnd"/>
      <w:r w:rsidRPr="008C0A8B">
        <w:rPr>
          <w:rFonts w:ascii="Arial" w:hAnsi="Arial" w:cs="Arial"/>
          <w:lang w:val="es-ES"/>
        </w:rPr>
        <w:t xml:space="preserve"> como </w:t>
      </w:r>
      <w:proofErr w:type="spellStart"/>
      <w:r w:rsidRPr="008C0A8B">
        <w:rPr>
          <w:rFonts w:ascii="Arial" w:hAnsi="Arial" w:cs="Arial"/>
          <w:lang w:val="es-ES"/>
        </w:rPr>
        <w:t>Metasploit</w:t>
      </w:r>
      <w:proofErr w:type="spellEnd"/>
      <w:r w:rsidRPr="008C0A8B">
        <w:rPr>
          <w:rFonts w:ascii="Arial" w:hAnsi="Arial" w:cs="Arial"/>
          <w:lang w:val="es-ES"/>
        </w:rPr>
        <w:t xml:space="preserve"> o </w:t>
      </w:r>
      <w:proofErr w:type="spellStart"/>
      <w:r w:rsidRPr="008C0A8B">
        <w:rPr>
          <w:rFonts w:ascii="Arial" w:hAnsi="Arial" w:cs="Arial"/>
          <w:lang w:val="es-ES"/>
        </w:rPr>
        <w:t>Burp</w:t>
      </w:r>
      <w:proofErr w:type="spellEnd"/>
      <w:r w:rsidRPr="008C0A8B">
        <w:rPr>
          <w:rFonts w:ascii="Arial" w:hAnsi="Arial" w:cs="Arial"/>
          <w:lang w:val="es-ES"/>
        </w:rPr>
        <w:t xml:space="preserve"> Suite ayudan a validar la existencia de vulnerabilidades reales.</w:t>
      </w:r>
    </w:p>
    <w:p w14:paraId="5F6FBEC4" w14:textId="77777777" w:rsidR="0032437F" w:rsidRPr="008C0A8B" w:rsidRDefault="0032437F">
      <w:pPr>
        <w:rPr>
          <w:rFonts w:ascii="Arial" w:hAnsi="Arial" w:cs="Arial"/>
          <w:lang w:val="es-ES"/>
        </w:rPr>
      </w:pPr>
      <w:r w:rsidRPr="008C0A8B">
        <w:rPr>
          <w:rFonts w:ascii="Arial" w:hAnsi="Arial" w:cs="Arial"/>
          <w:lang w:val="es-ES"/>
        </w:rPr>
        <w:t>Asimismo, las metodologías estandarizadas como OSSTMM, OWASP, PTES o ISSAF proporcionan guías estructuradas para garantizar la calidad y consistencia del proceso de auditoría. OSSTMM, por ejemplo, ofrece un modelo de análisis basado en métricas cuantificables; OWASP, por su parte, se centra en vulnerabilidades de aplicaciones web y ofrece el reconocido listado OWASP Top 10. Estas metodologías no solo permiten comparar resultados entre auditorías, sino también demostrar el cumplimiento de estándares internacionales ante entidades reguladoras.</w:t>
      </w:r>
    </w:p>
    <w:p w14:paraId="5CF65478" w14:textId="77777777" w:rsidR="0032437F" w:rsidRPr="008C0A8B" w:rsidRDefault="0032437F">
      <w:pPr>
        <w:rPr>
          <w:rFonts w:ascii="Arial" w:hAnsi="Arial" w:cs="Arial"/>
          <w:lang w:val="es-ES"/>
        </w:rPr>
      </w:pPr>
      <w:r w:rsidRPr="008C0A8B">
        <w:rPr>
          <w:rFonts w:ascii="Arial" w:hAnsi="Arial" w:cs="Arial"/>
          <w:lang w:val="es-ES"/>
        </w:rPr>
        <w:t xml:space="preserve">El marco normativo es otro componente esencial de este tema. Normas como la ISO/IEC 27001 definen los requisitos para establecer un Sistema de Gestión de Seguridad de la Información (SGSI), promoviendo un enfoque basado en riesgos. Además, legislaciones como el RGPD en Europa y la LOPDGDD en España obligan a las empresas a proteger los datos personales mediante medidas técnicas y organizativas adecuadas. La Agencia Española de Protección de Datos (AEPD) actúa como órgano de supervisión y sanción en caso de incumplimientos. Cumplir con estos </w:t>
      </w:r>
      <w:r w:rsidRPr="008C0A8B">
        <w:rPr>
          <w:rFonts w:ascii="Arial" w:hAnsi="Arial" w:cs="Arial"/>
          <w:lang w:val="es-ES"/>
        </w:rPr>
        <w:lastRenderedPageBreak/>
        <w:t>marcos no solo evita multas, sino que refuerza la reputación y la confianza de la organización ante sus clientes y socios.</w:t>
      </w:r>
    </w:p>
    <w:p w14:paraId="711375AE" w14:textId="77777777" w:rsidR="0032437F" w:rsidRPr="006F5A11" w:rsidRDefault="0032437F">
      <w:pPr>
        <w:pStyle w:val="Ttulo2"/>
        <w:rPr>
          <w:rFonts w:ascii="Arial" w:eastAsia="Times New Roman" w:hAnsi="Arial" w:cs="Arial"/>
          <w:lang w:val="es-ES"/>
        </w:rPr>
      </w:pPr>
      <w:bookmarkStart w:id="1" w:name="_Toc213589460"/>
      <w:r w:rsidRPr="006F5A11">
        <w:rPr>
          <w:rFonts w:ascii="Arial" w:eastAsia="Times New Roman" w:hAnsi="Arial" w:cs="Arial"/>
          <w:lang w:val="es-ES"/>
        </w:rPr>
        <w:t>Conclusiones</w:t>
      </w:r>
      <w:bookmarkEnd w:id="1"/>
    </w:p>
    <w:p w14:paraId="1296783E" w14:textId="77777777" w:rsidR="0032437F" w:rsidRPr="008C0A8B" w:rsidRDefault="0032437F">
      <w:pPr>
        <w:rPr>
          <w:rFonts w:ascii="Arial" w:eastAsiaTheme="minorEastAsia" w:hAnsi="Arial" w:cs="Arial"/>
          <w:lang w:val="es-ES"/>
        </w:rPr>
      </w:pPr>
      <w:r w:rsidRPr="008C0A8B">
        <w:rPr>
          <w:rFonts w:ascii="Arial" w:hAnsi="Arial" w:cs="Arial"/>
          <w:lang w:val="es-ES"/>
        </w:rPr>
        <w:t>La auditoría de seguridad informática y el hacking ético representan dos disciplinas complementarias que contribuyen significativamente a la construcción de entornos digitales seguros. A través de la detección temprana de vulnerabilidades y la evaluación constante de los controles existentes, las organizaciones pueden anticiparse a los ataques y reducir su exposición al riesgo.</w:t>
      </w:r>
    </w:p>
    <w:p w14:paraId="318FA8E2" w14:textId="77777777" w:rsidR="0032437F" w:rsidRPr="008C0A8B" w:rsidRDefault="0032437F">
      <w:pPr>
        <w:rPr>
          <w:rFonts w:ascii="Arial" w:hAnsi="Arial" w:cs="Arial"/>
          <w:lang w:val="es-ES"/>
        </w:rPr>
      </w:pPr>
      <w:r w:rsidRPr="008C0A8B">
        <w:rPr>
          <w:rFonts w:ascii="Arial" w:hAnsi="Arial" w:cs="Arial"/>
          <w:lang w:val="es-ES"/>
        </w:rPr>
        <w:t>Además, la adopción de metodologías reconocidas internacionalmente, como las normas ISO/IEC 27001 y las guías OSSTMM u OWASP, garantiza que las auditorías se realicen bajo criterios de calidad y coherencia técnica. El cumplimiento de la normativa legal, como el RGPD o la LOPDGDD, no solo protege los datos personales, sino que también refuerza la transparencia y la responsabilidad corporativa.</w:t>
      </w:r>
    </w:p>
    <w:p w14:paraId="6F4EAF14" w14:textId="77777777" w:rsidR="0032437F" w:rsidRPr="008C0A8B" w:rsidRDefault="0032437F">
      <w:pPr>
        <w:rPr>
          <w:rFonts w:ascii="Arial" w:hAnsi="Arial" w:cs="Arial"/>
          <w:lang w:val="es-ES"/>
        </w:rPr>
      </w:pPr>
      <w:r w:rsidRPr="008C0A8B">
        <w:rPr>
          <w:rFonts w:ascii="Arial" w:hAnsi="Arial" w:cs="Arial"/>
          <w:lang w:val="es-ES"/>
        </w:rPr>
        <w:t>En definitiva, la ciberseguridad no debe concebirse como una acción puntual, sino como un proceso continuo de evaluación, mejora y concienciación. La formación en ética digital, el compromiso de los directivos y la adopción de tecnologías seguras son elementos indispensables para asegurar la resiliencia de las organizaciones frente a los desafíos del ciberespacio actual.</w:t>
      </w:r>
    </w:p>
    <w:p w14:paraId="0577CD09" w14:textId="0A190830" w:rsidR="0032437F" w:rsidRPr="00651A85" w:rsidRDefault="0032437F" w:rsidP="0032437F">
      <w:pPr>
        <w:rPr>
          <w:rFonts w:ascii="Arial" w:hAnsi="Arial" w:cs="Arial"/>
          <w:lang w:val="es-CR"/>
        </w:rPr>
      </w:pPr>
      <w:r w:rsidRPr="00651A85">
        <w:rPr>
          <w:rFonts w:ascii="Arial" w:hAnsi="Arial" w:cs="Arial"/>
          <w:lang w:val="es-CR"/>
        </w:rPr>
        <w:t xml:space="preserve"> </w:t>
      </w:r>
    </w:p>
    <w:sectPr w:rsidR="0032437F" w:rsidRPr="00651A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72841"/>
    <w:multiLevelType w:val="multilevel"/>
    <w:tmpl w:val="FAA0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E336D"/>
    <w:multiLevelType w:val="multilevel"/>
    <w:tmpl w:val="3F60B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C255D"/>
    <w:multiLevelType w:val="multilevel"/>
    <w:tmpl w:val="3D4AA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5A5CB5"/>
    <w:multiLevelType w:val="multilevel"/>
    <w:tmpl w:val="CA76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130E2"/>
    <w:multiLevelType w:val="multilevel"/>
    <w:tmpl w:val="2492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E3CA5"/>
    <w:multiLevelType w:val="multilevel"/>
    <w:tmpl w:val="A7C6F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B00EDE"/>
    <w:multiLevelType w:val="multilevel"/>
    <w:tmpl w:val="F8905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F45A76"/>
    <w:multiLevelType w:val="multilevel"/>
    <w:tmpl w:val="58202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5949B8"/>
    <w:multiLevelType w:val="multilevel"/>
    <w:tmpl w:val="A152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0746F"/>
    <w:multiLevelType w:val="multilevel"/>
    <w:tmpl w:val="42A64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0E43D3"/>
    <w:multiLevelType w:val="multilevel"/>
    <w:tmpl w:val="599A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253C9"/>
    <w:multiLevelType w:val="multilevel"/>
    <w:tmpl w:val="19206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CD740E"/>
    <w:multiLevelType w:val="multilevel"/>
    <w:tmpl w:val="24EA8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0122915">
    <w:abstractNumId w:val="7"/>
  </w:num>
  <w:num w:numId="2" w16cid:durableId="950432320">
    <w:abstractNumId w:val="11"/>
  </w:num>
  <w:num w:numId="3" w16cid:durableId="1203129374">
    <w:abstractNumId w:val="6"/>
  </w:num>
  <w:num w:numId="4" w16cid:durableId="1035042728">
    <w:abstractNumId w:val="1"/>
  </w:num>
  <w:num w:numId="5" w16cid:durableId="1624462926">
    <w:abstractNumId w:val="5"/>
  </w:num>
  <w:num w:numId="6" w16cid:durableId="92630220">
    <w:abstractNumId w:val="2"/>
  </w:num>
  <w:num w:numId="7" w16cid:durableId="1764036328">
    <w:abstractNumId w:val="9"/>
  </w:num>
  <w:num w:numId="8" w16cid:durableId="1412845641">
    <w:abstractNumId w:val="0"/>
  </w:num>
  <w:num w:numId="9" w16cid:durableId="1950818188">
    <w:abstractNumId w:val="10"/>
  </w:num>
  <w:num w:numId="10" w16cid:durableId="2036692323">
    <w:abstractNumId w:val="3"/>
  </w:num>
  <w:num w:numId="11" w16cid:durableId="1011033058">
    <w:abstractNumId w:val="8"/>
  </w:num>
  <w:num w:numId="12" w16cid:durableId="1796286868">
    <w:abstractNumId w:val="12"/>
  </w:num>
  <w:num w:numId="13" w16cid:durableId="16840173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54B"/>
    <w:rsid w:val="0032437F"/>
    <w:rsid w:val="00591B02"/>
    <w:rsid w:val="00651A85"/>
    <w:rsid w:val="006F5A11"/>
    <w:rsid w:val="008C0A8B"/>
    <w:rsid w:val="008E4FE1"/>
    <w:rsid w:val="00976A1A"/>
    <w:rsid w:val="009E0A14"/>
    <w:rsid w:val="00A4554B"/>
    <w:rsid w:val="00FE76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68EF3"/>
  <w15:chartTrackingRefBased/>
  <w15:docId w15:val="{FBAB02E5-FB75-4691-B4D3-AE659A3D4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55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455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455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455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455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455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55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55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55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55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455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455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455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455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455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55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55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554B"/>
    <w:rPr>
      <w:rFonts w:eastAsiaTheme="majorEastAsia" w:cstheme="majorBidi"/>
      <w:color w:val="272727" w:themeColor="text1" w:themeTint="D8"/>
    </w:rPr>
  </w:style>
  <w:style w:type="paragraph" w:styleId="Ttulo">
    <w:name w:val="Title"/>
    <w:basedOn w:val="Normal"/>
    <w:next w:val="Normal"/>
    <w:link w:val="TtuloCar"/>
    <w:uiPriority w:val="10"/>
    <w:qFormat/>
    <w:rsid w:val="00A45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55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554B"/>
    <w:pPr>
      <w:numPr>
        <w:ilvl w:val="1"/>
      </w:numPr>
    </w:pPr>
    <w:rPr>
      <w:rFonts w:eastAsiaTheme="majorEastAsia" w:cstheme="majorBidi"/>
      <w:color w:val="000000" w:themeColor="text1"/>
      <w:spacing w:val="15"/>
      <w:sz w:val="28"/>
      <w:szCs w:val="28"/>
    </w:rPr>
  </w:style>
  <w:style w:type="character" w:customStyle="1" w:styleId="SubttuloCar">
    <w:name w:val="Subtítulo Car"/>
    <w:basedOn w:val="Fuentedeprrafopredeter"/>
    <w:link w:val="Subttulo"/>
    <w:uiPriority w:val="11"/>
    <w:rsid w:val="00A4554B"/>
    <w:rPr>
      <w:rFonts w:eastAsiaTheme="majorEastAsia" w:cstheme="majorBidi"/>
      <w:color w:val="000000" w:themeColor="text1"/>
      <w:spacing w:val="15"/>
      <w:sz w:val="28"/>
      <w:szCs w:val="28"/>
    </w:rPr>
  </w:style>
  <w:style w:type="paragraph" w:styleId="Cita">
    <w:name w:val="Quote"/>
    <w:basedOn w:val="Normal"/>
    <w:next w:val="Normal"/>
    <w:link w:val="CitaCar"/>
    <w:uiPriority w:val="29"/>
    <w:qFormat/>
    <w:rsid w:val="00A4554B"/>
    <w:pPr>
      <w:spacing w:before="160"/>
      <w:jc w:val="center"/>
    </w:pPr>
    <w:rPr>
      <w:i/>
      <w:iCs/>
      <w:color w:val="000000" w:themeColor="text1"/>
    </w:rPr>
  </w:style>
  <w:style w:type="character" w:customStyle="1" w:styleId="CitaCar">
    <w:name w:val="Cita Car"/>
    <w:basedOn w:val="Fuentedeprrafopredeter"/>
    <w:link w:val="Cita"/>
    <w:uiPriority w:val="29"/>
    <w:rsid w:val="00A4554B"/>
    <w:rPr>
      <w:i/>
      <w:iCs/>
      <w:color w:val="000000" w:themeColor="text1"/>
    </w:rPr>
  </w:style>
  <w:style w:type="paragraph" w:styleId="Prrafodelista">
    <w:name w:val="List Paragraph"/>
    <w:basedOn w:val="Normal"/>
    <w:uiPriority w:val="34"/>
    <w:qFormat/>
    <w:rsid w:val="00A4554B"/>
    <w:pPr>
      <w:ind w:left="720"/>
      <w:contextualSpacing/>
    </w:pPr>
  </w:style>
  <w:style w:type="character" w:styleId="nfasisintenso">
    <w:name w:val="Intense Emphasis"/>
    <w:basedOn w:val="Fuentedeprrafopredeter"/>
    <w:uiPriority w:val="21"/>
    <w:qFormat/>
    <w:rsid w:val="00A4554B"/>
    <w:rPr>
      <w:i/>
      <w:iCs/>
      <w:color w:val="0F4761" w:themeColor="accent1" w:themeShade="BF"/>
    </w:rPr>
  </w:style>
  <w:style w:type="paragraph" w:styleId="Citadestacada">
    <w:name w:val="Intense Quote"/>
    <w:basedOn w:val="Normal"/>
    <w:next w:val="Normal"/>
    <w:link w:val="CitadestacadaCar"/>
    <w:uiPriority w:val="30"/>
    <w:qFormat/>
    <w:rsid w:val="00A455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4554B"/>
    <w:rPr>
      <w:i/>
      <w:iCs/>
      <w:color w:val="0F4761" w:themeColor="accent1" w:themeShade="BF"/>
    </w:rPr>
  </w:style>
  <w:style w:type="character" w:styleId="Referenciaintensa">
    <w:name w:val="Intense Reference"/>
    <w:basedOn w:val="Fuentedeprrafopredeter"/>
    <w:uiPriority w:val="32"/>
    <w:qFormat/>
    <w:rsid w:val="00A4554B"/>
    <w:rPr>
      <w:b/>
      <w:bCs/>
      <w:smallCaps/>
      <w:color w:val="0F4761" w:themeColor="accent1" w:themeShade="BF"/>
      <w:spacing w:val="5"/>
    </w:rPr>
  </w:style>
  <w:style w:type="paragraph" w:styleId="TtuloTDC">
    <w:name w:val="TOC Heading"/>
    <w:basedOn w:val="Ttulo1"/>
    <w:next w:val="Normal"/>
    <w:uiPriority w:val="39"/>
    <w:unhideWhenUsed/>
    <w:qFormat/>
    <w:rsid w:val="008C0A8B"/>
    <w:pPr>
      <w:spacing w:before="240" w:after="0" w:line="259" w:lineRule="auto"/>
      <w:outlineLvl w:val="9"/>
    </w:pPr>
    <w:rPr>
      <w:kern w:val="0"/>
      <w:sz w:val="32"/>
      <w:szCs w:val="32"/>
      <w14:ligatures w14:val="none"/>
    </w:rPr>
  </w:style>
  <w:style w:type="paragraph" w:styleId="TDC2">
    <w:name w:val="toc 2"/>
    <w:basedOn w:val="Normal"/>
    <w:next w:val="Normal"/>
    <w:autoRedefine/>
    <w:uiPriority w:val="39"/>
    <w:unhideWhenUsed/>
    <w:rsid w:val="008C0A8B"/>
    <w:pPr>
      <w:spacing w:after="100"/>
      <w:ind w:left="240"/>
    </w:pPr>
  </w:style>
  <w:style w:type="character" w:styleId="Hipervnculo">
    <w:name w:val="Hyperlink"/>
    <w:basedOn w:val="Fuentedeprrafopredeter"/>
    <w:uiPriority w:val="99"/>
    <w:unhideWhenUsed/>
    <w:rsid w:val="008C0A8B"/>
    <w:rPr>
      <w:color w:val="467886" w:themeColor="hyperlink"/>
      <w:u w:val="single"/>
    </w:rPr>
  </w:style>
  <w:style w:type="paragraph" w:styleId="TDC1">
    <w:name w:val="toc 1"/>
    <w:basedOn w:val="Normal"/>
    <w:next w:val="Normal"/>
    <w:autoRedefine/>
    <w:uiPriority w:val="39"/>
    <w:unhideWhenUsed/>
    <w:rsid w:val="006F5A1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802614-AF33-4D5A-BFA8-CBA71B7CBFD9}">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2</Pages>
  <Words>644</Words>
  <Characters>3547</Characters>
  <Application>Microsoft Office Word</Application>
  <DocSecurity>0</DocSecurity>
  <Lines>29</Lines>
  <Paragraphs>8</Paragraphs>
  <ScaleCrop>false</ScaleCrop>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Salas Robles</dc:creator>
  <cp:keywords/>
  <dc:description/>
  <cp:lastModifiedBy>Moises Valverde Díaz</cp:lastModifiedBy>
  <cp:revision>9</cp:revision>
  <dcterms:created xsi:type="dcterms:W3CDTF">2025-11-09T19:58:00Z</dcterms:created>
  <dcterms:modified xsi:type="dcterms:W3CDTF">2025-11-11T19:27:00Z</dcterms:modified>
</cp:coreProperties>
</file>