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70" w:before="360"/>
        <w:jc w:val="center"/>
      </w:pPr>
      <w:r>
        <w:rPr>
          <w:rFonts w:ascii="Arial" w:cs="Arial" w:eastAsia="Arial" w:hAnsi="Arial"/>
          <w:b/>
          <w:bCs/>
          <w:color w:val="888888"/>
          <w:sz w:val="23"/>
          <w:szCs w:val="23"/>
        </w:rPr>
        <w:t xml:space="preserve">NOTA TÉCNICA DE PRUEBAS</w:t>
      </w:r>
    </w:p>
    <w:p>
      <w:pPr>
        <w:spacing w:after="50" w:before="70"/>
        <w:jc w:val="center"/>
      </w:pPr>
      <w:r>
        <w:rPr>
          <w:rFonts w:ascii="Arial" w:cs="Arial" w:eastAsia="Arial" w:hAnsi="Arial"/>
          <w:b/>
          <w:bCs/>
          <w:color w:val="1A3A5C"/>
          <w:sz w:val="30"/>
          <w:szCs w:val="30"/>
        </w:rPr>
        <w:t xml:space="preserve">THPE_fit_v16.py — resultados de la ejecución de prueba</w:t>
      </w:r>
    </w:p>
    <w:p>
      <w:pPr>
        <w:spacing w:after="160" w:before="50"/>
        <w:jc w:val="center"/>
      </w:pPr>
      <w:r>
        <w:rPr>
          <w:rFonts w:ascii="Arial" w:cs="Arial" w:eastAsia="Arial" w:hAnsi="Arial"/>
          <w:i/>
          <w:iCs/>
          <w:color w:val="2E6DA4"/>
          <w:sz w:val="22"/>
          <w:szCs w:val="22"/>
        </w:rPr>
        <w:t xml:space="preserve">Qué funciona, qué hay que vigilar, y qué hacer con los datos reales</w:t>
      </w:r>
    </w:p>
    <w:p>
      <w:pPr>
        <w:pBdr>
          <w:bottom w:val="single" w:color="CCDDEE" w:sz="4" w:space="1"/>
        </w:pBdr>
        <w:spacing w:after="170" w:before="170"/>
      </w:pPr>
      <w:r>
        <w:t xml:space="preserve"/>
      </w:r>
    </w:p>
    <w:p>
      <w:pPr>
        <w:spacing w:after="40" w:before="100"/>
        <w:jc w:val="center"/>
      </w:pPr>
      <w:r>
        <w:rPr>
          <w:rFonts w:ascii="Arial" w:cs="Arial" w:eastAsia="Arial" w:hAnsi="Arial"/>
          <w:b/>
          <w:bCs/>
          <w:color w:val="444444"/>
          <w:sz w:val="22"/>
          <w:szCs w:val="22"/>
        </w:rPr>
        <w:t xml:space="preserve">Para:  Jorge Ordóñez Mora  (co-autor, ejecución del ajuste)</w:t>
      </w:r>
    </w:p>
    <w:p>
      <w:pPr>
        <w:spacing w:after="40" w:before="0"/>
        <w:jc w:val="center"/>
      </w:pPr>
      <w:r>
        <w:rPr>
          <w:rFonts w:ascii="Arial" w:cs="Arial" w:eastAsia="Arial" w:hAnsi="Arial"/>
          <w:color w:val="444444"/>
          <w:sz w:val="22"/>
          <w:szCs w:val="22"/>
        </w:rPr>
        <w:t xml:space="preserve">De:  Moisés Mora García</w:t>
      </w:r>
    </w:p>
    <w:p>
      <w:pPr>
        <w:spacing w:after="200" w:before="0"/>
        <w:jc w:val="center"/>
      </w:pPr>
      <w:r>
        <w:rPr>
          <w:rFonts w:ascii="Arial" w:cs="Arial" w:eastAsia="Arial" w:hAnsi="Arial"/>
          <w:color w:val="888888"/>
          <w:sz w:val="20"/>
          <w:szCs w:val="20"/>
        </w:rPr>
        <w:t xml:space="preserve">Palma de Mallorca · junio 2026</w:t>
      </w:r>
    </w:p>
    <w:p>
      <w:pPr>
        <w:pBdr>
          <w:bottom w:val="single" w:color="CCDDEE" w:sz="4" w:space="1"/>
        </w:pBdr>
        <w:spacing w:after="170" w:before="170"/>
      </w:pPr>
      <w:r>
        <w:t xml:space="preserve"/>
      </w:r>
    </w:p>
    <w:p>
      <w:pPr>
        <w:spacing w:after="60" w:before="60"/>
      </w:pPr>
      <w:r>
        <w:t xml:space="preserve"/>
      </w:r>
    </w:p>
    <w:p>
      <w:pPr>
        <w:pStyle w:val="Heading2"/>
        <w:spacing w:after="130" w:before="260"/>
      </w:pPr>
      <w:r>
        <w:rPr>
          <w:rFonts w:ascii="Arial" w:cs="Arial" w:eastAsia="Arial" w:hAnsi="Arial"/>
          <w:b/>
          <w:bCs/>
          <w:color w:val="1A3A5C"/>
          <w:sz w:val="26"/>
          <w:szCs w:val="26"/>
        </w:rPr>
        <w:t xml:space="preserve">Resumen en treinta segundos</w:t>
      </w:r>
    </w:p>
    <w:p>
      <w:pPr>
        <w:spacing w:after="100" w:before="100" w:line="316"/>
        <w:jc w:val="both"/>
      </w:pPr>
      <w:r>
        <w:rPr>
          <w:rFonts w:ascii="Arial" w:cs="Arial" w:eastAsia="Arial" w:hAnsi="Arial"/>
          <w:color w:val="444444"/>
          <w:sz w:val="22"/>
          <w:szCs w:val="22"/>
        </w:rPr>
        <w:t xml:space="preserve">El código fue ejecutado en un entorno de prueba (sin acceso a internet, por lo que no se pudieron descargar los datos reales de DESI/Pantheon+ ni instalar emcee). Se probaron todas las funciones del modelo físico y se simuló el ajuste con un optimizador alternativo. Resultado: el motor físico es correcto y funciona bien, pero la prueba reveló un reto científico real que debes conocer antes de ejecutar el ajuste con datos reales: las degeneraciones entre los parámetros.</w:t>
      </w:r>
    </w:p>
    <w:p>
      <w:pPr>
        <w:pBdr>
          <w:top w:val="single" w:color="DDDDDD" w:sz="4" w:space="5"/>
          <w:bottom w:val="single" w:color="DDDDDD" w:sz="4" w:space="5"/>
          <w:left w:val="single" w:color="2E6DA4" w:sz="18" w:space="10"/>
        </w:pBdr>
        <w:spacing w:after="140" w:before="140" w:line="310"/>
        <w:ind w:left="330" w:right="330"/>
        <w:jc w:val="both"/>
      </w:pPr>
      <w:r>
        <w:rPr>
          <w:rFonts w:ascii="Arial" w:cs="Arial" w:eastAsia="Arial" w:hAnsi="Arial"/>
          <w:b/>
          <w:bCs/>
          <w:color w:val="2E6DA4"/>
          <w:sz w:val="22"/>
          <w:szCs w:val="22"/>
        </w:rPr>
        <w:t xml:space="preserve">La conclusión que importa:  </w:t>
      </w:r>
      <w:r>
        <w:rPr>
          <w:rFonts w:ascii="Arial" w:cs="Arial" w:eastAsia="Arial" w:hAnsi="Arial"/>
          <w:color w:val="444444"/>
          <w:sz w:val="22"/>
          <w:szCs w:val="22"/>
        </w:rPr>
        <w:t xml:space="preserve">El código está bien. La física está bien. Pero distinguir las tres contribuciones de Φ(z) — α (formación estelar), β (estructuras), γ (entropía del horizonte) — es el verdadero desafío del proyecto, no un detalle técnico. Esta nota explica por qué y qué hacer al respecto.</w:t>
      </w:r>
    </w:p>
    <w:p>
      <w:pPr>
        <w:pBdr>
          <w:bottom w:val="single" w:color="CCDDEE" w:sz="4" w:space="1"/>
        </w:pBdr>
        <w:spacing w:after="170" w:before="170"/>
      </w:pPr>
      <w:r>
        <w:t xml:space="preserve"/>
      </w:r>
    </w:p>
    <w:p>
      <w:pPr>
        <w:pStyle w:val="Heading1"/>
        <w:spacing w:after="170" w:before="360"/>
      </w:pPr>
      <w:r>
        <w:rPr>
          <w:rFonts w:ascii="Arial" w:cs="Arial" w:eastAsia="Arial" w:hAnsi="Arial"/>
          <w:b/>
          <w:bCs/>
          <w:color w:val="1A3A5C"/>
          <w:sz w:val="33"/>
          <w:szCs w:val="33"/>
        </w:rPr>
        <w:t xml:space="preserve">1. Lo que funciona perfectamente</w:t>
      </w:r>
    </w:p>
    <w:p>
      <w:pPr>
        <w:spacing w:after="100" w:before="100" w:line="316"/>
        <w:jc w:val="both"/>
      </w:pPr>
      <w:r>
        <w:rPr>
          <w:rFonts w:ascii="Arial" w:cs="Arial" w:eastAsia="Arial" w:hAnsi="Arial"/>
          <w:color w:val="444444"/>
          <w:sz w:val="22"/>
          <w:szCs w:val="22"/>
        </w:rPr>
        <w:t xml:space="preserve">Se verificó cada función del modelo físico ejecutándola con valores reales. Todo correcto:</w:t>
      </w:r>
    </w:p>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100"/>
        <w:gridCol w:w="5200"/>
      </w:tblGrid>
      <w:tr>
        <w:trPr>
          <w:tblHeader/>
        </w:trPr>
        <w:tc>
          <w:tcPr>
            <w:tcW w:type="dxa" w:w="2400"/>
            <w:shd w:fill="1A3A5C" w:color="auto"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Función</w:t>
            </w:r>
          </w:p>
        </w:tc>
        <w:tc>
          <w:tcPr>
            <w:tcW w:type="dxa" w:w="4100"/>
            <w:shd w:fill="1A3A5C" w:color="auto" w:val="clear"/>
            <w:tcMar>
              <w:top w:type="dxa" w:w="60"/>
              <w:left w:type="dxa" w:w="100"/>
              <w:bottom w:type="dxa" w:w="60"/>
              <w:right w:type="dxa" w:w="100"/>
            </w:tcMar>
          </w:tcPr>
          <w:p>
            <w:r>
              <w:rPr>
                <w:rFonts w:ascii="Arial" w:cs="Arial" w:eastAsia="Arial" w:hAnsi="Arial"/>
                <w:b/>
                <w:bCs/>
                <w:color w:val="FFFFFF"/>
                <w:sz w:val="18"/>
                <w:szCs w:val="18"/>
              </w:rPr>
              <w:t xml:space="preserve">Comprobación</w:t>
            </w:r>
          </w:p>
        </w:tc>
        <w:tc>
          <w:tcPr>
            <w:tcW w:type="dxa" w:w="5200"/>
            <w:shd w:fill="1A3A5C" w:color="auto" w:val="clear"/>
            <w:tcMar>
              <w:top w:type="dxa" w:w="60"/>
              <w:left w:type="dxa" w:w="100"/>
              <w:bottom w:type="dxa" w:w="60"/>
              <w:right w:type="dxa" w:w="100"/>
            </w:tcMar>
          </w:tcPr>
          <w:p>
            <w:r>
              <w:rPr>
                <w:rFonts w:ascii="Arial" w:cs="Arial" w:eastAsia="Arial" w:hAnsi="Arial"/>
                <w:b/>
                <w:bCs/>
                <w:color w:val="FFFFFF"/>
                <w:sz w:val="18"/>
                <w:szCs w:val="18"/>
              </w:rPr>
              <w:t xml:space="preserve">Resultado</w:t>
            </w:r>
          </w:p>
        </w:tc>
      </w:tr>
      <w:tr>
        <w:trPr>
          <w:tblHeader w:val="false"/>
        </w:trPr>
        <w:tc>
          <w:tcPr>
            <w:tcW w:type="dxa" w:w="2400"/>
            <w:shd w:fill="FFFFFF" w:color="auto" w:val="clear"/>
            <w:tcMar>
              <w:top w:type="dxa" w:w="60"/>
              <w:left w:type="dxa" w:w="100"/>
              <w:bottom w:type="dxa" w:w="60"/>
              <w:right w:type="dxa" w:w="100"/>
            </w:tcMar>
          </w:tcPr>
          <w:p>
            <w:r>
              <w:rPr>
                <w:rFonts w:ascii="Courier New" w:cs="Courier New" w:eastAsia="Courier New" w:hAnsi="Courier New"/>
                <w:b w:val="false"/>
                <w:bCs w:val="false"/>
                <w:color w:val="444444"/>
                <w:sz w:val="18"/>
                <w:szCs w:val="18"/>
              </w:rPr>
              <w:t xml:space="preserve">f_SFR(z)</w:t>
            </w:r>
          </w:p>
        </w:tc>
        <w:tc>
          <w:tcPr>
            <w:tcW w:type="dxa" w:w="4100"/>
            <w:shd w:fill="FFFFFF" w:color="auto" w:val="clear"/>
            <w:tcMar>
              <w:top w:type="dxa" w:w="60"/>
              <w:left w:type="dxa" w:w="100"/>
              <w:bottom w:type="dxa" w:w="60"/>
              <w:right w:type="dxa" w:w="100"/>
            </w:tcMar>
          </w:tcPr>
          <w:p>
            <w:r>
              <w:rPr>
                <w:rFonts w:ascii="Arial" w:cs="Arial" w:eastAsia="Arial" w:hAnsi="Arial"/>
                <w:b w:val="false"/>
                <w:bCs w:val="false"/>
                <w:color w:val="444444"/>
                <w:sz w:val="18"/>
                <w:szCs w:val="18"/>
              </w:rPr>
              <w:t xml:space="preserve">Pico en z≈2 (Madau-Dickinson)</w:t>
            </w:r>
          </w:p>
        </w:tc>
        <w:tc>
          <w:tcPr>
            <w:tcW w:type="dxa" w:w="5200"/>
            <w:shd w:fill="FFFFFF" w:color="auto" w:val="clear"/>
            <w:tcMar>
              <w:top w:type="dxa" w:w="60"/>
              <w:left w:type="dxa" w:w="100"/>
              <w:bottom w:type="dxa" w:w="60"/>
              <w:right w:type="dxa" w:w="100"/>
            </w:tcMar>
          </w:tcPr>
          <w:p>
            <w:r>
              <w:rPr>
                <w:rFonts w:ascii="Arial" w:cs="Arial" w:eastAsia="Arial" w:hAnsi="Arial"/>
                <w:b w:val="false"/>
                <w:bCs w:val="false"/>
                <w:color w:val="444444"/>
                <w:sz w:val="18"/>
                <w:szCs w:val="18"/>
              </w:rPr>
              <w:t xml:space="preserve">✓ 8.81 en z=2, decae a los lados</w:t>
            </w:r>
          </w:p>
        </w:tc>
      </w:tr>
      <w:tr>
        <w:trPr>
          <w:tblHeader w:val="false"/>
        </w:trPr>
        <w:tc>
          <w:tcPr>
            <w:tcW w:type="dxa" w:w="2400"/>
            <w:shd w:fill="F2F6FA" w:color="auto" w:val="clear"/>
            <w:tcMar>
              <w:top w:type="dxa" w:w="60"/>
              <w:left w:type="dxa" w:w="100"/>
              <w:bottom w:type="dxa" w:w="60"/>
              <w:right w:type="dxa" w:w="100"/>
            </w:tcMar>
          </w:tcPr>
          <w:p>
            <w:r>
              <w:rPr>
                <w:rFonts w:ascii="Courier New" w:cs="Courier New" w:eastAsia="Courier New" w:hAnsi="Courier New"/>
                <w:b w:val="false"/>
                <w:bCs w:val="false"/>
                <w:color w:val="444444"/>
                <w:sz w:val="18"/>
                <w:szCs w:val="18"/>
              </w:rPr>
              <w:t xml:space="preserve">g_struct(z)</w:t>
            </w:r>
          </w:p>
        </w:tc>
        <w:tc>
          <w:tcPr>
            <w:tcW w:type="dxa" w:w="4100"/>
            <w:shd w:fill="F2F6FA" w:color="auto" w:val="clear"/>
            <w:tcMar>
              <w:top w:type="dxa" w:w="60"/>
              <w:left w:type="dxa" w:w="100"/>
              <w:bottom w:type="dxa" w:w="60"/>
              <w:right w:type="dxa" w:w="100"/>
            </w:tcMar>
          </w:tcPr>
          <w:p>
            <w:r>
              <w:rPr>
                <w:rFonts w:ascii="Arial" w:cs="Arial" w:eastAsia="Arial" w:hAnsi="Arial"/>
                <w:b w:val="false"/>
                <w:bCs w:val="false"/>
                <w:color w:val="444444"/>
                <w:sz w:val="18"/>
                <w:szCs w:val="18"/>
              </w:rPr>
              <w:t xml:space="preserve">Decae con z</w:t>
            </w:r>
          </w:p>
        </w:tc>
        <w:tc>
          <w:tcPr>
            <w:tcW w:type="dxa" w:w="5200"/>
            <w:shd w:fill="F2F6FA" w:color="auto" w:val="clear"/>
            <w:tcMar>
              <w:top w:type="dxa" w:w="60"/>
              <w:left w:type="dxa" w:w="100"/>
              <w:bottom w:type="dxa" w:w="60"/>
              <w:right w:type="dxa" w:w="100"/>
            </w:tcMar>
          </w:tcPr>
          <w:p>
            <w:r>
              <w:rPr>
                <w:rFonts w:ascii="Arial" w:cs="Arial" w:eastAsia="Arial" w:hAnsi="Arial"/>
                <w:b w:val="false"/>
                <w:bCs w:val="false"/>
                <w:color w:val="444444"/>
                <w:sz w:val="18"/>
                <w:szCs w:val="18"/>
              </w:rPr>
              <w:t xml:space="preserve">✓ de 0.82 (z=0.1) a 0.002 (z=3)</w:t>
            </w:r>
          </w:p>
        </w:tc>
      </w:tr>
      <w:tr>
        <w:trPr>
          <w:tblHeader w:val="false"/>
        </w:trPr>
        <w:tc>
          <w:tcPr>
            <w:tcW w:type="dxa" w:w="2400"/>
            <w:shd w:fill="FFFFFF" w:color="auto" w:val="clear"/>
            <w:tcMar>
              <w:top w:type="dxa" w:w="60"/>
              <w:left w:type="dxa" w:w="100"/>
              <w:bottom w:type="dxa" w:w="60"/>
              <w:right w:type="dxa" w:w="100"/>
            </w:tcMar>
          </w:tcPr>
          <w:p>
            <w:r>
              <w:rPr>
                <w:rFonts w:ascii="Courier New" w:cs="Courier New" w:eastAsia="Courier New" w:hAnsi="Courier New"/>
                <w:b w:val="false"/>
                <w:bCs w:val="false"/>
                <w:color w:val="444444"/>
                <w:sz w:val="18"/>
                <w:szCs w:val="18"/>
              </w:rPr>
              <w:t xml:space="preserve">h_ent(z)</w:t>
            </w:r>
          </w:p>
        </w:tc>
        <w:tc>
          <w:tcPr>
            <w:tcW w:type="dxa" w:w="4100"/>
            <w:shd w:fill="FFFFFF" w:color="auto" w:val="clear"/>
            <w:tcMar>
              <w:top w:type="dxa" w:w="60"/>
              <w:left w:type="dxa" w:w="100"/>
              <w:bottom w:type="dxa" w:w="60"/>
              <w:right w:type="dxa" w:w="100"/>
            </w:tcMar>
          </w:tcPr>
          <w:p>
            <w:r>
              <w:rPr>
                <w:rFonts w:ascii="Arial" w:cs="Arial" w:eastAsia="Arial" w:hAnsi="Arial"/>
                <w:b w:val="false"/>
                <w:bCs w:val="false"/>
                <w:color w:val="444444"/>
                <w:sz w:val="18"/>
                <w:szCs w:val="18"/>
              </w:rPr>
              <w:t xml:space="preserve">Decae rápido con z</w:t>
            </w:r>
          </w:p>
        </w:tc>
        <w:tc>
          <w:tcPr>
            <w:tcW w:type="dxa" w:w="5200"/>
            <w:shd w:fill="FFFFFF" w:color="auto" w:val="clear"/>
            <w:tcMar>
              <w:top w:type="dxa" w:w="60"/>
              <w:left w:type="dxa" w:w="100"/>
              <w:bottom w:type="dxa" w:w="60"/>
              <w:right w:type="dxa" w:w="100"/>
            </w:tcMar>
          </w:tcPr>
          <w:p>
            <w:r>
              <w:rPr>
                <w:rFonts w:ascii="Arial" w:cs="Arial" w:eastAsia="Arial" w:hAnsi="Arial"/>
                <w:b w:val="false"/>
                <w:bCs w:val="false"/>
                <w:color w:val="444444"/>
                <w:sz w:val="18"/>
                <w:szCs w:val="18"/>
              </w:rPr>
              <w:t xml:space="preserve">✓ de 1.0 a ~0 (regularización Taylor OK)</w:t>
            </w:r>
          </w:p>
        </w:tc>
      </w:tr>
      <w:tr>
        <w:trPr>
          <w:tblHeader w:val="false"/>
        </w:trPr>
        <w:tc>
          <w:tcPr>
            <w:tcW w:type="dxa" w:w="2400"/>
            <w:shd w:fill="F2F6FA" w:color="auto" w:val="clear"/>
            <w:tcMar>
              <w:top w:type="dxa" w:w="60"/>
              <w:left w:type="dxa" w:w="100"/>
              <w:bottom w:type="dxa" w:w="60"/>
              <w:right w:type="dxa" w:w="100"/>
            </w:tcMar>
          </w:tcPr>
          <w:p>
            <w:r>
              <w:rPr>
                <w:rFonts w:ascii="Courier New" w:cs="Courier New" w:eastAsia="Courier New" w:hAnsi="Courier New"/>
                <w:b w:val="false"/>
                <w:bCs w:val="false"/>
                <w:color w:val="444444"/>
                <w:sz w:val="18"/>
                <w:szCs w:val="18"/>
              </w:rPr>
              <w:t xml:space="preserve">H_THPE vs ΛCDM</w:t>
            </w:r>
          </w:p>
        </w:tc>
        <w:tc>
          <w:tcPr>
            <w:tcW w:type="dxa" w:w="4100"/>
            <w:shd w:fill="F2F6FA" w:color="auto" w:val="clear"/>
            <w:tcMar>
              <w:top w:type="dxa" w:w="60"/>
              <w:left w:type="dxa" w:w="100"/>
              <w:bottom w:type="dxa" w:w="60"/>
              <w:right w:type="dxa" w:w="100"/>
            </w:tcMar>
          </w:tcPr>
          <w:p>
            <w:r>
              <w:rPr>
                <w:rFonts w:ascii="Arial" w:cs="Arial" w:eastAsia="Arial" w:hAnsi="Arial"/>
                <w:b w:val="false"/>
                <w:bCs w:val="false"/>
                <w:color w:val="444444"/>
                <w:sz w:val="18"/>
                <w:szCs w:val="18"/>
              </w:rPr>
              <w:t xml:space="preserve">Recupera ΛCDM si α=β=γ=0</w:t>
            </w:r>
          </w:p>
        </w:tc>
        <w:tc>
          <w:tcPr>
            <w:tcW w:type="dxa" w:w="5200"/>
            <w:shd w:fill="F2F6FA" w:color="auto" w:val="clear"/>
            <w:tcMar>
              <w:top w:type="dxa" w:w="60"/>
              <w:left w:type="dxa" w:w="100"/>
              <w:bottom w:type="dxa" w:w="60"/>
              <w:right w:type="dxa" w:w="100"/>
            </w:tcMar>
          </w:tcPr>
          <w:p>
            <w:r>
              <w:rPr>
                <w:rFonts w:ascii="Arial" w:cs="Arial" w:eastAsia="Arial" w:hAnsi="Arial"/>
                <w:b w:val="false"/>
                <w:bCs w:val="false"/>
                <w:color w:val="444444"/>
                <w:sz w:val="18"/>
                <w:szCs w:val="18"/>
              </w:rPr>
              <w:t xml:space="preserve">✓ ratio = 1.000000 exacto</w:t>
            </w:r>
          </w:p>
        </w:tc>
      </w:tr>
      <w:tr>
        <w:trPr>
          <w:tblHeader w:val="false"/>
        </w:trPr>
        <w:tc>
          <w:tcPr>
            <w:tcW w:type="dxa" w:w="2400"/>
            <w:shd w:fill="FFFFFF" w:color="auto" w:val="clear"/>
            <w:tcMar>
              <w:top w:type="dxa" w:w="60"/>
              <w:left w:type="dxa" w:w="100"/>
              <w:bottom w:type="dxa" w:w="60"/>
              <w:right w:type="dxa" w:w="100"/>
            </w:tcMar>
          </w:tcPr>
          <w:p>
            <w:r>
              <w:rPr>
                <w:rFonts w:ascii="Courier New" w:cs="Courier New" w:eastAsia="Courier New" w:hAnsi="Courier New"/>
                <w:b w:val="false"/>
                <w:bCs w:val="false"/>
                <w:color w:val="444444"/>
                <w:sz w:val="18"/>
                <w:szCs w:val="18"/>
              </w:rPr>
              <w:t xml:space="preserve">Phi(z) &gt; 0</w:t>
            </w:r>
          </w:p>
        </w:tc>
        <w:tc>
          <w:tcPr>
            <w:tcW w:type="dxa" w:w="4100"/>
            <w:shd w:fill="FFFFFF" w:color="auto" w:val="clear"/>
            <w:tcMar>
              <w:top w:type="dxa" w:w="60"/>
              <w:left w:type="dxa" w:w="100"/>
              <w:bottom w:type="dxa" w:w="60"/>
              <w:right w:type="dxa" w:w="100"/>
            </w:tcMar>
          </w:tcPr>
          <w:p>
            <w:r>
              <w:rPr>
                <w:rFonts w:ascii="Arial" w:cs="Arial" w:eastAsia="Arial" w:hAnsi="Arial"/>
                <w:b w:val="false"/>
                <w:bCs w:val="false"/>
                <w:color w:val="444444"/>
                <w:sz w:val="18"/>
                <w:szCs w:val="18"/>
              </w:rPr>
              <w:t xml:space="preserve">Positividad en todo el rango</w:t>
            </w:r>
          </w:p>
        </w:tc>
        <w:tc>
          <w:tcPr>
            <w:tcW w:type="dxa" w:w="5200"/>
            <w:shd w:fill="FFFFFF" w:color="auto" w:val="clear"/>
            <w:tcMar>
              <w:top w:type="dxa" w:w="60"/>
              <w:left w:type="dxa" w:w="100"/>
              <w:bottom w:type="dxa" w:w="60"/>
              <w:right w:type="dxa" w:w="100"/>
            </w:tcMar>
          </w:tcPr>
          <w:p>
            <w:r>
              <w:rPr>
                <w:rFonts w:ascii="Arial" w:cs="Arial" w:eastAsia="Arial" w:hAnsi="Arial"/>
                <w:b w:val="false"/>
                <w:bCs w:val="false"/>
                <w:color w:val="444444"/>
                <w:sz w:val="18"/>
                <w:szCs w:val="18"/>
              </w:rPr>
              <w:t xml:space="preserve">✓ se cumple con par. físicos</w:t>
            </w:r>
          </w:p>
        </w:tc>
      </w:tr>
      <w:tr>
        <w:trPr>
          <w:tblHeader w:val="false"/>
        </w:trPr>
        <w:tc>
          <w:tcPr>
            <w:tcW w:type="dxa" w:w="2400"/>
            <w:shd w:fill="F2F6FA" w:color="auto" w:val="clear"/>
            <w:tcMar>
              <w:top w:type="dxa" w:w="60"/>
              <w:left w:type="dxa" w:w="100"/>
              <w:bottom w:type="dxa" w:w="60"/>
              <w:right w:type="dxa" w:w="100"/>
            </w:tcMar>
          </w:tcPr>
          <w:p>
            <w:r>
              <w:rPr>
                <w:rFonts w:ascii="Courier New" w:cs="Courier New" w:eastAsia="Courier New" w:hAnsi="Courier New"/>
                <w:b w:val="false"/>
                <w:bCs w:val="false"/>
                <w:color w:val="444444"/>
                <w:sz w:val="18"/>
                <w:szCs w:val="18"/>
              </w:rPr>
              <w:t xml:space="preserve">D_V/r_s, μ(z)</w:t>
            </w:r>
          </w:p>
        </w:tc>
        <w:tc>
          <w:tcPr>
            <w:tcW w:type="dxa" w:w="4100"/>
            <w:shd w:fill="F2F6FA" w:color="auto" w:val="clear"/>
            <w:tcMar>
              <w:top w:type="dxa" w:w="60"/>
              <w:left w:type="dxa" w:w="100"/>
              <w:bottom w:type="dxa" w:w="60"/>
              <w:right w:type="dxa" w:w="100"/>
            </w:tcMar>
          </w:tcPr>
          <w:p>
            <w:r>
              <w:rPr>
                <w:rFonts w:ascii="Arial" w:cs="Arial" w:eastAsia="Arial" w:hAnsi="Arial"/>
                <w:b w:val="false"/>
                <w:bCs w:val="false"/>
                <w:color w:val="444444"/>
                <w:sz w:val="18"/>
                <w:szCs w:val="18"/>
              </w:rPr>
              <w:t xml:space="preserve">Distancias cosmológicas</w:t>
            </w:r>
          </w:p>
        </w:tc>
        <w:tc>
          <w:tcPr>
            <w:tcW w:type="dxa" w:w="5200"/>
            <w:shd w:fill="F2F6FA" w:color="auto" w:val="clear"/>
            <w:tcMar>
              <w:top w:type="dxa" w:w="60"/>
              <w:left w:type="dxa" w:w="100"/>
              <w:bottom w:type="dxa" w:w="60"/>
              <w:right w:type="dxa" w:w="100"/>
            </w:tcMar>
          </w:tcPr>
          <w:p>
            <w:r>
              <w:rPr>
                <w:rFonts w:ascii="Arial" w:cs="Arial" w:eastAsia="Arial" w:hAnsi="Arial"/>
                <w:b w:val="false"/>
                <w:bCs w:val="false"/>
                <w:color w:val="444444"/>
                <w:sz w:val="18"/>
                <w:szCs w:val="18"/>
              </w:rPr>
              <w:t xml:space="preserve">✓ valores en rango esperado</w:t>
            </w:r>
          </w:p>
        </w:tc>
      </w:tr>
      <w:tr>
        <w:trPr>
          <w:tblHeader w:val="false"/>
        </w:trPr>
        <w:tc>
          <w:tcPr>
            <w:tcW w:type="dxa" w:w="2400"/>
            <w:shd w:fill="FFFFFF" w:color="auto" w:val="clear"/>
            <w:tcMar>
              <w:top w:type="dxa" w:w="60"/>
              <w:left w:type="dxa" w:w="100"/>
              <w:bottom w:type="dxa" w:w="60"/>
              <w:right w:type="dxa" w:w="100"/>
            </w:tcMar>
          </w:tcPr>
          <w:p>
            <w:r>
              <w:rPr>
                <w:rFonts w:ascii="Courier New" w:cs="Courier New" w:eastAsia="Courier New" w:hAnsi="Courier New"/>
                <w:b w:val="false"/>
                <w:bCs w:val="false"/>
                <w:color w:val="444444"/>
                <w:sz w:val="18"/>
                <w:szCs w:val="18"/>
              </w:rPr>
              <w:t xml:space="preserve">w_eff(z)</w:t>
            </w:r>
          </w:p>
        </w:tc>
        <w:tc>
          <w:tcPr>
            <w:tcW w:type="dxa" w:w="4100"/>
            <w:shd w:fill="FFFFFF" w:color="auto" w:val="clear"/>
            <w:tcMar>
              <w:top w:type="dxa" w:w="60"/>
              <w:left w:type="dxa" w:w="100"/>
              <w:bottom w:type="dxa" w:w="60"/>
              <w:right w:type="dxa" w:w="100"/>
            </w:tcMar>
          </w:tcPr>
          <w:p>
            <w:r>
              <w:rPr>
                <w:rFonts w:ascii="Arial" w:cs="Arial" w:eastAsia="Arial" w:hAnsi="Arial"/>
                <w:b w:val="false"/>
                <w:bCs w:val="false"/>
                <w:color w:val="444444"/>
                <w:sz w:val="18"/>
                <w:szCs w:val="18"/>
              </w:rPr>
              <w:t xml:space="preserve">Firma de cruce de -1</w:t>
            </w:r>
          </w:p>
        </w:tc>
        <w:tc>
          <w:tcPr>
            <w:tcW w:type="dxa" w:w="5200"/>
            <w:shd w:fill="FFFFFF" w:color="auto" w:val="clear"/>
            <w:tcMar>
              <w:top w:type="dxa" w:w="60"/>
              <w:left w:type="dxa" w:w="100"/>
              <w:bottom w:type="dxa" w:w="60"/>
              <w:right w:type="dxa" w:w="100"/>
            </w:tcMar>
          </w:tcPr>
          <w:p>
            <w:r>
              <w:rPr>
                <w:rFonts w:ascii="Arial" w:cs="Arial" w:eastAsia="Arial" w:hAnsi="Arial"/>
                <w:b w:val="false"/>
                <w:bCs w:val="false"/>
                <w:color w:val="444444"/>
                <w:sz w:val="18"/>
                <w:szCs w:val="18"/>
              </w:rPr>
              <w:t xml:space="preserve">✓ cruza -1 entre z≈2 y z≈0</w:t>
            </w:r>
          </w:p>
        </w:tc>
      </w:tr>
    </w:tbl>
    <w:p>
      <w:pPr>
        <w:spacing w:after="60" w:before="60"/>
      </w:pPr>
      <w:r>
        <w:t xml:space="preserve"/>
      </w:r>
    </w:p>
    <w:p>
      <w:pPr>
        <w:pBdr>
          <w:top w:val="single" w:color="DDDDDD" w:sz="4" w:space="5"/>
          <w:bottom w:val="single" w:color="DDDDDD" w:sz="4" w:space="5"/>
          <w:left w:val="single" w:color="1A5C3A" w:sz="18" w:space="10"/>
        </w:pBdr>
        <w:spacing w:after="140" w:before="140" w:line="310"/>
        <w:ind w:left="330" w:right="330"/>
        <w:jc w:val="both"/>
      </w:pPr>
      <w:r>
        <w:rPr>
          <w:rFonts w:ascii="Arial" w:cs="Arial" w:eastAsia="Arial" w:hAnsi="Arial"/>
          <w:b/>
          <w:bCs/>
          <w:color w:val="1A5C3A"/>
          <w:sz w:val="22"/>
          <w:szCs w:val="22"/>
        </w:rPr>
        <w:t xml:space="preserve">Lo más importante de esta tabla:  </w:t>
      </w:r>
      <w:r>
        <w:rPr>
          <w:rFonts w:ascii="Arial" w:cs="Arial" w:eastAsia="Arial" w:hAnsi="Arial"/>
          <w:color w:val="444444"/>
          <w:sz w:val="22"/>
          <w:szCs w:val="22"/>
        </w:rPr>
        <w:t xml:space="preserve">El límite ΛCDM se recupera EXACTAMENTE (H_THPE/H_ΛCDM = 1.000000). Esto significa que la THPE contiene a ΛCDM como caso particular. Es una propiedad imprescindible de cualquier extensión seria del modelo estándar, y la THPE la cumple.</w:t>
      </w:r>
    </w:p>
    <w:p>
      <w:pPr>
        <w:pBdr>
          <w:bottom w:val="single" w:color="CCDDEE" w:sz="4" w:space="1"/>
        </w:pBdr>
        <w:spacing w:after="170" w:before="170"/>
      </w:pPr>
      <w:r>
        <w:t xml:space="preserve"/>
      </w:r>
    </w:p>
    <w:p>
      <w:pPr>
        <w:pStyle w:val="Heading1"/>
        <w:spacing w:after="170" w:before="360"/>
      </w:pPr>
      <w:r>
        <w:rPr>
          <w:rFonts w:ascii="Arial" w:cs="Arial" w:eastAsia="Arial" w:hAnsi="Arial"/>
          <w:b/>
          <w:bCs/>
          <w:color w:val="1A3A5C"/>
          <w:sz w:val="33"/>
          <w:szCs w:val="33"/>
        </w:rPr>
        <w:t xml:space="preserve">2. El hallazgo importante: degeneración de parámetros</w:t>
      </w:r>
    </w:p>
    <w:p>
      <w:pPr>
        <w:spacing w:after="100" w:before="100" w:line="316"/>
        <w:jc w:val="both"/>
      </w:pPr>
      <w:r>
        <w:rPr>
          <w:rFonts w:ascii="Arial" w:cs="Arial" w:eastAsia="Arial" w:hAnsi="Arial"/>
          <w:color w:val="444444"/>
          <w:sz w:val="22"/>
          <w:szCs w:val="22"/>
        </w:rPr>
        <w:t xml:space="preserve">Se hizo un «test de recuperación de parámetros», la prueba estándar para validar un código de ajuste: se genera un universo sintético con parámetros conocidos y se comprueba si el ajuste los recupera. Los parámetros verdaderos fueron Φ₀=0.685, α=0.6, β=0.3, γ=0.5.</w:t>
      </w:r>
    </w:p>
    <w:p>
      <w:pPr>
        <w:spacing w:after="100" w:before="100" w:line="316"/>
        <w:jc w:val="both"/>
      </w:pPr>
      <w:r>
        <w:rPr>
          <w:rFonts w:ascii="Arial" w:cs="Arial" w:eastAsia="Arial" w:hAnsi="Arial"/>
          <w:color w:val="444444"/>
          <w:sz w:val="22"/>
          <w:szCs w:val="22"/>
        </w:rPr>
        <w:t xml:space="preserve">Con solo los 7 puntos de BAO de DESI (los datos representativos del respaldo), el ajuste NO recuperó los valores. Devolvió α=1.5, β=4.5, γ=0 — muy lejos de los verdaderos. Esto NO es un fallo del código. Es una propiedad del problema, y es información valiosa.</w:t>
      </w:r>
    </w:p>
    <w:p>
      <w:pPr>
        <w:pBdr>
          <w:top w:val="single" w:color="DDDDDD" w:sz="4" w:space="5"/>
          <w:bottom w:val="single" w:color="DDDDDD" w:sz="4" w:space="5"/>
          <w:left w:val="single" w:color="9A5B00" w:sz="18" w:space="10"/>
        </w:pBdr>
        <w:spacing w:after="140" w:before="140" w:line="310"/>
        <w:ind w:left="330" w:right="330"/>
        <w:jc w:val="both"/>
      </w:pPr>
      <w:r>
        <w:rPr>
          <w:rFonts w:ascii="Arial" w:cs="Arial" w:eastAsia="Arial" w:hAnsi="Arial"/>
          <w:b/>
          <w:bCs/>
          <w:color w:val="9A5B00"/>
          <w:sz w:val="22"/>
          <w:szCs w:val="22"/>
        </w:rPr>
        <w:t xml:space="preserve">Por qué ocurre:  </w:t>
      </w:r>
      <w:r>
        <w:rPr>
          <w:rFonts w:ascii="Arial" w:cs="Arial" w:eastAsia="Arial" w:hAnsi="Arial"/>
          <w:color w:val="444444"/>
          <w:sz w:val="22"/>
          <w:szCs w:val="22"/>
        </w:rPr>
        <w:t xml:space="preserve">Con pocos datos (7 puntos) y 4 parámetros libres, el sistema está «poco constreñido»: hay demasiada libertad y muy pocos datos para fijarla. Peor aún, las tres funciones f_SFR(z), g_struct(z) y h_ent(z) tienen formas parcialmente parecidas en el rango de redshift observado, de modo que distintas combinaciones de α, β, γ producen curvas de expansión casi idénticas. El ajuste no puede distinguirlas. A esto se le llama DEGENERACIÓN de parámetros.</w:t>
      </w:r>
    </w:p>
    <w:p>
      <w:pPr>
        <w:spacing w:after="100" w:before="100" w:line="316"/>
        <w:jc w:val="both"/>
      </w:pPr>
      <w:r>
        <w:rPr>
          <w:rFonts w:ascii="Arial" w:cs="Arial" w:eastAsia="Arial" w:hAnsi="Arial"/>
          <w:color w:val="444444"/>
          <w:sz w:val="22"/>
          <w:szCs w:val="22"/>
        </w:rPr>
        <w:t xml:space="preserve">En términos llanos: si subes α y bajas β, puedes obtener casi la misma curva. Los datos actuales no «ven» la diferencia. Esto es un fenómeno habitual en cosmología — le pasa incluso a modelos famosos — pero hay que afrontarlo de frente.</w:t>
      </w:r>
    </w:p>
    <w:p>
      <w:pPr>
        <w:pBdr>
          <w:bottom w:val="single" w:color="CCDDEE" w:sz="4" w:space="1"/>
        </w:pBdr>
        <w:spacing w:after="170" w:before="170"/>
      </w:pPr>
      <w:r>
        <w:t xml:space="preserve"/>
      </w:r>
    </w:p>
    <w:p>
      <w:pPr>
        <w:pStyle w:val="Heading1"/>
        <w:spacing w:after="170" w:before="360"/>
      </w:pPr>
      <w:r>
        <w:rPr>
          <w:rFonts w:ascii="Arial" w:cs="Arial" w:eastAsia="Arial" w:hAnsi="Arial"/>
          <w:b/>
          <w:bCs/>
          <w:color w:val="1A3A5C"/>
          <w:sz w:val="33"/>
          <w:szCs w:val="33"/>
        </w:rPr>
        <w:t xml:space="preserve">3. Qué significa esto para el ajuste real</w:t>
      </w:r>
    </w:p>
    <w:p>
      <w:pPr>
        <w:spacing w:after="100" w:before="100" w:line="316"/>
        <w:jc w:val="both"/>
      </w:pPr>
      <w:r>
        <w:rPr>
          <w:rFonts w:ascii="Arial" w:cs="Arial" w:eastAsia="Arial" w:hAnsi="Arial"/>
          <w:color w:val="444444"/>
          <w:sz w:val="22"/>
          <w:szCs w:val="22"/>
        </w:rPr>
        <w:t xml:space="preserve">Cuando ejecutes THPE_fit_v16.py con los datos completos, ten presente lo siguiente. Son tres recomendaciones concretas, ordenadas por importancia.</w:t>
      </w:r>
    </w:p>
    <w:p>
      <w:pPr>
        <w:pStyle w:val="Heading3"/>
        <w:spacing w:after="100" w:before="200"/>
      </w:pPr>
      <w:r>
        <w:rPr>
          <w:rFonts w:ascii="Arial" w:cs="Arial" w:eastAsia="Arial" w:hAnsi="Arial"/>
          <w:b/>
          <w:bCs/>
          <w:color w:val="2E6DA4"/>
          <w:sz w:val="22"/>
          <w:szCs w:val="22"/>
        </w:rPr>
        <w:t xml:space="preserve">3.1 Usa TODOS los datos, no una muestra</w:t>
      </w:r>
    </w:p>
    <w:p>
      <w:pPr>
        <w:spacing w:after="100" w:before="100" w:line="316"/>
        <w:jc w:val="both"/>
      </w:pPr>
      <w:r>
        <w:rPr>
          <w:rFonts w:ascii="Arial" w:cs="Arial" w:eastAsia="Arial" w:hAnsi="Arial"/>
          <w:color w:val="444444"/>
          <w:sz w:val="22"/>
          <w:szCs w:val="22"/>
        </w:rPr>
        <w:t xml:space="preserve">La degeneración se reduce mucho con más datos. Necesitas los 1701 supernovas completos de Pantheon+ (no una submuestra) y la matriz de covarianza real de DESI, no la diagonal. El código ya está preparado para cargar ambas cosas; solo hay que descargar los archivos y colocarlos junto al script. Las URLs están en la función ensure_data() del código.</w:t>
      </w:r>
    </w:p>
    <w:p>
      <w:pPr>
        <w:pStyle w:val="Heading3"/>
        <w:spacing w:after="100" w:before="200"/>
      </w:pPr>
      <w:r>
        <w:rPr>
          <w:rFonts w:ascii="Arial" w:cs="Arial" w:eastAsia="Arial" w:hAnsi="Arial"/>
          <w:b/>
          <w:bCs/>
          <w:color w:val="2E6DA4"/>
          <w:sz w:val="22"/>
          <w:szCs w:val="22"/>
        </w:rPr>
        <w:t xml:space="preserve">3.2 Considera fijar un parámetro — y esto FORTALECE la teoría</w:t>
      </w:r>
    </w:p>
    <w:p>
      <w:pPr>
        <w:spacing w:after="100" w:before="100" w:line="316"/>
        <w:jc w:val="both"/>
      </w:pPr>
      <w:r>
        <w:rPr>
          <w:rFonts w:ascii="Arial" w:cs="Arial" w:eastAsia="Arial" w:hAnsi="Arial"/>
          <w:color w:val="444444"/>
          <w:sz w:val="22"/>
          <w:szCs w:val="22"/>
        </w:rPr>
        <w:t xml:space="preserve">Cuatro parámetros libres pueden ser demasiados para lo que los datos pueden distinguir. Una estrategia sólida es fijar uno —por ejemplo γ, el de la entropía del horizonte, que es el término más «suave»— y ajustar solo Φ₀, α y β. Esto no es hacer trampa: es la práctica estándar cuando hay degeneración. Y tiene una ventaja conceptual importante:</w:t>
      </w:r>
    </w:p>
    <w:p>
      <w:pPr>
        <w:pBdr>
          <w:top w:val="single" w:color="DDDDDD" w:sz="4" w:space="5"/>
          <w:bottom w:val="single" w:color="DDDDDD" w:sz="4" w:space="5"/>
          <w:left w:val="single" w:color="1A5C3A" w:sz="18" w:space="10"/>
        </w:pBdr>
        <w:spacing w:after="140" w:before="140" w:line="310"/>
        <w:ind w:left="330" w:right="330"/>
        <w:jc w:val="both"/>
      </w:pPr>
      <w:r>
        <w:rPr>
          <w:rFonts w:ascii="Arial" w:cs="Arial" w:eastAsia="Arial" w:hAnsi="Arial"/>
          <w:b/>
          <w:bCs/>
          <w:color w:val="1A5C3A"/>
          <w:sz w:val="22"/>
          <w:szCs w:val="22"/>
        </w:rPr>
        <w:t xml:space="preserve">Contraintuitivo pero cierto:  </w:t>
      </w:r>
      <w:r>
        <w:rPr>
          <w:rFonts w:ascii="Arial" w:cs="Arial" w:eastAsia="Arial" w:hAnsi="Arial"/>
          <w:color w:val="444444"/>
          <w:sz w:val="22"/>
          <w:szCs w:val="22"/>
        </w:rPr>
        <w:t xml:space="preserve">Menos parámetros libres = predicción más nítida = teoría más fuerte. Un revisor confía más en un modelo de 2 parámetros que ajusta bien que en uno de 4 que «ajusta cualquier cosa». Reducir parámetros, lejos de debilitar la THPE, la hace más predictiva y más defendible.</w:t>
      </w:r>
    </w:p>
    <w:p>
      <w:pPr>
        <w:pStyle w:val="Heading3"/>
        <w:spacing w:after="100" w:before="200"/>
      </w:pPr>
      <w:r>
        <w:rPr>
          <w:rFonts w:ascii="Arial" w:cs="Arial" w:eastAsia="Arial" w:hAnsi="Arial"/>
          <w:b/>
          <w:bCs/>
          <w:color w:val="2E6DA4"/>
          <w:sz w:val="22"/>
          <w:szCs w:val="22"/>
        </w:rPr>
        <w:t>3.3 Estudia y reporta las degeneraciones de forma rigurosa</w:t>
      </w:r>
    </w:p>
    <w:p>
      <w:pPr>
        <w:spacing w:after="100" w:before="100" w:line="316"/>
        <w:jc w:val="both"/>
      </w:pPr>
      <w:r>
        <w:rPr>
          <w:rFonts w:ascii="Arial" w:cs="Arial" w:eastAsia="Arial" w:hAnsi="Arial"/>
          <w:color w:val="444444"/>
          <w:sz w:val="22"/>
          <w:szCs w:val="22"/>
        </w:rPr>
        <w:t xml:space="preserve">El corner plot que genera el código (THPE_v16_corner.png) mostrará las degeneraciones como elipses inclinadas entre pares de parámetros. Esto hay que estudiarlo y reportarlo, no esconderlo. Si α y β resultan indistinguibles con los datos actuales, hay que decirlo y proponer qué observación futura los separaría (por ejemplo, datos de formación estelar a alto redshift que rompan la degeneración entre el término α y los demás).</w:t>
      </w:r>
    </w:p>
    <w:p>
      <w:pPr>
        <w:spacing w:after="100" w:before="100" w:line="316"/>
        <w:jc w:val="both"/>
      </w:pPr>
      <w:r>
        <w:rPr>
          <w:rFonts w:ascii="Arial" w:cs="Arial" w:eastAsia="Arial" w:hAnsi="Arial"/>
          <w:color w:val="444444"/>
          <w:sz w:val="22"/>
          <w:szCs w:val="22"/>
        </w:rPr>
        <w:t xml:space="preserve">Un revisor que vea que reconocéis y analizáis vuestras propias degeneraciones os tomará mucho más en serio que si presentáis cuatro parámetros ajustados sin discutir su fiabilidad.</w:t>
      </w:r>
    </w:p>
    <w:p>
      <w:pPr>
        <w:pBdr>
          <w:bottom w:val="single" w:color="CCDDEE" w:sz="4" w:space="1"/>
        </w:pBdr>
        <w:spacing w:after="170" w:before="170"/>
      </w:pPr>
      <w:r>
        <w:t xml:space="preserve"/>
      </w:r>
    </w:p>
    <w:p>
      <w:pPr>
        <w:pStyle w:val="Heading1"/>
        <w:spacing w:after="170" w:before="360"/>
      </w:pPr>
      <w:r>
        <w:rPr>
          <w:rFonts w:ascii="Arial" w:cs="Arial" w:eastAsia="Arial" w:hAnsi="Arial"/>
          <w:b/>
          <w:bCs/>
          <w:color w:val="1A3A5C"/>
          <w:sz w:val="33"/>
          <w:szCs w:val="33"/>
        </w:rPr>
        <w:t xml:space="preserve">4. Cuestiones técnicas de entorno</w:t>
      </w:r>
    </w:p>
    <w:p>
      <w:pPr>
        <w:spacing w:after="100" w:before="100" w:line="316"/>
        <w:jc w:val="both"/>
      </w:pPr>
      <w:r>
        <w:rPr>
          <w:rFonts w:ascii="Arial" w:cs="Arial" w:eastAsia="Arial" w:hAnsi="Arial"/>
          <w:color w:val="444444"/>
          <w:sz w:val="22"/>
          <w:szCs w:val="22"/>
        </w:rPr>
        <w:t xml:space="preserve">Notas prácticas para que la ejecución no te dé sorpresas:</w:t>
      </w:r>
    </w:p>
    <w:p>
      <w:pPr>
        <w:pStyle w:val="ListParagraph"/>
        <w:numPr>
          <w:ilvl w:val="0"/>
          <w:numId w:val="2"/>
        </w:numPr>
        <w:spacing w:after="60" w:before="60" w:line="300"/>
      </w:pPr>
      <w:r>
        <w:rPr>
          <w:rFonts w:ascii="Arial" w:cs="Arial" w:eastAsia="Arial" w:hAnsi="Arial"/>
          <w:color w:val="444444"/>
          <w:sz w:val="22"/>
          <w:szCs w:val="22"/>
        </w:rPr>
        <w:t xml:space="preserve">emcee: el código lo necesita y debe instalarse con «pip install emcee». En el entorno de prueba no había internet y no se pudo instalar; en tu máquina no habrá problema.</w:t>
      </w:r>
    </w:p>
    <w:p>
      <w:pPr>
        <w:pStyle w:val="ListParagraph"/>
        <w:numPr>
          <w:ilvl w:val="0"/>
          <w:numId w:val="2"/>
        </w:numPr>
        <w:spacing w:after="60" w:before="60" w:line="300"/>
      </w:pPr>
      <w:r>
        <w:rPr>
          <w:rFonts w:ascii="Arial" w:cs="Arial" w:eastAsia="Arial" w:hAnsi="Arial"/>
          <w:color w:val="444444"/>
          <w:sz w:val="22"/>
          <w:szCs w:val="22"/>
        </w:rPr>
        <w:t xml:space="preserve">np.trapz / np.trapezoid: en NumPy 2.x, np.trapz está obsoleto. El código ya usa np.trapezoid. Si usas NumPy antiguo (&lt;2.0) y diera error, cambia np.trapezoid por np.trapz.</w:t>
      </w:r>
    </w:p>
    <w:p>
      <w:pPr>
        <w:pStyle w:val="ListParagraph"/>
        <w:numPr>
          <w:ilvl w:val="0"/>
          <w:numId w:val="2"/>
        </w:numPr>
        <w:spacing w:after="60" w:before="60" w:line="300"/>
      </w:pPr>
      <w:r>
        <w:rPr>
          <w:rFonts w:ascii="Arial" w:cs="Arial" w:eastAsia="Arial" w:hAnsi="Arial"/>
          <w:color w:val="444444"/>
          <w:sz w:val="22"/>
          <w:szCs w:val="22"/>
        </w:rPr>
        <w:t xml:space="preserve">Tiempo de cálculo: cada evaluación de verosimilitud recalcula integrales de distancia para cada dato. Con 1701 supernovas y un MCMC de miles de pasos, el ajuste completo puede tardar de minutos a horas según la máquina. Es normal. Empieza con la opción --quick (500 pasos) para verificar que todo corre, y luego lanza el ajuste largo.</w:t>
      </w:r>
    </w:p>
    <w:p>
      <w:pPr>
        <w:pStyle w:val="ListParagraph"/>
        <w:numPr>
          <w:ilvl w:val="0"/>
          <w:numId w:val="2"/>
        </w:numPr>
        <w:spacing w:after="60" w:before="60" w:line="300"/>
      </w:pPr>
      <w:r>
        <w:rPr>
          <w:rFonts w:ascii="Arial" w:cs="Arial" w:eastAsia="Arial" w:hAnsi="Arial"/>
          <w:color w:val="444444"/>
          <w:sz w:val="22"/>
          <w:szCs w:val="22"/>
        </w:rPr>
        <w:t xml:space="preserve">Convergencia: revisa que el factor de Gelman-Rubin R̂ sea &lt; 1.01 para todos los parámetros (el código lo calcula y lo reporta). Si algún R̂ es alto, aumenta n_steps.</w:t>
      </w:r>
    </w:p>
    <w:p>
      <w:pPr>
        <w:spacing w:after="60" w:before="60"/>
      </w:pPr>
      <w:r>
        <w:t xml:space="preserve"/>
      </w:r>
    </w:p>
    <w:p>
      <w:pPr>
        <w:pBdr>
          <w:left w:val="single" w:color="AAAAAA" w:sz="12" w:space="8"/>
        </w:pBdr>
        <w:shd w:fill="F4F4F4" w:color="auto" w:val="clear"/>
        <w:spacing w:after="80" w:before="80"/>
        <w:ind w:left="340"/>
      </w:pPr>
      <w:r>
        <w:rPr>
          <w:rFonts w:ascii="Courier New" w:cs="Courier New" w:eastAsia="Courier New" w:hAnsi="Courier New"/>
          <w:color w:val="222222"/>
          <w:sz w:val="19"/>
          <w:szCs w:val="19"/>
        </w:rPr>
        <w:t xml:space="preserve"># Primero, prueba rápida para ver que todo corre:</w:t>
      </w:r>
    </w:p>
    <w:p>
      <w:pPr>
        <w:pBdr>
          <w:left w:val="single" w:color="AAAAAA" w:sz="12" w:space="8"/>
        </w:pBdr>
        <w:shd w:fill="F4F4F4" w:color="auto" w:val="clear"/>
        <w:spacing w:after="80" w:before="80"/>
        <w:ind w:left="340"/>
      </w:pPr>
      <w:r>
        <w:rPr>
          <w:rFonts w:ascii="Courier New" w:cs="Courier New" w:eastAsia="Courier New" w:hAnsi="Courier New"/>
          <w:color w:val="222222"/>
          <w:sz w:val="19"/>
          <w:szCs w:val="19"/>
        </w:rPr>
        <w:t xml:space="preserve">python THPE_fit_v16.py --quick</w:t>
      </w:r>
    </w:p>
    <w:p>
      <w:pPr>
        <w:pBdr>
          <w:left w:val="single" w:color="AAAAAA" w:sz="12" w:space="8"/>
        </w:pBdr>
        <w:shd w:fill="F4F4F4" w:color="auto" w:val="clear"/>
        <w:spacing w:after="80" w:before="80"/>
        <w:ind w:left="340"/>
      </w:pPr>
      <w:r>
        <w:rPr>
          <w:rFonts w:ascii="Courier New" w:cs="Courier New" w:eastAsia="Courier New" w:hAnsi="Courier New"/>
          <w:color w:val="222222"/>
          <w:sz w:val="19"/>
          <w:szCs w:val="19"/>
        </w:rPr>
        <w:t xml:space="preserve"/>
      </w:r>
    </w:p>
    <w:p>
      <w:pPr>
        <w:pBdr>
          <w:left w:val="single" w:color="AAAAAA" w:sz="12" w:space="8"/>
        </w:pBdr>
        <w:shd w:fill="F4F4F4" w:color="auto" w:val="clear"/>
        <w:spacing w:after="80" w:before="80"/>
        <w:ind w:left="340"/>
      </w:pPr>
      <w:r>
        <w:rPr>
          <w:rFonts w:ascii="Courier New" w:cs="Courier New" w:eastAsia="Courier New" w:hAnsi="Courier New"/>
          <w:color w:val="222222"/>
          <w:sz w:val="19"/>
          <w:szCs w:val="19"/>
        </w:rPr>
        <w:t xml:space="preserve"># Si funciona, lanza el ajuste completo:</w:t>
      </w:r>
    </w:p>
    <w:p>
      <w:pPr>
        <w:pBdr>
          <w:left w:val="single" w:color="AAAAAA" w:sz="12" w:space="8"/>
        </w:pBdr>
        <w:shd w:fill="F4F4F4" w:color="auto" w:val="clear"/>
        <w:spacing w:after="80" w:before="80"/>
        <w:ind w:left="340"/>
      </w:pPr>
      <w:r>
        <w:rPr>
          <w:rFonts w:ascii="Courier New" w:cs="Courier New" w:eastAsia="Courier New" w:hAnsi="Courier New"/>
          <w:color w:val="222222"/>
          <w:sz w:val="19"/>
          <w:szCs w:val="19"/>
        </w:rPr>
        <w:t xml:space="preserve">python THPE_fit_v16.py</w:t>
      </w:r>
    </w:p>
    <w:p>
      <w:pPr>
        <w:pBdr>
          <w:bottom w:val="single" w:color="CCDDEE" w:sz="4" w:space="1"/>
        </w:pBdr>
        <w:spacing w:after="170" w:before="170"/>
      </w:pPr>
      <w:r>
        <w:t xml:space="preserve"/>
      </w:r>
    </w:p>
    <w:p>
      <w:pPr>
        <w:pStyle w:val="Heading1"/>
        <w:spacing w:after="170" w:before="360"/>
      </w:pPr>
      <w:r>
        <w:rPr>
          <w:rFonts w:ascii="Arial" w:cs="Arial" w:eastAsia="Arial" w:hAnsi="Arial"/>
          <w:b/>
          <w:bCs/>
          <w:color w:val="1A3A5C"/>
          <w:sz w:val="33"/>
          <w:szCs w:val="33"/>
        </w:rPr>
        <w:t xml:space="preserve">5. Qué esperar del resultado</w:t>
      </w:r>
    </w:p>
    <w:p>
      <w:pPr>
        <w:spacing w:after="100" w:before="100" w:line="316"/>
        <w:jc w:val="both"/>
      </w:pPr>
      <w:r>
        <w:rPr>
          <w:rFonts w:ascii="Arial" w:cs="Arial" w:eastAsia="Arial" w:hAnsi="Arial"/>
          <w:color w:val="444444"/>
          <w:sz w:val="22"/>
          <w:szCs w:val="22"/>
        </w:rPr>
        <w:t xml:space="preserve">Cuando el ajuste con datos reales termine, los resultados posibles son tres, y los tres son ciencia válida:</w:t>
      </w:r>
    </w:p>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500"/>
      </w:tblGrid>
      <w:tr>
        <w:trPr>
          <w:tblHeader/>
        </w:trPr>
        <w:tc>
          <w:tcPr>
            <w:tcW w:type="dxa" w:w="3200"/>
            <w:shd w:fill="1A3A5C" w:color="auto"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Resultado</w:t>
            </w:r>
          </w:p>
        </w:tc>
        <w:tc>
          <w:tcPr>
            <w:tcW w:type="dxa" w:w="6500"/>
            <w:shd w:fill="1A3A5C" w:color="auto" w:val="clear"/>
            <w:tcMar>
              <w:top w:type="dxa" w:w="60"/>
              <w:left w:type="dxa" w:w="100"/>
              <w:bottom w:type="dxa" w:w="60"/>
              <w:right w:type="dxa" w:w="100"/>
            </w:tcMar>
          </w:tcPr>
          <w:p>
            <w:r>
              <w:rPr>
                <w:rFonts w:ascii="Arial" w:cs="Arial" w:eastAsia="Arial" w:hAnsi="Arial"/>
                <w:b/>
                <w:bCs/>
                <w:color w:val="FFFFFF"/>
                <w:sz w:val="18"/>
                <w:szCs w:val="18"/>
              </w:rPr>
              <w:t xml:space="preserve">Qué significaría</w:t>
            </w:r>
          </w:p>
        </w:tc>
      </w:tr>
      <w:tr>
        <w:trPr>
          <w:tblHeader w:val="false"/>
        </w:trPr>
        <w:tc>
          <w:tcPr>
            <w:tcW w:type="dxa" w:w="3200"/>
            <w:shd w:fill="FFFFFF" w:color="auto" w:val="clear"/>
            <w:tcMar>
              <w:top w:type="dxa" w:w="60"/>
              <w:left w:type="dxa" w:w="100"/>
              <w:bottom w:type="dxa" w:w="60"/>
              <w:right w:type="dxa" w:w="100"/>
            </w:tcMar>
          </w:tcPr>
          <w:p>
            <w:r>
              <w:rPr>
                <w:rFonts w:ascii="Courier New" w:cs="Courier New" w:eastAsia="Courier New" w:hAnsi="Courier New"/>
                <w:b w:val="false"/>
                <w:bCs w:val="false"/>
                <w:color w:val="444444"/>
                <w:sz w:val="18"/>
                <w:szCs w:val="18"/>
              </w:rPr>
              <w:t xml:space="preserve">ΔAIC favorable a THPE</w:t>
            </w:r>
          </w:p>
        </w:tc>
        <w:tc>
          <w:tcPr>
            <w:tcW w:type="dxa" w:w="6500"/>
            <w:shd w:fill="FFFFFF" w:color="auto" w:val="clear"/>
            <w:tcMar>
              <w:top w:type="dxa" w:w="60"/>
              <w:left w:type="dxa" w:w="100"/>
              <w:bottom w:type="dxa" w:w="60"/>
              <w:right w:type="dxa" w:w="100"/>
            </w:tcMar>
          </w:tcPr>
          <w:p>
            <w:r>
              <w:rPr>
                <w:rFonts w:ascii="Arial" w:cs="Arial" w:eastAsia="Arial" w:hAnsi="Arial"/>
                <w:b w:val="false"/>
                <w:bCs w:val="false"/>
                <w:color w:val="444444"/>
                <w:sz w:val="18"/>
                <w:szCs w:val="18"/>
              </w:rPr>
              <w:t xml:space="preserve">Φ(z) ajusta mejor que ΛCDM. La THPE sería una extensión competitiva. El mejor escenario.</w:t>
            </w:r>
          </w:p>
        </w:tc>
      </w:tr>
      <w:tr>
        <w:trPr>
          <w:tblHeader w:val="false"/>
        </w:trPr>
        <w:tc>
          <w:tcPr>
            <w:tcW w:type="dxa" w:w="3200"/>
            <w:shd w:fill="F2F6FA" w:color="auto" w:val="clear"/>
            <w:tcMar>
              <w:top w:type="dxa" w:w="60"/>
              <w:left w:type="dxa" w:w="100"/>
              <w:bottom w:type="dxa" w:w="60"/>
              <w:right w:type="dxa" w:w="100"/>
            </w:tcMar>
          </w:tcPr>
          <w:p>
            <w:r>
              <w:rPr>
                <w:rFonts w:ascii="Courier New" w:cs="Courier New" w:eastAsia="Courier New" w:hAnsi="Courier New"/>
                <w:b w:val="false"/>
                <w:bCs w:val="false"/>
                <w:color w:val="444444"/>
                <w:sz w:val="18"/>
                <w:szCs w:val="18"/>
              </w:rPr>
              <w:t xml:space="preserve">ΔAIC equivalente</w:t>
            </w:r>
          </w:p>
        </w:tc>
        <w:tc>
          <w:tcPr>
            <w:tcW w:type="dxa" w:w="6500"/>
            <w:shd w:fill="F2F6FA" w:color="auto" w:val="clear"/>
            <w:tcMar>
              <w:top w:type="dxa" w:w="60"/>
              <w:left w:type="dxa" w:w="100"/>
              <w:bottom w:type="dxa" w:w="60"/>
              <w:right w:type="dxa" w:w="100"/>
            </w:tcMar>
          </w:tcPr>
          <w:p>
            <w:r>
              <w:rPr>
                <w:rFonts w:ascii="Arial" w:cs="Arial" w:eastAsia="Arial" w:hAnsi="Arial"/>
                <w:b w:val="false"/>
                <w:bCs w:val="false"/>
                <w:color w:val="444444"/>
                <w:sz w:val="18"/>
                <w:szCs w:val="18"/>
              </w:rPr>
              <w:t xml:space="preserve">THPE ajusta igual que ΛCDM pero con más parámetros. Indicaría que la idea es viable pero los datos aún no la prefieren. Resultado intermedio honesto.</w:t>
            </w:r>
          </w:p>
        </w:tc>
      </w:tr>
      <w:tr>
        <w:trPr>
          <w:tblHeader w:val="false"/>
        </w:trPr>
        <w:tc>
          <w:tcPr>
            <w:tcW w:type="dxa" w:w="3200"/>
            <w:shd w:fill="FFFFFF" w:color="auto" w:val="clear"/>
            <w:tcMar>
              <w:top w:type="dxa" w:w="60"/>
              <w:left w:type="dxa" w:w="100"/>
              <w:bottom w:type="dxa" w:w="60"/>
              <w:right w:type="dxa" w:w="100"/>
            </w:tcMar>
          </w:tcPr>
          <w:p>
            <w:r>
              <w:rPr>
                <w:rFonts w:ascii="Courier New" w:cs="Courier New" w:eastAsia="Courier New" w:hAnsi="Courier New"/>
                <w:b w:val="false"/>
                <w:bCs w:val="false"/>
                <w:color w:val="444444"/>
                <w:sz w:val="18"/>
                <w:szCs w:val="18"/>
              </w:rPr>
              <w:t xml:space="preserve">ΔAIC desfavorable</w:t>
            </w:r>
          </w:p>
        </w:tc>
        <w:tc>
          <w:tcPr>
            <w:tcW w:type="dxa" w:w="6500"/>
            <w:shd w:fill="FFFFFF" w:color="auto" w:val="clear"/>
            <w:tcMar>
              <w:top w:type="dxa" w:w="60"/>
              <w:left w:type="dxa" w:w="100"/>
              <w:bottom w:type="dxa" w:w="60"/>
              <w:right w:type="dxa" w:w="100"/>
            </w:tcMar>
          </w:tcPr>
          <w:p>
            <w:r>
              <w:rPr>
                <w:rFonts w:ascii="Arial" w:cs="Arial" w:eastAsia="Arial" w:hAnsi="Arial"/>
                <w:b w:val="false"/>
                <w:bCs w:val="false"/>
                <w:color w:val="444444"/>
                <w:sz w:val="18"/>
                <w:szCs w:val="18"/>
              </w:rPr>
              <w:t xml:space="preserve">Los datos no necesitan la estructura de la THPE. Sería un resultado negativo legítimo, y saberlo tiene valor.</w:t>
            </w:r>
          </w:p>
        </w:tc>
      </w:tr>
    </w:tbl>
    <w:p>
      <w:pPr>
        <w:spacing w:after="60" w:before="60"/>
      </w:pPr>
      <w:r>
        <w:t xml:space="preserve"/>
      </w:r>
    </w:p>
    <w:p>
      <w:pPr>
        <w:pBdr>
          <w:top w:val="single" w:color="DDDDDD" w:sz="4" w:space="5"/>
          <w:bottom w:val="single" w:color="DDDDDD" w:sz="4" w:space="5"/>
          <w:left w:val="single" w:color="2E6DA4" w:sz="18" w:space="10"/>
        </w:pBdr>
        <w:spacing w:after="140" w:before="140" w:line="310"/>
        <w:ind w:left="330" w:right="330"/>
        <w:jc w:val="both"/>
      </w:pPr>
      <w:r>
        <w:rPr>
          <w:rFonts w:ascii="Arial" w:cs="Arial" w:eastAsia="Arial" w:hAnsi="Arial"/>
          <w:b/>
          <w:bCs/>
          <w:color w:val="2E6DA4"/>
          <w:sz w:val="22"/>
          <w:szCs w:val="22"/>
        </w:rPr>
        <w:t>La actitud correcta:  No buscamos que la THPE «gane». Buscamos saber qué dicen los datos. Un resultado negativo bien hecho vale más que un resultado positivo forzado. Ese rigor es lo que distingue la ciencia de la especulación, y es lo que hará que cualquier grupo os tome en serio.</w:t>
      </w:r>
      <w:r>
        <w:rPr>
          <w:rFonts w:ascii="Arial" w:cs="Arial" w:eastAsia="Arial" w:hAnsi="Arial"/>
          <w:color w:val="444444"/>
          <w:sz w:val="22"/>
          <w:szCs w:val="22"/>
        </w:rPr>
      </w:r>
    </w:p>
    <w:p>
      <w:pPr>
        <w:pBdr>
          <w:bottom w:val="single" w:color="CCDDEE" w:sz="4" w:space="1"/>
        </w:pBdr>
        <w:spacing w:after="170" w:before="170"/>
      </w:pPr>
      <w:r>
        <w:t xml:space="preserve"/>
      </w:r>
    </w:p>
    <w:p>
      <w:pPr>
        <w:pStyle w:val="Heading1"/>
        <w:spacing w:after="170" w:before="360"/>
      </w:pPr>
      <w:r>
        <w:rPr>
          <w:rFonts w:ascii="Arial" w:cs="Arial" w:eastAsia="Arial" w:hAnsi="Arial"/>
          <w:b/>
          <w:bCs/>
          <w:color w:val="1A3A5C"/>
          <w:sz w:val="33"/>
          <w:szCs w:val="33"/>
        </w:rPr>
        <w:t xml:space="preserve">6. Conclusión</w:t>
      </w:r>
    </w:p>
    <w:p>
      <w:pPr>
        <w:spacing w:after="100" w:before="100" w:line="316"/>
        <w:jc w:val="both"/>
      </w:pPr>
      <w:r>
        <w:rPr>
          <w:rFonts w:ascii="Arial" w:cs="Arial" w:eastAsia="Arial" w:hAnsi="Arial"/>
          <w:color w:val="444444"/>
          <w:sz w:val="22"/>
          <w:szCs w:val="22"/>
        </w:rPr>
        <w:t>El código THPE_fit_v16.py es un instrumento correcto y bien construido. Su motor físico está verificado. El reto real que la prueba ha sacado a la luz no es de programación sino de física: distinguir las tres contribuciones a la presión holográfica Φ(z) con los datos disponibles. Ese es exactamente el problema interesante, y afrontarlo con rigor —usando todos los datos, considerando fijar parámetros, y reportando las degeneraciones— es lo que convertirá este trabajo en ciencia respetable.</w:t>
      </w:r>
    </w:p>
    <w:p>
      <w:pPr>
        <w:spacing w:after="100" w:before="100" w:line="316"/>
        <w:jc w:val="both"/>
      </w:pPr>
      <w:r>
        <w:rPr>
          <w:rFonts w:ascii="Arial" w:cs="Arial" w:eastAsia="Arial" w:hAnsi="Arial"/>
          <w:color w:val="444444"/>
          <w:sz w:val="22"/>
          <w:szCs w:val="22"/>
        </w:rPr>
        <w:t xml:space="preserve">Jorge, cuando ejecutes el ajuste, esta nota te ahorrará descubrir las degeneraciones por las malas. Llévala al lado del teclado. Y cualquier resultado que obtengas —favorable, neutro o adverso— será un paso adelante real.</w:t>
      </w:r>
    </w:p>
    <w:p>
      <w:pPr>
        <w:spacing w:after="60" w:before="60"/>
      </w:pPr>
      <w:r>
        <w:t xml:space="preserve"/>
      </w:r>
    </w:p>
    <w:p>
      <w:pPr>
        <w:spacing w:after="150" w:before="150" w:line="285"/>
        <w:ind w:left="680" w:right="680"/>
        <w:jc w:val="both"/>
      </w:pPr>
      <w:r>
        <w:rPr>
          <w:rFonts w:ascii="Arial" w:cs="Arial" w:eastAsia="Arial" w:hAnsi="Arial"/>
          <w:i/>
          <w:iCs/>
          <w:color w:val="333333"/>
          <w:sz w:val="21"/>
          <w:szCs w:val="21"/>
        </w:rPr>
        <w:t>"Un código que recupera mal los parámetros con pocos datos no es un código roto: es un código informativo que señala de dónde está la física difícil."</w:t>
      </w:r>
    </w:p>
    <w:p>
      <w:pPr>
        <w:pBdr>
          <w:bottom w:val="single" w:color="CCDDEE" w:sz="4" w:space="1"/>
        </w:pBdr>
        <w:spacing w:after="170" w:before="170"/>
      </w:pPr>
      <w:r>
        <w:t xml:space="preserve"/>
      </w:r>
    </w:p>
    <w:p>
      <w:pPr>
        <w:spacing w:after="50" w:before="180"/>
        <w:jc w:val="center"/>
      </w:pPr>
      <w:r>
        <w:rPr>
          <w:rFonts w:ascii="Arial" w:cs="Arial" w:eastAsia="Arial" w:hAnsi="Arial"/>
          <w:i/>
          <w:iCs/>
          <w:color w:val="888888"/>
          <w:sz w:val="19"/>
          <w:szCs w:val="19"/>
        </w:rPr>
        <w:t xml:space="preserve">Nota técnica de pruebas — Proyecto THPE</w:t>
      </w:r>
    </w:p>
    <w:p>
      <w:pPr>
        <w:spacing w:after="50" w:before="0"/>
        <w:jc w:val="center"/>
      </w:pPr>
      <w:r>
        <w:rPr>
          <w:rFonts w:ascii="Arial" w:cs="Arial" w:eastAsia="Arial" w:hAnsi="Arial"/>
          <w:i/>
          <w:iCs/>
          <w:color w:val="888888"/>
          <w:sz w:val="19"/>
          <w:szCs w:val="19"/>
        </w:rPr>
        <w:t xml:space="preserve">Moisés Mora García &amp; Jorge Ordóñez Mora · Palma de Mallorca, 2026</w:t>
      </w:r>
    </w:p>
    <w:p>
      <w:pPr>
        <w:spacing w:after="50" w:before="0"/>
        <w:jc w:val="center"/>
      </w:pPr>
      <w:r>
        <w:rPr>
          <w:rFonts w:ascii="Arial" w:cs="Arial" w:eastAsia="Arial" w:hAnsi="Arial"/>
          <w:i/>
          <w:iCs/>
          <w:color w:val="888888"/>
          <w:sz w:val="18"/>
          <w:szCs w:val="18"/>
        </w:rPr>
        <w:t xml:space="preserve">Pruebas ejecutadas con asistencia de Claude (Anthropic) como herramienta. La responsabilidad del contenido es de los autores humanos.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DEE" w:sz="4" w:space="4"/>
      </w:pBdr>
      <w:jc w:val="center"/>
    </w:pPr>
    <w:r>
      <w:rPr>
        <w:rFonts w:ascii="Arial" w:cs="Arial" w:eastAsia="Arial" w:hAnsi="Arial"/>
        <w:color w:val="888888"/>
        <w:sz w:val="18"/>
        <w:szCs w:val="18"/>
      </w:rPr>
      <w:t xml:space="preserve">Para Jorge Ordóñez Mora · Proyecto THPE · Palma de Mallorca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DEE" w:sz="4" w:space="4"/>
      </w:pBdr>
    </w:pPr>
    <w:r>
      <w:rPr>
        <w:rFonts w:ascii="Arial" w:cs="Arial" w:eastAsia="Arial" w:hAnsi="Arial"/>
        <w:i/>
        <w:iCs/>
        <w:color w:val="888888"/>
        <w:sz w:val="18"/>
        <w:szCs w:val="18"/>
      </w:rPr>
      <w:t xml:space="preserve">Nota técnica de pruebas — THPE_fit_v16.py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360"/>
      <w:outlineLvl w:val="0"/>
    </w:pPr>
    <w:rPr>
      <w:rFonts w:ascii="Arial" w:cs="Arial" w:eastAsia="Arial" w:hAnsi="Arial"/>
      <w:b/>
      <w:bCs/>
      <w:color w:val="1A3A5C"/>
      <w:sz w:val="33"/>
      <w:szCs w:val="33"/>
    </w:rPr>
  </w:style>
  <w:style w:type="paragraph" w:styleId="Heading2">
    <w:name w:val="Heading 2"/>
    <w:basedOn w:val="Normal"/>
    <w:next w:val="Normal"/>
    <w:qFormat/>
    <w:pPr>
      <w:spacing w:after="130" w:before="260"/>
      <w:outlineLvl w:val="1"/>
    </w:pPr>
    <w:rPr>
      <w:rFonts w:ascii="Arial" w:cs="Arial" w:eastAsia="Arial" w:hAnsi="Arial"/>
      <w:b/>
      <w:bCs/>
      <w:color w:val="1A3A5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6DA4"/>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2026-06-24T17:21:37.952Z</dcterms:created>
  <dcterms:modified xsi:type="dcterms:W3CDTF">2026-06-24T17:21:37.967Z</dcterms:modified>
</cp:coreProperties>
</file>

<file path=docProps/custom.xml><?xml version="1.0" encoding="utf-8"?>
<Properties xmlns="http://schemas.openxmlformats.org/officeDocument/2006/custom-properties" xmlns:vt="http://schemas.openxmlformats.org/officeDocument/2006/docPropsVTypes"/>
</file>