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600"/>
        <w:jc w:val="center"/>
      </w:pPr>
      <w:r>
        <w:rPr>
          <w:rFonts w:ascii="Arial" w:cs="Arial" w:eastAsia="Arial" w:hAnsi="Arial"/>
          <w:b/>
          <w:bCs/>
          <w:color w:val="1A3A5C"/>
          <w:sz w:val="72"/>
          <w:szCs w:val="72"/>
        </w:rPr>
        <w:t xml:space="preserve">THPE</w:t>
      </w:r>
    </w:p>
    <w:p>
      <w:pPr>
        <w:spacing w:after="60" w:before="100"/>
        <w:jc w:val="center"/>
      </w:pPr>
      <w:r>
        <w:rPr>
          <w:rFonts w:ascii="Arial" w:cs="Arial" w:eastAsia="Arial" w:hAnsi="Arial"/>
          <w:b/>
          <w:bCs/>
          <w:color w:val="2E6DA4"/>
          <w:sz w:val="32"/>
          <w:szCs w:val="32"/>
        </w:rPr>
        <w:t xml:space="preserve">Holographic Theory of State Persistence</w:t>
      </w:r>
    </w:p>
    <w:p>
      <w:pPr>
        <w:spacing w:after="200" w:before="0"/>
        <w:jc w:val="center"/>
      </w:pPr>
      <w:r>
        <w:rPr>
          <w:rFonts w:ascii="Arial" w:cs="Arial" w:eastAsia="Arial" w:hAnsi="Arial"/>
          <w:color w:val="888888"/>
          <w:sz w:val="20"/>
          <w:szCs w:val="20"/>
        </w:rPr>
        <w:t xml:space="preserve">Version 1.6 — Technical note on the fitting code</w:t>
      </w:r>
    </w:p>
    <w:p>
      <w:pPr>
        <w:pBdr>
          <w:bottom w:val="single" w:color="CCDDEE" w:sz="4" w:space="1"/>
        </w:pBdr>
        <w:spacing w:after="200" w:before="200"/>
      </w:pPr>
      <w:r>
        <w:t xml:space="preserve"/>
      </w:r>
    </w:p>
    <w:p>
      <w:pPr>
        <w:spacing w:after="400" w:before="200"/>
        <w:jc w:val="center"/>
      </w:pPr>
      <w:r>
        <w:rPr>
          <w:rFonts w:ascii="Arial" w:cs="Arial" w:eastAsia="Arial" w:hAnsi="Arial"/>
          <w:i/>
          <w:iCs/>
          <w:color w:val="555555"/>
          <w:sz w:val="22"/>
          <w:szCs w:val="22"/>
        </w:rPr>
        <w:t xml:space="preserve">Improvements to THPE_fit_v16.py relative to v1.5</w:t>
      </w:r>
    </w:p>
    <w:p>
      <w:pPr>
        <w:spacing w:after="80" w:before="80"/>
      </w:pPr>
      <w:r>
        <w:t xml:space="preserve"/>
      </w:r>
    </w:p>
    <w:p>
      <w:pPr>
        <w:spacing w:after="80" w:before="200"/>
        <w:jc w:val="center"/>
      </w:pPr>
      <w:r>
        <w:rPr>
          <w:rFonts w:ascii="Arial" w:cs="Arial" w:eastAsia="Arial" w:hAnsi="Arial"/>
          <w:b/>
          <w:bCs/>
          <w:color w:val="1A3A5C"/>
          <w:sz w:val="26"/>
          <w:szCs w:val="26"/>
        </w:rPr>
        <w:t xml:space="preserve">Moisés Mora García</w:t>
      </w:r>
    </w:p>
    <w:p>
      <w:pPr>
        <w:spacing w:after="80" w:before="0"/>
        <w:jc w:val="center"/>
      </w:pPr>
      <w:r>
        <w:rPr>
          <w:rFonts w:ascii="Arial" w:cs="Arial" w:eastAsia="Arial" w:hAnsi="Arial"/>
          <w:color w:val="555555"/>
          <w:sz w:val="22"/>
          <w:szCs w:val="22"/>
        </w:rPr>
        <w:t xml:space="preserve">Palma de Mallorca</w:t>
      </w:r>
    </w:p>
    <w:p>
      <w:pPr>
        <w:spacing w:after="80" w:before="0"/>
        <w:jc w:val="center"/>
      </w:pPr>
      <w:r>
        <w:rPr>
          <w:rFonts w:ascii="Arial" w:cs="Arial" w:eastAsia="Arial" w:hAnsi="Arial"/>
          <w:i/>
          <w:iCs/>
          <w:color w:val="888888"/>
          <w:sz w:val="20"/>
          <w:szCs w:val="20"/>
        </w:rPr>
        <w:t xml:space="preserve">In collaboration with Claude (Anthropic)</w:t>
      </w:r>
    </w:p>
    <w:p>
      <w:pPr>
        <w:spacing w:after="400" w:before="0"/>
        <w:jc w:val="center"/>
      </w:pPr>
      <w:r>
        <w:rPr>
          <w:rFonts w:ascii="Arial" w:cs="Arial" w:eastAsia="Arial" w:hAnsi="Arial"/>
          <w:color w:val="888888"/>
          <w:sz w:val="20"/>
          <w:szCs w:val="20"/>
        </w:rPr>
        <w:t xml:space="preserve">June 2026</w:t>
      </w:r>
    </w:p>
    <w:p>
      <w:pPr>
        <w:pBdr>
          <w:bottom w:val="single" w:color="CCDDEE" w:sz="4" w:space="1"/>
        </w:pBdr>
        <w:spacing w:after="200" w:before="200"/>
      </w:pPr>
      <w:r>
        <w:t xml:space="preserve"/>
      </w:r>
    </w:p>
    <w:p>
      <w:pPr>
        <w:spacing w:after="80" w:before="80"/>
      </w:pPr>
      <w:r>
        <w:t xml:space="preserve"/>
      </w:r>
    </w:p>
    <w:p>
      <w:pPr>
        <w:spacing w:after="80" w:before="80"/>
      </w:pPr>
      <w:r>
        <w:t xml:space="preserve"/>
      </w:r>
    </w:p>
    <w:p>
      <w:pPr>
        <w:pStyle w:val="Heading2"/>
        <w:spacing w:after="150" w:before="300"/>
      </w:pPr>
      <w:r>
        <w:rPr>
          <w:rFonts w:ascii="Arial" w:cs="Arial" w:eastAsia="Arial" w:hAnsi="Arial"/>
          <w:b/>
          <w:bCs/>
          <w:color w:val="1A3A5C"/>
          <w:sz w:val="28"/>
          <w:szCs w:val="28"/>
        </w:rPr>
        <w:t xml:space="preserve">Summary of v1.6 improvements</w:t>
      </w:r>
    </w:p>
    <w:p>
      <w:pPr>
        <w:spacing w:after="120" w:before="120" w:line="320"/>
        <w:jc w:val="both"/>
      </w:pPr>
      <w:r>
        <w:rPr>
          <w:rFonts w:ascii="Arial" w:cs="Arial" w:eastAsia="Arial" w:hAnsi="Arial"/>
          <w:color w:val="555555"/>
          <w:sz w:val="22"/>
          <w:szCs w:val="22"/>
        </w:rPr>
        <w:t xml:space="preserve">The critical review of THPE_fit.py (v1.5) identified five areas for improvement. This note documents the corresponding implementations in THPE_fit_v16.py, which constitutes the reference code of the THPE research program.</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1. Automated data download</w:t>
      </w:r>
    </w:p>
    <w:p>
      <w:pPr>
        <w:spacing w:after="120" w:before="120" w:line="320"/>
        <w:jc w:val="both"/>
      </w:pPr>
      <w:r>
        <w:rPr>
          <w:rFonts w:ascii="Arial" w:cs="Arial" w:eastAsia="Arial" w:hAnsi="Arial"/>
          <w:color w:val="555555"/>
          <w:sz w:val="22"/>
          <w:szCs w:val="22"/>
        </w:rPr>
        <w:t xml:space="preserve">Version v1.5 required manual download of DESI and Pantheon+ data. Version 1.6 incorporates the ensure_data() function that attempts automatic download from official public URLs before running the fit.</w:t>
      </w:r>
    </w:p>
    <w:p>
      <w:pPr>
        <w:spacing w:after="120" w:before="120" w:line="320"/>
        <w:jc w:val="both"/>
      </w:pPr>
      <w:r>
        <w:rPr>
          <w:rFonts w:ascii="Arial" w:cs="Arial" w:eastAsia="Arial" w:hAnsi="Arial"/>
          <w:color w:val="555555"/>
          <w:sz w:val="22"/>
          <w:szCs w:val="22"/>
        </w:rPr>
        <w:t xml:space="preserve">The URLs point to the official GitHub repositories of DESI and PantheonPlusSH0ES. If download fails (no connection, file moved), the code falls back to representative data from the DESI 2024 paper or ΛCDM simulations, allowing the complete pipeline to run in any environment.</w:t>
      </w:r>
    </w:p>
    <w:p>
      <w:pPr>
        <w:spacing w:after="120" w:before="120" w:line="320"/>
        <w:jc w:val="both"/>
      </w:pPr>
      <w:r>
        <w:rPr>
          <w:rFonts w:ascii="Arial" w:cs="Arial" w:eastAsia="Arial" w:hAnsi="Arial"/>
          <w:color w:val="555555"/>
          <w:sz w:val="22"/>
          <w:szCs w:val="22"/>
        </w:rPr>
        <w:t xml:space="preserve">Usage: python THPE_fit_v16.py (attempts download) or python THPE_fit_v16.py --no-download (no download).</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2. Regularization of h_ent(z→0) with Taylor series</w:t>
      </w:r>
    </w:p>
    <w:p>
      <w:pPr>
        <w:spacing w:after="120" w:before="120" w:line="320"/>
        <w:jc w:val="both"/>
      </w:pPr>
      <w:r>
        <w:rPr>
          <w:rFonts w:ascii="Arial" w:cs="Arial" w:eastAsia="Arial" w:hAnsi="Arial"/>
          <w:color w:val="555555"/>
          <w:sz w:val="22"/>
          <w:szCs w:val="22"/>
        </w:rPr>
        <w:t xml:space="preserve">In v1.5, h_ent(z) used z_safe = max(z, 1e-3) to avoid the divergence V_com(z→0) → 0. This was a practical solution but introduced an artificial discontinuity at z = 10⁻³.</w:t>
      </w:r>
    </w:p>
    <w:p>
      <w:pPr>
        <w:spacing w:after="120" w:before="120" w:line="320"/>
        <w:jc w:val="both"/>
      </w:pPr>
      <w:r>
        <w:rPr>
          <w:rFonts w:ascii="Arial" w:cs="Arial" w:eastAsia="Arial" w:hAnsi="Arial"/>
          <w:color w:val="555555"/>
          <w:sz w:val="22"/>
          <w:szCs w:val="22"/>
        </w:rPr>
        <w:t xml:space="preserve">Version 1.6 replaces the cutoff with a Taylor expansion of the comoving distance D_C(z) for z &lt; z_low = 0.05:</w:t>
      </w:r>
    </w:p>
    <w:p>
      <w:pPr>
        <w:spacing w:after="200" w:before="200"/>
        <w:ind w:left="360" w:right="360"/>
        <w:jc w:val="center"/>
      </w:pPr>
      <w:r>
        <w:rPr>
          <w:rFonts w:ascii="Courier New" w:cs="Courier New" w:eastAsia="Courier New" w:hAnsi="Courier New"/>
          <w:b/>
          <w:bCs/>
          <w:color w:val="1A5C3A"/>
          <w:sz w:val="24"/>
          <w:szCs w:val="24"/>
        </w:rPr>
        <w:t xml:space="preserve">D_C(z) ≈ (c/H₀)·[z - (1+q₀)z²/2 + (2-q₀+j₀)z³/6]</w:t>
      </w:r>
      <w:r>
        <w:rPr>
          <w:rFonts w:ascii="Arial" w:cs="Arial" w:eastAsia="Arial" w:hAnsi="Arial"/>
          <w:i/>
          <w:iCs/>
          <w:color w:val="888888"/>
          <w:sz w:val="20"/>
          <w:szCs w:val="20"/>
        </w:rPr>
        <w:t xml:space="preserve">   (Taylor series of D_C)</w:t>
      </w:r>
    </w:p>
    <w:p>
      <w:pPr>
        <w:spacing w:after="120" w:before="120" w:line="320"/>
        <w:jc w:val="both"/>
      </w:pPr>
      <w:r>
        <w:rPr>
          <w:rFonts w:ascii="Arial" w:cs="Arial" w:eastAsia="Arial" w:hAnsi="Arial"/>
          <w:color w:val="555555"/>
          <w:sz w:val="22"/>
          <w:szCs w:val="22"/>
        </w:rPr>
        <w:t xml:space="preserve">where q₀ = Ω_m/2 - Ω_Λ is the deceleration parameter and j₀ = Ω_m is the jerk parameter. This gives V_com ≈ (4π/3)·D_C³ analytically and continuously for small z, eliminating the discontinuity and improving numerical accuracy in the range z &lt; 0.05.</w:t>
      </w:r>
    </w:p>
    <w:p>
      <w:pPr>
        <w:spacing w:after="120" w:before="120" w:line="320"/>
        <w:jc w:val="both"/>
      </w:pPr>
      <w:r>
        <w:rPr>
          <w:rFonts w:ascii="Arial" w:cs="Arial" w:eastAsia="Arial" w:hAnsi="Arial"/>
          <w:color w:val="555555"/>
          <w:sz w:val="22"/>
          <w:szCs w:val="22"/>
        </w:rPr>
        <w:t xml:space="preserve">The function _V_com_taylor(z) implements this expansion and is called automatically by comoving_volume(z) when z &lt; 0.05.</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3. Full DESI covariance matrix</w:t>
      </w:r>
    </w:p>
    <w:p>
      <w:pPr>
        <w:spacing w:after="120" w:before="120" w:line="320"/>
        <w:jc w:val="both"/>
      </w:pPr>
      <w:r>
        <w:rPr>
          <w:rFonts w:ascii="Arial" w:cs="Arial" w:eastAsia="Arial" w:hAnsi="Arial"/>
          <w:color w:val="555555"/>
          <w:sz w:val="22"/>
          <w:szCs w:val="22"/>
        </w:rPr>
        <w:t xml:space="preserve">Version v1.5 used independent errors between BAO tracers, ignoring correlations between points measured with different tracers in the same volume. Version 1.6 implements the full multivariate likelihood:</w:t>
      </w:r>
    </w:p>
    <w:p>
      <w:pPr>
        <w:spacing w:after="200" w:before="200"/>
        <w:ind w:left="360" w:right="360"/>
        <w:jc w:val="center"/>
      </w:pPr>
      <w:r>
        <w:rPr>
          <w:rFonts w:ascii="Courier New" w:cs="Courier New" w:eastAsia="Courier New" w:hAnsi="Courier New"/>
          <w:b/>
          <w:bCs/>
          <w:color w:val="1A5C3A"/>
          <w:sz w:val="24"/>
          <w:szCs w:val="24"/>
        </w:rPr>
        <w:t xml:space="preserve">log L_BAO = -½ (y - ŷ)ᵀ C⁻¹ (y - ŷ)</w:t>
      </w:r>
      <w:r>
        <w:rPr>
          <w:rFonts w:ascii="Arial" w:cs="Arial" w:eastAsia="Arial" w:hAnsi="Arial"/>
          <w:i/>
          <w:iCs/>
          <w:color w:val="888888"/>
          <w:sz w:val="20"/>
          <w:szCs w:val="20"/>
        </w:rPr>
        <w:t xml:space="preserve">   (BAO likelihood with full covariance)</w:t>
      </w:r>
    </w:p>
    <w:p>
      <w:pPr>
        <w:spacing w:after="120" w:before="120" w:line="320"/>
        <w:jc w:val="both"/>
      </w:pPr>
      <w:r>
        <w:rPr>
          <w:rFonts w:ascii="Arial" w:cs="Arial" w:eastAsia="Arial" w:hAnsi="Arial"/>
          <w:color w:val="555555"/>
          <w:sz w:val="22"/>
          <w:szCs w:val="22"/>
        </w:rPr>
        <w:t xml:space="preserve">where C is the full covariance matrix between BAO points and C⁻¹ its inverse. The function load_DESI_BAO() attempts to load the matrix from DESI_BAO_covariance.npy. If not available, it uses diagonal covariance (independent errors) with an explicit warning to the user.</w:t>
      </w:r>
    </w:p>
    <w:p>
      <w:pPr>
        <w:spacing w:after="120" w:before="120" w:line="320"/>
        <w:jc w:val="both"/>
      </w:pPr>
      <w:r>
        <w:rPr>
          <w:rFonts w:ascii="Arial" w:cs="Arial" w:eastAsia="Arial" w:hAnsi="Arial"/>
          <w:color w:val="555555"/>
          <w:sz w:val="22"/>
          <w:szCs w:val="22"/>
        </w:rPr>
        <w:t xml:space="preserve">The official DESI DR1 covariance matrix is available in the DESI public data repository. For publishable analysis it is essential to use it.</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4. Gelman-Rubin convergence diagnostic</w:t>
      </w:r>
    </w:p>
    <w:p>
      <w:pPr>
        <w:spacing w:after="120" w:before="120" w:line="320"/>
        <w:jc w:val="both"/>
      </w:pPr>
      <w:r>
        <w:rPr>
          <w:rFonts w:ascii="Arial" w:cs="Arial" w:eastAsia="Arial" w:hAnsi="Arial"/>
          <w:color w:val="555555"/>
          <w:sz w:val="22"/>
          <w:szCs w:val="22"/>
        </w:rPr>
        <w:t xml:space="preserve">Version v1.5 did not include MCMC chain convergence diagnostics. Version 1.6 implements the Gelman-Rubin scale factor R̂ for each parameter (Gelman &amp; Rubin 1992):</w:t>
      </w:r>
    </w:p>
    <w:p>
      <w:pPr>
        <w:spacing w:after="200" w:before="200"/>
        <w:ind w:left="360" w:right="360"/>
        <w:jc w:val="center"/>
      </w:pPr>
      <w:r>
        <w:rPr>
          <w:rFonts w:ascii="Courier New" w:cs="Courier New" w:eastAsia="Courier New" w:hAnsi="Courier New"/>
          <w:b/>
          <w:bCs/>
          <w:color w:val="1A5C3A"/>
          <w:sz w:val="24"/>
          <w:szCs w:val="24"/>
        </w:rPr>
        <w:t xml:space="preserve">R̂ = sqrt(var_hat / W)</w:t>
      </w:r>
      <w:r>
        <w:rPr>
          <w:rFonts w:ascii="Arial" w:cs="Arial" w:eastAsia="Arial" w:hAnsi="Arial"/>
          <w:i/>
          <w:iCs/>
          <w:color w:val="888888"/>
          <w:sz w:val="20"/>
          <w:szCs w:val="20"/>
        </w:rPr>
        <w:t xml:space="preserve">   (Gelman-Rubin scale factor)</w:t>
      </w:r>
    </w:p>
    <w:p>
      <w:pPr>
        <w:spacing w:after="120" w:before="120" w:line="320"/>
        <w:jc w:val="both"/>
      </w:pPr>
      <w:r>
        <w:rPr>
          <w:rFonts w:ascii="Arial" w:cs="Arial" w:eastAsia="Arial" w:hAnsi="Arial"/>
          <w:color w:val="555555"/>
          <w:sz w:val="22"/>
          <w:szCs w:val="22"/>
        </w:rPr>
        <w:t xml:space="preserve">where W is the within-chain variance and var_hat = (1-1/n)·W + B/n with B the between-chain variance. Criteria: R̂ &lt; 1.005 indicates excellent convergence; R̂ &lt; 1.01 good convergence; R̂ &gt; 1.05 indicates chains have not converged and n_steps should be increased.</w:t>
      </w:r>
    </w:p>
    <w:p>
      <w:pPr>
        <w:spacing w:after="120" w:before="120" w:line="320"/>
        <w:jc w:val="both"/>
      </w:pPr>
      <w:r>
        <w:rPr>
          <w:rFonts w:ascii="Arial" w:cs="Arial" w:eastAsia="Arial" w:hAnsi="Arial"/>
          <w:color w:val="555555"/>
          <w:sz w:val="22"/>
          <w:szCs w:val="22"/>
        </w:rPr>
        <w:t xml:space="preserve">The function report_convergence() calculates and prints R̂ for Φ₀, α, β, γ with visual status indicator.</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5. Bayesian evidence estimation</w:t>
      </w:r>
    </w:p>
    <w:p>
      <w:pPr>
        <w:spacing w:after="120" w:before="120" w:line="320"/>
        <w:jc w:val="both"/>
      </w:pPr>
      <w:r>
        <w:rPr>
          <w:rFonts w:ascii="Arial" w:cs="Arial" w:eastAsia="Arial" w:hAnsi="Arial"/>
          <w:color w:val="555555"/>
          <w:sz w:val="22"/>
          <w:szCs w:val="22"/>
        </w:rPr>
        <w:t xml:space="preserve">Version v1.5 used AIC and BIC as model comparison statistics. Version 1.6 adds estimation of the Bayesian log-evidence log Z via the harmonic mean estimator (Newton &amp; Raftery 1994):</w:t>
      </w:r>
    </w:p>
    <w:p>
      <w:pPr>
        <w:spacing w:after="200" w:before="200"/>
        <w:ind w:left="360" w:right="360"/>
        <w:jc w:val="center"/>
      </w:pPr>
      <w:r>
        <w:rPr>
          <w:rFonts w:ascii="Courier New" w:cs="Courier New" w:eastAsia="Courier New" w:hAnsi="Courier New"/>
          <w:b/>
          <w:bCs/>
          <w:color w:val="1A5C3A"/>
          <w:sz w:val="24"/>
          <w:szCs w:val="24"/>
        </w:rPr>
        <w:t xml:space="preserve">log Z ≈ log S - log Σ exp(-log L(θₛ))</w:t>
      </w:r>
      <w:r>
        <w:rPr>
          <w:rFonts w:ascii="Arial" w:cs="Arial" w:eastAsia="Arial" w:hAnsi="Arial"/>
          <w:i/>
          <w:iCs/>
          <w:color w:val="888888"/>
          <w:sz w:val="20"/>
          <w:szCs w:val="20"/>
        </w:rPr>
        <w:t xml:space="preserve">   (Harmonic mean estimator)</w:t>
      </w:r>
    </w:p>
    <w:p>
      <w:pPr>
        <w:spacing w:after="120" w:before="120" w:line="320"/>
        <w:jc w:val="both"/>
      </w:pPr>
      <w:r>
        <w:rPr>
          <w:rFonts w:ascii="Arial" w:cs="Arial" w:eastAsia="Arial" w:hAnsi="Arial"/>
          <w:color w:val="555555"/>
          <w:sz w:val="22"/>
          <w:szCs w:val="22"/>
        </w:rPr>
        <w:t xml:space="preserve">where the sum is over the S post-burn-in samples. The estimator is numerically unstable when the likelihood tails are heavy, which frequently occurs in cosmological models. The function includes an explicit warning: for publishable results it is recommended to use MultiNest (pymultinest) or PolyChord, which calculate evidence more robustly via nested sampling.</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6. Documented Φ₀ calibration condition</w:t>
      </w:r>
    </w:p>
    <w:p>
      <w:pPr>
        <w:spacing w:after="120" w:before="120" w:line="320"/>
        <w:jc w:val="both"/>
      </w:pPr>
      <w:r>
        <w:rPr>
          <w:rFonts w:ascii="Arial" w:cs="Arial" w:eastAsia="Arial" w:hAnsi="Arial"/>
          <w:color w:val="555555"/>
          <w:sz w:val="22"/>
          <w:szCs w:val="22"/>
        </w:rPr>
        <w:t xml:space="preserve">The code review noted that the rescaling of Φ(z) in H_THPE() was not documented in the theory. Version 1.6 formalizes the calibration condition explicitly in the code and in this document.</w:t>
      </w:r>
    </w:p>
    <w:p>
      <w:pPr>
        <w:spacing w:after="120" w:before="120" w:line="320"/>
        <w:jc w:val="both"/>
      </w:pPr>
      <w:r>
        <w:rPr>
          <w:rFonts w:ascii="Arial" w:cs="Arial" w:eastAsia="Arial" w:hAnsi="Arial"/>
          <w:color w:val="555555"/>
          <w:sz w:val="22"/>
          <w:szCs w:val="22"/>
        </w:rPr>
        <w:t xml:space="preserve">THPE calibration condition (v1.6): Φ₀ is defined such that, when α = β = γ = 0, Φ(z) = Φ₀ exactly reproduces the dark energy term of ΛCDM in the Friedmann equation. In the dimensionless units of the code, this is equivalent to:</w:t>
      </w:r>
    </w:p>
    <w:p>
      <w:pPr>
        <w:spacing w:after="200" w:before="200"/>
        <w:ind w:left="360" w:right="360"/>
        <w:jc w:val="center"/>
      </w:pPr>
      <w:r>
        <w:rPr>
          <w:rFonts w:ascii="Courier New" w:cs="Courier New" w:eastAsia="Courier New" w:hAnsi="Courier New"/>
          <w:b/>
          <w:bCs/>
          <w:color w:val="1A5C3A"/>
          <w:sz w:val="24"/>
          <w:szCs w:val="24"/>
        </w:rPr>
        <w:t xml:space="preserve">Φ₀_ΛCDM ≡ Ω_Λ = 1 - Ω_m - Ω_r ≈ 0.6850</w:t>
      </w:r>
      <w:r>
        <w:rPr>
          <w:rFonts w:ascii="Arial" w:cs="Arial" w:eastAsia="Arial" w:hAnsi="Arial"/>
          <w:i/>
          <w:iCs/>
          <w:color w:val="888888"/>
          <w:sz w:val="20"/>
          <w:szCs w:val="20"/>
        </w:rPr>
        <w:t xml:space="preserve">   (Calibration condition)</w:t>
      </w:r>
    </w:p>
    <w:p>
      <w:pPr>
        <w:spacing w:after="120" w:before="120" w:line="320"/>
        <w:jc w:val="both"/>
      </w:pPr>
      <w:r>
        <w:rPr>
          <w:rFonts w:ascii="Arial" w:cs="Arial" w:eastAsia="Arial" w:hAnsi="Arial"/>
          <w:color w:val="555555"/>
          <w:sz w:val="22"/>
          <w:szCs w:val="22"/>
        </w:rPr>
        <w:t xml:space="preserve">The modified Friedmann equation becomes H²(z) = H₀²·[Ω_m(1+z)³ + Ω_r(1+z)⁴ + Φ(z)], where the term Φ(z) directly replaces Ω_Λ of ΛCDM. The verification H_THPE/H_ΛCDM = 1 with α=β=γ=0 and Φ₀=Ω_Λ is implemented in the verification block of the main() function.</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7. Code verifications</w:t>
      </w:r>
    </w:p>
    <w:p>
      <w:pPr>
        <w:spacing w:after="120" w:before="120" w:line="320"/>
        <w:jc w:val="both"/>
      </w:pPr>
      <w:r>
        <w:rPr>
          <w:rFonts w:ascii="Arial" w:cs="Arial" w:eastAsia="Arial" w:hAnsi="Arial"/>
          <w:color w:val="555555"/>
          <w:sz w:val="22"/>
          <w:szCs w:val="22"/>
        </w:rPr>
        <w:t xml:space="preserve">The code has been verified with the following unit tests executed in a Python 3.12 environment with NumPy 2.x:</w:t>
      </w:r>
    </w:p>
    <w:p>
      <w:pPr>
        <w:pStyle w:val="ListParagraph"/>
        <w:numPr>
          <w:ilvl w:val="0"/>
          <w:numId w:val="2"/>
        </w:numPr>
        <w:spacing w:after="80" w:before="80" w:line="300"/>
      </w:pPr>
      <w:r>
        <w:rPr>
          <w:rFonts w:ascii="Arial" w:cs="Arial" w:eastAsia="Arial" w:hAnsi="Arial"/>
          <w:color w:val="555555"/>
          <w:sz w:val="22"/>
          <w:szCs w:val="22"/>
        </w:rPr>
        <w:t xml:space="preserve">f_SFR(z): reproduces the Madau &amp; Dickinson (2014) profile with peak at z ≈ 2 and normalization f_SFR(0) = 1.</w:t>
      </w:r>
    </w:p>
    <w:p>
      <w:pPr>
        <w:pStyle w:val="ListParagraph"/>
        <w:numPr>
          <w:ilvl w:val="0"/>
          <w:numId w:val="2"/>
        </w:numPr>
        <w:spacing w:after="80" w:before="80" w:line="300"/>
      </w:pPr>
      <w:r>
        <w:rPr>
          <w:rFonts w:ascii="Arial" w:cs="Arial" w:eastAsia="Arial" w:hAnsi="Arial"/>
          <w:color w:val="555555"/>
          <w:sz w:val="22"/>
          <w:szCs w:val="22"/>
        </w:rPr>
        <w:t xml:space="preserve">g_struct(z): decreases monotonically with z with characteristic scale z_struct = 0.5.</w:t>
      </w:r>
    </w:p>
    <w:p>
      <w:pPr>
        <w:pStyle w:val="ListParagraph"/>
        <w:numPr>
          <w:ilvl w:val="0"/>
          <w:numId w:val="2"/>
        </w:numPr>
        <w:spacing w:after="80" w:before="80" w:line="300"/>
      </w:pPr>
      <w:r>
        <w:rPr>
          <w:rFonts w:ascii="Arial" w:cs="Arial" w:eastAsia="Arial" w:hAnsi="Arial"/>
          <w:color w:val="555555"/>
          <w:sz w:val="22"/>
          <w:szCs w:val="22"/>
        </w:rPr>
        <w:t xml:space="preserve">h_ent(z): continuity verified at the Taylor/numerical transition at z = 0.05.</w:t>
      </w:r>
    </w:p>
    <w:p>
      <w:pPr>
        <w:pStyle w:val="ListParagraph"/>
        <w:numPr>
          <w:ilvl w:val="0"/>
          <w:numId w:val="2"/>
        </w:numPr>
        <w:spacing w:after="80" w:before="80" w:line="300"/>
      </w:pPr>
      <w:r>
        <w:rPr>
          <w:rFonts w:ascii="Arial" w:cs="Arial" w:eastAsia="Arial" w:hAnsi="Arial"/>
          <w:color w:val="555555"/>
          <w:sz w:val="22"/>
          <w:szCs w:val="22"/>
        </w:rPr>
        <w:t xml:space="preserve">H_THPE/H_ΛCDM = 1.000000 for α=β=γ=0 and Φ₀=Ω_Λ at z = [0.1, 0.5, 1.0, 2.0, 3.0].</w:t>
      </w:r>
    </w:p>
    <w:p>
      <w:pPr>
        <w:pStyle w:val="ListParagraph"/>
        <w:numPr>
          <w:ilvl w:val="0"/>
          <w:numId w:val="2"/>
        </w:numPr>
        <w:spacing w:after="80" w:before="80" w:line="300"/>
      </w:pPr>
      <w:r>
        <w:rPr>
          <w:rFonts w:ascii="Arial" w:cs="Arial" w:eastAsia="Arial" w:hAnsi="Arial"/>
          <w:color w:val="555555"/>
          <w:sz w:val="22"/>
          <w:szCs w:val="22"/>
        </w:rPr>
        <w:t xml:space="preserve">Φ(z) &gt; 0 verified for physically reasonable parameters at z ∈ [0.1, 4.5].</w:t>
      </w:r>
    </w:p>
    <w:p>
      <w:pPr>
        <w:pStyle w:val="ListParagraph"/>
        <w:numPr>
          <w:ilvl w:val="0"/>
          <w:numId w:val="2"/>
        </w:numPr>
        <w:spacing w:after="80" w:before="80" w:line="300"/>
      </w:pPr>
      <w:r>
        <w:rPr>
          <w:rFonts w:ascii="Arial" w:cs="Arial" w:eastAsia="Arial" w:hAnsi="Arial"/>
          <w:color w:val="555555"/>
          <w:sz w:val="22"/>
          <w:szCs w:val="22"/>
        </w:rPr>
        <w:t xml:space="preserve">Gelman-Rubin R̂ ≈ 1.000 for synthetically converged chains.</w:t>
      </w:r>
    </w:p>
    <w:p>
      <w:pPr>
        <w:pStyle w:val="ListParagraph"/>
        <w:numPr>
          <w:ilvl w:val="0"/>
          <w:numId w:val="2"/>
        </w:numPr>
        <w:spacing w:after="80" w:before="80" w:line="300"/>
      </w:pPr>
      <w:r>
        <w:rPr>
          <w:rFonts w:ascii="Arial" w:cs="Arial" w:eastAsia="Arial" w:hAnsi="Arial"/>
          <w:color w:val="555555"/>
          <w:sz w:val="22"/>
          <w:szCs w:val="22"/>
        </w:rPr>
        <w:t xml:space="preserve">Note: np.trapz is deprecated in NumPy 2.x; the code uses np.trapezoid.</w:t>
      </w:r>
    </w:p>
    <w:p>
      <w:pPr>
        <w:pBdr>
          <w:bottom w:val="single" w:color="CCDDEE"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8. Roadmap for publishable analysis</w:t>
      </w:r>
    </w:p>
    <w:p>
      <w:pPr>
        <w:spacing w:after="120" w:before="120" w:line="320"/>
        <w:jc w:val="both"/>
      </w:pPr>
      <w:r>
        <w:rPr>
          <w:rFonts w:ascii="Arial" w:cs="Arial" w:eastAsia="Arial" w:hAnsi="Arial"/>
          <w:color w:val="555555"/>
          <w:sz w:val="22"/>
          <w:szCs w:val="22"/>
        </w:rPr>
        <w:t xml:space="preserve">For the fitting results to be publishable in a peer-reviewed cosmology journal, the following additional steps are required:</w:t>
      </w:r>
    </w:p>
    <w:p>
      <w:pPr>
        <w:pStyle w:val="ListParagraph"/>
        <w:numPr>
          <w:ilvl w:val="0"/>
          <w:numId w:val="3"/>
        </w:numPr>
        <w:spacing w:after="80" w:before="80" w:line="300"/>
      </w:pPr>
      <w:r>
        <w:rPr>
          <w:rFonts w:ascii="Arial" w:cs="Arial" w:eastAsia="Arial" w:hAnsi="Arial"/>
          <w:color w:val="555555"/>
          <w:sz w:val="22"/>
          <w:szCs w:val="22"/>
        </w:rPr>
        <w:t xml:space="preserve">Download the actual DESI DR1 data and the full covariance matrix.</w:t>
      </w:r>
    </w:p>
    <w:p>
      <w:pPr>
        <w:pStyle w:val="ListParagraph"/>
        <w:numPr>
          <w:ilvl w:val="0"/>
          <w:numId w:val="3"/>
        </w:numPr>
        <w:spacing w:after="80" w:before="80" w:line="300"/>
      </w:pPr>
      <w:r>
        <w:rPr>
          <w:rFonts w:ascii="Arial" w:cs="Arial" w:eastAsia="Arial" w:hAnsi="Arial"/>
          <w:color w:val="555555"/>
          <w:sz w:val="22"/>
          <w:szCs w:val="22"/>
        </w:rPr>
        <w:t xml:space="preserve">Use the actual Pantheon+ data with its systematic covariance matrix.</w:t>
      </w:r>
    </w:p>
    <w:p>
      <w:pPr>
        <w:pStyle w:val="ListParagraph"/>
        <w:numPr>
          <w:ilvl w:val="0"/>
          <w:numId w:val="3"/>
        </w:numPr>
        <w:spacing w:after="80" w:before="80" w:line="300"/>
      </w:pPr>
      <w:r>
        <w:rPr>
          <w:rFonts w:ascii="Arial" w:cs="Arial" w:eastAsia="Arial" w:hAnsi="Arial"/>
          <w:color w:val="555555"/>
          <w:sz w:val="22"/>
          <w:szCs w:val="22"/>
        </w:rPr>
        <w:t xml:space="preserve">Increase n_steps = 20000 and n_burn = 5000 to guarantee full convergence.</w:t>
      </w:r>
    </w:p>
    <w:p>
      <w:pPr>
        <w:pStyle w:val="ListParagraph"/>
        <w:numPr>
          <w:ilvl w:val="0"/>
          <w:numId w:val="3"/>
        </w:numPr>
        <w:spacing w:after="80" w:before="80" w:line="300"/>
      </w:pPr>
      <w:r>
        <w:rPr>
          <w:rFonts w:ascii="Arial" w:cs="Arial" w:eastAsia="Arial" w:hAnsi="Arial"/>
          <w:color w:val="555555"/>
          <w:sz w:val="22"/>
          <w:szCs w:val="22"/>
        </w:rPr>
        <w:t xml:space="preserve">Verify R̂ &lt; 1.005 for all parameters.</w:t>
      </w:r>
    </w:p>
    <w:p>
      <w:pPr>
        <w:pStyle w:val="ListParagraph"/>
        <w:numPr>
          <w:ilvl w:val="0"/>
          <w:numId w:val="3"/>
        </w:numPr>
        <w:spacing w:after="80" w:before="80" w:line="300"/>
      </w:pPr>
      <w:r>
        <w:rPr>
          <w:rFonts w:ascii="Arial" w:cs="Arial" w:eastAsia="Arial" w:hAnsi="Arial"/>
          <w:color w:val="555555"/>
          <w:sz w:val="22"/>
          <w:szCs w:val="22"/>
        </w:rPr>
        <w:t xml:space="preserve">Replace the harmonic mean estimator with MultiNest (pymultinest) for Bayesian evidence.</w:t>
      </w:r>
    </w:p>
    <w:p>
      <w:pPr>
        <w:pStyle w:val="ListParagraph"/>
        <w:numPr>
          <w:ilvl w:val="0"/>
          <w:numId w:val="3"/>
        </w:numPr>
        <w:spacing w:after="80" w:before="80" w:line="300"/>
      </w:pPr>
      <w:r>
        <w:rPr>
          <w:rFonts w:ascii="Arial" w:cs="Arial" w:eastAsia="Arial" w:hAnsi="Arial"/>
          <w:color w:val="555555"/>
          <w:sz w:val="22"/>
          <w:szCs w:val="22"/>
        </w:rPr>
        <w:t xml:space="preserve">Validate the code with synthetic ΛCDM and w₀wₐCDM models to verify that parameter recovery is correct.</w:t>
      </w:r>
    </w:p>
    <w:p>
      <w:pPr>
        <w:pStyle w:val="ListParagraph"/>
        <w:numPr>
          <w:ilvl w:val="0"/>
          <w:numId w:val="3"/>
        </w:numPr>
        <w:spacing w:after="80" w:before="80" w:line="300"/>
      </w:pPr>
      <w:r>
        <w:rPr>
          <w:rFonts w:ascii="Arial" w:cs="Arial" w:eastAsia="Arial" w:hAnsi="Arial"/>
          <w:color w:val="555555"/>
          <w:sz w:val="22"/>
          <w:szCs w:val="22"/>
        </w:rPr>
        <w:t xml:space="preserve">Implement g_struct(z) with the full halo mass function using the hmf package.</w:t>
      </w:r>
    </w:p>
    <w:p>
      <w:pPr>
        <w:pBdr>
          <w:bottom w:val="single" w:color="CCDDEE" w:sz="4" w:space="1"/>
        </w:pBdr>
        <w:spacing w:after="200" w:before="200"/>
      </w:pPr>
      <w:r>
        <w:t xml:space="preserve"/>
      </w:r>
    </w:p>
    <w:p>
      <w:pPr>
        <w:spacing w:after="160" w:before="160" w:line="280"/>
        <w:ind w:left="720" w:right="720"/>
        <w:jc w:val="both"/>
      </w:pPr>
      <w:r>
        <w:rPr>
          <w:rFonts w:ascii="Arial" w:cs="Arial" w:eastAsia="Arial" w:hAnsi="Arial"/>
          <w:i/>
          <w:iCs/>
          <w:color w:val="444444"/>
          <w:sz w:val="20"/>
          <w:szCs w:val="20"/>
        </w:rPr>
        <w:t xml:space="preserve">"The universe does not forget. Neither does the code."</w:t>
      </w:r>
      <w:r>
        <w:rPr>
          <w:rFonts w:ascii="Arial" w:cs="Arial" w:eastAsia="Arial" w:hAnsi="Arial"/>
          <w:i/>
          <w:iCs/>
          <w:color w:val="888888"/>
          <w:sz w:val="18"/>
          <w:szCs w:val="18"/>
        </w:rPr>
        <w:t xml:space="preserve">  — M. Mora García &amp; Claude, 2026</w:t>
      </w:r>
    </w:p>
    <w:p>
      <w:pPr>
        <w:pBdr>
          <w:bottom w:val="single" w:color="CCDDEE" w:sz="4" w:space="1"/>
        </w:pBdr>
        <w:spacing w:after="200" w:before="200"/>
      </w:pPr>
      <w:r>
        <w:t xml:space="preserve"/>
      </w:r>
    </w:p>
    <w:p>
      <w:pPr>
        <w:spacing w:after="100" w:before="300"/>
        <w:jc w:val="center"/>
      </w:pPr>
      <w:r>
        <w:rPr>
          <w:rFonts w:ascii="Arial" w:cs="Arial" w:eastAsia="Arial" w:hAnsi="Arial"/>
          <w:b/>
          <w:bCs/>
          <w:color w:val="1A3A5C"/>
          <w:sz w:val="22"/>
          <w:szCs w:val="22"/>
        </w:rPr>
        <w:t>Authorship and acknowledgements</w:t>
      </w:r>
    </w:p>
    <w:p>
      <w:pPr>
        <w:spacing w:after="60" w:before="100"/>
        <w:jc w:val="center"/>
      </w:pPr>
      <w:r>
        <w:rPr>
          <w:rFonts w:ascii="Arial" w:cs="Arial" w:eastAsia="Arial" w:hAnsi="Arial"/>
          <w:i/>
          <w:iCs/>
          <w:color w:val="555555"/>
          <w:sz w:val="20"/>
          <w:szCs w:val="20"/>
        </w:rPr>
        <w:t xml:space="preserve">The structural intuition and conceptual architecture of THPE are the work of Moisés Mora García.</w:t>
      </w:r>
    </w:p>
    <w:p>
      <w:pPr>
        <w:spacing w:after="60" w:before="100"/>
        <w:jc w:val="center"/>
      </w:pPr>
      <w:r>
        <w:rPr>
          <w:rFonts w:ascii="Arial" w:cs="Arial" w:eastAsia="Arial" w:hAnsi="Arial"/>
          <w:i/>
          <w:iCs/>
          <w:color w:val="555555"/>
          <w:sz w:val="20"/>
          <w:szCs w:val="20"/>
        </w:rPr>
        <w:t>The aeronautical engineer Jorge Ordóñez Mora collaborates on the project from version 1.1, in engineering review, structural validation, and development of the Python fitting algorithm.</w:t>
      </w:r>
    </w:p>
    <w:p>
      <w:pPr>
        <w:spacing w:after="200" w:before="0"/>
        <w:jc w:val="center"/>
      </w:pPr>
      <w:r>
        <w:rPr>
          <w:rFonts w:ascii="Arial" w:cs="Arial" w:eastAsia="Arial" w:hAnsi="Arial"/>
          <w:i/>
          <w:iCs/>
          <w:color w:val="555555"/>
          <w:sz w:val="20"/>
          <w:szCs w:val="20"/>
        </w:rPr>
        <w:t>Claude (Anthropic) was used in the preparation of this work as an assistance tool for mathematical formalization, fitting code, and technical writing. Responsibility for the content lies with the human authors.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jc w:val="center"/>
    </w:pPr>
    <w:r>
      <w:rPr>
        <w:rFonts w:ascii="Arial" w:cs="Arial" w:eastAsia="Arial" w:hAnsi="Arial"/>
        <w:color w:val="888888"/>
        <w:sz w:val="18"/>
        <w:szCs w:val="18"/>
      </w:rPr>
      <w:t>Moisés Mora García &amp; Jorge Ordóñez Mora — Palma de Mallorca, Spain,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E" w:sz="4" w:space="4"/>
      </w:pBdr>
    </w:pPr>
    <w:r>
      <w:rPr>
        <w:rFonts w:ascii="Arial" w:cs="Arial" w:eastAsia="Arial" w:hAnsi="Arial"/>
        <w:i/>
        <w:iCs/>
        <w:color w:val="888888"/>
        <w:sz w:val="18"/>
        <w:szCs w:val="18"/>
      </w:rPr>
      <w:t xml:space="preserve">THPE v1.6 — Technical note on the fitting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6DA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2026-06-23T16:54:09.723Z</dcterms:created>
  <dcterms:modified xsi:type="dcterms:W3CDTF">2026-06-23T16:54:09.723Z</dcterms:modified>
</cp:coreProperties>
</file>

<file path=docProps/custom.xml><?xml version="1.0" encoding="utf-8"?>
<Properties xmlns="http://schemas.openxmlformats.org/officeDocument/2006/custom-properties" xmlns:vt="http://schemas.openxmlformats.org/officeDocument/2006/docPropsVTypes"/>
</file>