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D9E75"/>
          <w:sz w:val="72"/>
        </w:rPr>
        <w:t>PropPilot</w:t>
      </w:r>
    </w:p>
    <w:p>
      <w:pPr>
        <w:jc w:val="center"/>
      </w:pPr>
      <w:r>
        <w:rPr>
          <w:color w:val="5E5A52"/>
          <w:sz w:val="28"/>
        </w:rPr>
        <w:t>Your Property. Fully Understood.</w:t>
      </w:r>
    </w:p>
    <w:p/>
    <w:p>
      <w:pPr>
        <w:jc w:val="center"/>
      </w:pPr>
      <w:r>
        <w:rPr>
          <w:b/>
          <w:color w:val="1A1917"/>
          <w:sz w:val="44"/>
        </w:rPr>
        <w:t>Business Plan</w:t>
      </w:r>
    </w:p>
    <w:p>
      <w:pPr>
        <w:jc w:val="center"/>
      </w:pPr>
      <w:r>
        <w:rPr>
          <w:color w:val="9E998F"/>
          <w:sz w:val="22"/>
        </w:rPr>
        <w:t>April 2026  |  Confidential</w:t>
      </w:r>
    </w:p>
    <w:p/>
    <w:p/>
    <w:tbl>
      <w:tblPr>
        <w:tblStyle w:val="TableGrid"/>
        <w:tblW w:type="auto" w:w="0"/>
        <w:tblLook w:firstColumn="1" w:firstRow="1" w:lastColumn="0" w:lastRow="0" w:noHBand="0" w:noVBand="1" w:val="04A0"/>
      </w:tblPr>
      <w:tblGrid>
        <w:gridCol w:w="9406"/>
      </w:tblGrid>
      <w:tr>
        <w:tc>
          <w:tcPr>
            <w:tcW w:type="dxa" w:w="9406"/>
            <w:shd w:val="clear" w:color="auto" w:fill="F0FDF4"/>
            <w:tcW w:w="6120000" w:type="dxa"/>
          </w:tcPr>
          <w:p>
            <w:pPr>
              <w:spacing w:before="80" w:after="40"/>
              <w:ind w:left="170"/>
            </w:pPr>
            <w:r>
              <w:rPr>
                <w:b/>
                <w:color w:val="1D9E75"/>
                <w:sz w:val="22"/>
              </w:rPr>
              <w:t>PropPilot at a Glance</w:t>
            </w:r>
          </w:p>
          <w:p>
            <w:pPr>
              <w:spacing w:after="60"/>
              <w:ind w:left="170"/>
            </w:pPr>
            <w:r>
              <w:rPr>
                <w:color w:val="5E5A52"/>
                <w:sz w:val="20"/>
              </w:rPr>
              <w:t>Mission:   Democratise property intelligence for every buyer and homeowner in the UK.</w:t>
            </w:r>
          </w:p>
          <w:p>
            <w:pPr>
              <w:spacing w:after="60"/>
              <w:ind w:left="170"/>
            </w:pPr>
            <w:r>
              <w:rPr>
                <w:color w:val="5E5A52"/>
                <w:sz w:val="20"/>
              </w:rPr>
              <w:t>Market:    £2.4B UK proptech market, growing at 14% CAGR.</w:t>
            </w:r>
          </w:p>
          <w:p>
            <w:pPr>
              <w:spacing w:after="60"/>
              <w:ind w:left="170"/>
            </w:pPr>
            <w:r>
              <w:rPr>
                <w:color w:val="5E5A52"/>
                <w:sz w:val="20"/>
              </w:rPr>
              <w:t>Model:     SaaS subscriptions + professional services marketplace.</w:t>
            </w:r>
          </w:p>
          <w:p>
            <w:pPr>
              <w:spacing w:after="60"/>
              <w:ind w:left="170"/>
            </w:pPr>
            <w:r>
              <w:rPr>
                <w:color w:val="5E5A52"/>
                <w:sz w:val="20"/>
              </w:rPr>
              <w:t>Traction:  MVP live with two distinct user journeys (HomeBuyer / HomeOwner).</w:t>
            </w:r>
          </w:p>
          <w:p>
            <w:pPr>
              <w:spacing w:after="60"/>
              <w:ind w:left="170"/>
            </w:pPr>
            <w:r>
              <w:rPr>
                <w:color w:val="5E5A52"/>
                <w:sz w:val="20"/>
              </w:rPr>
              <w:t>Ask:       Seed round to fund engineering, marketing, and professional network growth.</w:t>
            </w:r>
          </w:p>
        </w:tc>
      </w:tr>
    </w:tbl>
    <w:p/>
    <w:p>
      <w:r>
        <w:br w:type="page"/>
      </w:r>
    </w:p>
    <w:p>
      <w:pPr>
        <w:pStyle w:val="Heading1"/>
        <w:spacing w:before="360" w:after="120"/>
      </w:pPr>
      <w:r>
        <w:rPr>
          <w:color w:val="1A1917"/>
        </w:rPr>
        <w:t>1. Executive Summary</w:t>
      </w:r>
    </w:p>
    <w:p>
      <w:pPr>
        <w:spacing w:after="120"/>
      </w:pPr>
      <w:r>
        <w:rPr>
          <w:b w:val="0"/>
          <w:color w:val="5E5A52"/>
          <w:sz w:val="22"/>
        </w:rPr>
        <w:t>PropPilot is a UK-focused property intelligence platform that gives homebuyers and homeowners the data, tools, and professional connections they need to make confident property decisions. Where legacy portals like Rightmove and Zoopla focus on discovery, PropPilot owns the post-discovery journey: due diligence, ongoing ownership, and professional services.</w:t>
      </w:r>
    </w:p>
    <w:p>
      <w:pPr>
        <w:spacing w:after="120"/>
      </w:pPr>
      <w:r>
        <w:rPr>
          <w:b w:val="0"/>
          <w:color w:val="5E5A52"/>
          <w:sz w:val="22"/>
        </w:rPr>
        <w:t>The UK property market generates over 1 million residential transactions per year. Despite this, the average buyer spends hundreds of hours manually gathering information from dozens of siloed government and commercial sources. PropPilot collapses this into a single platform — delivering automated reports, interactive checklists, financial calculators, and access to vetted professionals in minutes.</w:t>
      </w:r>
    </w:p>
    <w:p>
      <w:pPr>
        <w:spacing w:after="120"/>
      </w:pPr>
      <w:r>
        <w:rPr>
          <w:b w:val="0"/>
          <w:color w:val="5E5A52"/>
          <w:sz w:val="22"/>
        </w:rPr>
        <w:t>We serve two distinct personas with tailored product experiences:</w:t>
      </w:r>
    </w:p>
    <w:p>
      <w:pPr>
        <w:pStyle w:val="ListBullet"/>
        <w:spacing w:after="60"/>
        <w:ind w:left="340"/>
      </w:pPr>
      <w:r>
        <w:rPr>
          <w:color w:val="5E5A52"/>
          <w:sz w:val="22"/>
        </w:rPr>
        <w:t>HomeBuyers — people searching for, offering on, or completing on a UK property.</w:t>
      </w:r>
    </w:p>
    <w:p>
      <w:pPr>
        <w:pStyle w:val="ListBullet"/>
        <w:spacing w:after="60"/>
        <w:ind w:left="340"/>
      </w:pPr>
      <w:r>
        <w:rPr>
          <w:color w:val="5E5A52"/>
          <w:sz w:val="22"/>
        </w:rPr>
        <w:t>HomeOwners — people who already own a residential or rental property.</w:t>
      </w:r>
    </w:p>
    <w:p/>
    <w:p>
      <w:pPr>
        <w:spacing w:after="120"/>
      </w:pPr>
      <w:r>
        <w:rPr>
          <w:b w:val="0"/>
          <w:color w:val="5E5A52"/>
          <w:sz w:val="22"/>
        </w:rPr>
        <w:t>Revenue comes from monthly and annual SaaS subscriptions (Free / Pro / Enterprise tiers) supplemented by a high-margin professional services marketplace offering legal checks, structural surveys, gas safety certificates, and electrical installation condition reports (EICR).</w:t>
      </w:r>
    </w:p>
    <w:p>
      <w:pPr>
        <w:spacing w:before="160" w:after="160"/>
        <w:pBdr>
          <w:bottom w:val="single" w:sz="4" w:space="1" w:color="E2DDD6"/>
        </w:pBdr>
      </w:pPr>
    </w:p>
    <w:p>
      <w:pPr>
        <w:pStyle w:val="Heading1"/>
        <w:spacing w:before="360" w:after="120"/>
      </w:pPr>
      <w:r>
        <w:rPr>
          <w:color w:val="1A1917"/>
        </w:rPr>
        <w:t>2. The Problem</w:t>
      </w:r>
    </w:p>
    <w:p>
      <w:pPr>
        <w:spacing w:after="120"/>
      </w:pPr>
      <w:r>
        <w:rPr>
          <w:b w:val="0"/>
          <w:color w:val="5E5A52"/>
          <w:sz w:val="22"/>
        </w:rPr>
        <w:t>Buying and owning a home in the UK is one of the most financially significant decisions a person will ever make — yet the information required to do it well is scattered across dozens of disconnected sources: the Environment Agency, the Energy Performance Register, police.uk, Ofcom, the Valuation Office Agency, HM Land Registry, and more.</w:t>
      </w:r>
    </w:p>
    <w:p>
      <w:pPr>
        <w:pStyle w:val="Heading2"/>
        <w:spacing w:before="240" w:after="120"/>
      </w:pPr>
      <w:r>
        <w:rPr>
          <w:color w:val="1A1917"/>
        </w:rPr>
        <w:t>For HomeBuyers</w:t>
      </w:r>
    </w:p>
    <w:p>
      <w:pPr>
        <w:pStyle w:val="ListBullet"/>
        <w:spacing w:after="60"/>
        <w:ind w:left="340"/>
      </w:pPr>
      <w:r>
        <w:rPr>
          <w:color w:val="5E5A52"/>
          <w:sz w:val="22"/>
        </w:rPr>
        <w:t>No single place to run due diligence on a specific address before making an offer.</w:t>
      </w:r>
    </w:p>
    <w:p>
      <w:pPr>
        <w:pStyle w:val="ListBullet"/>
        <w:spacing w:after="60"/>
        <w:ind w:left="340"/>
      </w:pPr>
      <w:r>
        <w:rPr>
          <w:color w:val="5E5A52"/>
          <w:sz w:val="22"/>
        </w:rPr>
        <w:t>Flood risk, EPC band, crime rates, and broadband speed require four separate government websites.</w:t>
      </w:r>
    </w:p>
    <w:p>
      <w:pPr>
        <w:pStyle w:val="ListBullet"/>
        <w:spacing w:after="60"/>
        <w:ind w:left="340"/>
      </w:pPr>
      <w:r>
        <w:rPr>
          <w:color w:val="5E5A52"/>
          <w:sz w:val="22"/>
        </w:rPr>
        <w:t>Stamp Duty calculations are confusing, especially for first-time buyers and buy-to-let investors.</w:t>
      </w:r>
    </w:p>
    <w:p>
      <w:pPr>
        <w:pStyle w:val="ListBullet"/>
        <w:spacing w:after="60"/>
        <w:ind w:left="340"/>
      </w:pPr>
      <w:r>
        <w:rPr>
          <w:color w:val="5E5A52"/>
          <w:sz w:val="22"/>
        </w:rPr>
        <w:t>Sourcing and vetting solicitors, surveyors, and engineers is slow, opaque, and expensive.</w:t>
      </w:r>
    </w:p>
    <w:p>
      <w:pPr>
        <w:pStyle w:val="ListBullet"/>
        <w:spacing w:after="60"/>
        <w:ind w:left="340"/>
      </w:pPr>
      <w:r>
        <w:rPr>
          <w:color w:val="5E5A52"/>
          <w:sz w:val="22"/>
        </w:rPr>
        <w:t>Leasehold buyers routinely underestimate lease extension costs until it is too late.</w:t>
      </w:r>
    </w:p>
    <w:p>
      <w:pPr>
        <w:pStyle w:val="Heading2"/>
        <w:spacing w:before="240" w:after="120"/>
      </w:pPr>
      <w:r>
        <w:rPr>
          <w:color w:val="1A1917"/>
        </w:rPr>
        <w:t>For HomeOwners</w:t>
      </w:r>
    </w:p>
    <w:p>
      <w:pPr>
        <w:pStyle w:val="ListBullet"/>
        <w:spacing w:after="60"/>
        <w:ind w:left="340"/>
      </w:pPr>
      <w:r>
        <w:rPr>
          <w:color w:val="5E5A52"/>
          <w:sz w:val="22"/>
        </w:rPr>
        <w:t>No unified dashboard showing home value, equity, EPC rating, and mortgage status together.</w:t>
      </w:r>
    </w:p>
    <w:p>
      <w:pPr>
        <w:pStyle w:val="ListBullet"/>
        <w:spacing w:after="60"/>
        <w:ind w:left="340"/>
      </w:pPr>
      <w:r>
        <w:rPr>
          <w:color w:val="5E5A52"/>
          <w:sz w:val="22"/>
        </w:rPr>
        <w:t>Maintenance tasks are forgotten until they become costly emergencies.</w:t>
      </w:r>
    </w:p>
    <w:p>
      <w:pPr>
        <w:pStyle w:val="ListBullet"/>
        <w:spacing w:after="60"/>
        <w:ind w:left="340"/>
      </w:pPr>
      <w:r>
        <w:rPr>
          <w:color w:val="5E5A52"/>
          <w:sz w:val="22"/>
        </w:rPr>
        <w:t>Many owners are unaware of grants they qualify for (ECO4, Boiler Upgrade Scheme).</w:t>
      </w:r>
    </w:p>
    <w:p>
      <w:pPr>
        <w:pStyle w:val="ListBullet"/>
        <w:spacing w:after="60"/>
        <w:ind w:left="340"/>
      </w:pPr>
      <w:r>
        <w:rPr>
          <w:color w:val="5E5A52"/>
          <w:sz w:val="22"/>
        </w:rPr>
        <w:t>Fixed-rate mortgage expiry dates are frequently missed, costing thousands in reversion rates.</w:t>
      </w:r>
    </w:p>
    <w:p>
      <w:pPr>
        <w:pStyle w:val="ListBullet"/>
        <w:spacing w:after="60"/>
        <w:ind w:left="340"/>
      </w:pPr>
      <w:r>
        <w:rPr>
          <w:color w:val="5E5A52"/>
          <w:sz w:val="22"/>
        </w:rPr>
        <w:t>Landlords struggle to track gas safety, EICR, and EPC compliance across properties.</w:t>
      </w:r>
    </w:p>
    <w:p>
      <w:pPr>
        <w:spacing w:before="160" w:after="160"/>
        <w:pBdr>
          <w:bottom w:val="single" w:sz="4" w:space="1" w:color="E2DDD6"/>
        </w:pBdr>
      </w:pPr>
    </w:p>
    <w:p>
      <w:pPr>
        <w:pStyle w:val="Heading1"/>
        <w:spacing w:before="360" w:after="120"/>
      </w:pPr>
      <w:r>
        <w:rPr>
          <w:color w:val="1A1917"/>
        </w:rPr>
        <w:t>3. Our Solution</w:t>
      </w:r>
    </w:p>
    <w:p>
      <w:pPr>
        <w:spacing w:after="120"/>
      </w:pPr>
      <w:r>
        <w:rPr>
          <w:b w:val="0"/>
          <w:color w:val="5E5A52"/>
          <w:sz w:val="22"/>
        </w:rPr>
        <w:t>PropPilot delivers a single, intelligent platform with two role-specific product experiences. Users select their role at sign-up (HomeBuyer or HomeOwner) and are directed to a dashboard tailored to their needs. Each role has its own set of tools, pricing tiers, and professional service access.</w:t>
      </w:r>
    </w:p>
    <w:tbl>
      <w:tblPr>
        <w:tblStyle w:val="TableGrid"/>
        <w:tblW w:type="auto" w:w="0"/>
        <w:tblLook w:firstColumn="1" w:firstRow="1" w:lastColumn="0" w:lastRow="0" w:noHBand="0" w:noVBand="1" w:val="04A0"/>
      </w:tblPr>
      <w:tblGrid>
        <w:gridCol w:w="9406"/>
      </w:tblGrid>
      <w:tr>
        <w:tc>
          <w:tcPr>
            <w:tcW w:type="dxa" w:w="9406"/>
            <w:shd w:val="clear" w:color="auto" w:fill="F0FDF4"/>
            <w:tcW w:w="6120000" w:type="dxa"/>
          </w:tcPr>
          <w:p>
            <w:pPr>
              <w:spacing w:before="80" w:after="40"/>
              <w:ind w:left="170"/>
            </w:pPr>
            <w:r>
              <w:rPr>
                <w:b/>
                <w:color w:val="1D9E75"/>
                <w:sz w:val="22"/>
              </w:rPr>
              <w:t>Core principle: Right data. Right person. Right moment.</w:t>
            </w:r>
          </w:p>
          <w:p>
            <w:pPr>
              <w:spacing w:after="60"/>
              <w:ind w:left="170"/>
            </w:pPr>
            <w:r>
              <w:rPr>
                <w:color w:val="5E5A52"/>
                <w:sz w:val="20"/>
              </w:rPr>
              <w:t>A buyer needs flood risk before they make an offer — not after.</w:t>
            </w:r>
          </w:p>
          <w:p>
            <w:pPr>
              <w:spacing w:after="60"/>
              <w:ind w:left="170"/>
            </w:pPr>
            <w:r>
              <w:rPr>
                <w:color w:val="5E5A52"/>
                <w:sz w:val="20"/>
              </w:rPr>
              <w:t>An owner needs a remortgage alert six months before their fix ends — not when it has already lapsed.</w:t>
            </w:r>
          </w:p>
          <w:p>
            <w:pPr>
              <w:spacing w:after="60"/>
              <w:ind w:left="170"/>
            </w:pPr>
            <w:r>
              <w:rPr>
                <w:color w:val="5E5A52"/>
                <w:sz w:val="20"/>
              </w:rPr>
              <w:t>PropPilot delivers both with the same underlying platform.</w:t>
            </w:r>
          </w:p>
        </w:tc>
      </w:tr>
    </w:tbl>
    <w:p/>
    <w:p>
      <w:pPr>
        <w:spacing w:before="160" w:after="160"/>
        <w:pBdr>
          <w:bottom w:val="single" w:sz="4" w:space="1" w:color="E2DDD6"/>
        </w:pBdr>
      </w:pPr>
    </w:p>
    <w:p>
      <w:pPr>
        <w:pStyle w:val="Heading1"/>
        <w:spacing w:before="360" w:after="120"/>
      </w:pPr>
      <w:r>
        <w:rPr>
          <w:color w:val="1A1917"/>
        </w:rPr>
        <w:t>4. Features Built — Current MVP</w:t>
      </w:r>
    </w:p>
    <w:p>
      <w:pPr>
        <w:spacing w:after="120"/>
      </w:pPr>
      <w:r>
        <w:rPr>
          <w:b w:val="0"/>
          <w:color w:val="5E5A52"/>
          <w:sz w:val="22"/>
        </w:rPr>
        <w:t>The following features have been designed, built, and deployed as part of the PropPilot MVP. All tools are live at proppilot.co.uk with full buyer/owner role separation.</w:t>
      </w:r>
    </w:p>
    <w:p>
      <w:pPr>
        <w:pStyle w:val="Heading2"/>
        <w:spacing w:before="240" w:after="120"/>
      </w:pPr>
      <w:r>
        <w:rPr>
          <w:color w:val="1A1917"/>
        </w:rPr>
        <w:t>4.1  Authentication &amp; Role-Based Onboarding</w:t>
      </w:r>
    </w:p>
    <w:p>
      <w:pPr>
        <w:pStyle w:val="ListBullet"/>
        <w:spacing w:after="60"/>
        <w:ind w:left="340"/>
      </w:pPr>
      <w:r>
        <w:rPr>
          <w:color w:val="5E5A52"/>
          <w:sz w:val="22"/>
        </w:rPr>
        <w:t>Role picker at sign-up — users choose HomeBuyer or HomeOwner before creating an account.</w:t>
      </w:r>
    </w:p>
    <w:p>
      <w:pPr>
        <w:pStyle w:val="ListBullet"/>
        <w:spacing w:after="60"/>
        <w:ind w:left="340"/>
      </w:pPr>
      <w:r>
        <w:rPr>
          <w:color w:val="5E5A52"/>
          <w:sz w:val="22"/>
        </w:rPr>
        <w:t>Separate dashboards routed by role: /dashboard (owner) and /dashboard/buyer.</w:t>
      </w:r>
    </w:p>
    <w:p>
      <w:pPr>
        <w:pStyle w:val="ListBullet"/>
        <w:spacing w:after="60"/>
        <w:ind w:left="340"/>
      </w:pPr>
      <w:r>
        <w:rPr>
          <w:color w:val="5E5A52"/>
          <w:sz w:val="22"/>
        </w:rPr>
        <w:t>Three pricing tiers per role — Free, Pro, and Enterprise — with independent feature sets.</w:t>
      </w:r>
    </w:p>
    <w:p>
      <w:pPr>
        <w:pStyle w:val="ListBullet"/>
        <w:spacing w:after="60"/>
        <w:ind w:left="340"/>
      </w:pPr>
      <w:r>
        <w:rPr>
          <w:color w:val="5E5A52"/>
          <w:sz w:val="22"/>
        </w:rPr>
        <w:t>Demo accounts for both roles so prospects can explore before signing up.</w:t>
      </w:r>
    </w:p>
    <w:p>
      <w:pPr>
        <w:pStyle w:val="ListBullet"/>
        <w:spacing w:after="60"/>
        <w:ind w:left="340"/>
      </w:pPr>
      <w:r>
        <w:rPr>
          <w:color w:val="5E5A52"/>
          <w:sz w:val="22"/>
        </w:rPr>
        <w:t>Session persistence via localStorage with full sign-out support.</w:t>
      </w:r>
    </w:p>
    <w:p>
      <w:pPr>
        <w:pStyle w:val="Heading2"/>
        <w:spacing w:before="240" w:after="120"/>
      </w:pPr>
      <w:r>
        <w:rPr>
          <w:color w:val="1A1917"/>
        </w:rPr>
        <w:t>4.2  HomeBuyer Tools</w:t>
      </w:r>
    </w:p>
    <w:p>
      <w:pPr>
        <w:pStyle w:val="Heading3"/>
        <w:spacing w:before="240" w:after="120"/>
      </w:pPr>
      <w:r>
        <w:rPr>
          <w:color w:val="1A1917"/>
        </w:rPr>
        <w:t>Automated Property Due Diligence Report</w:t>
      </w:r>
    </w:p>
    <w:p>
      <w:pPr>
        <w:spacing w:after="120"/>
      </w:pPr>
      <w:r>
        <w:rPr>
          <w:b w:val="0"/>
          <w:color w:val="5E5A52"/>
          <w:sz w:val="22"/>
        </w:rPr>
        <w:t>Users enter any UK address and postcode and receive a live report covering five data sources in parallel:</w:t>
      </w:r>
    </w:p>
    <w:p>
      <w:pPr>
        <w:pStyle w:val="ListBullet"/>
        <w:spacing w:after="60"/>
        <w:ind w:left="340"/>
      </w:pPr>
      <w:r>
        <w:rPr>
          <w:color w:val="5E5A52"/>
          <w:sz w:val="22"/>
        </w:rPr>
        <w:t>Flood Risk — Environment Agency Flood Monitoring API (3km radius, active warnings and alerts).</w:t>
      </w:r>
    </w:p>
    <w:p>
      <w:pPr>
        <w:pStyle w:val="ListBullet"/>
        <w:spacing w:after="60"/>
        <w:ind w:left="340"/>
      </w:pPr>
      <w:r>
        <w:rPr>
          <w:color w:val="5E5A52"/>
          <w:sz w:val="22"/>
        </w:rPr>
        <w:t>EPC Rating — Energy Performance Certificate register lookup.</w:t>
      </w:r>
    </w:p>
    <w:p>
      <w:pPr>
        <w:pStyle w:val="ListBullet"/>
        <w:spacing w:after="60"/>
        <w:ind w:left="340"/>
      </w:pPr>
      <w:r>
        <w:rPr>
          <w:color w:val="5E5A52"/>
          <w:sz w:val="22"/>
        </w:rPr>
        <w:t>Crime Statistics — police.uk API breakdown by crime category with percentage bar charts.</w:t>
      </w:r>
    </w:p>
    <w:p>
      <w:pPr>
        <w:pStyle w:val="ListBullet"/>
        <w:spacing w:after="60"/>
        <w:ind w:left="340"/>
      </w:pPr>
      <w:r>
        <w:rPr>
          <w:color w:val="5E5A52"/>
          <w:sz w:val="22"/>
        </w:rPr>
        <w:t>Broadband Speed — Ofcom Fixed Line Broadband dataset for the postcode.</w:t>
      </w:r>
    </w:p>
    <w:p>
      <w:pPr>
        <w:pStyle w:val="ListBullet"/>
        <w:spacing w:after="60"/>
        <w:ind w:left="340"/>
      </w:pPr>
      <w:r>
        <w:rPr>
          <w:color w:val="5E5A52"/>
          <w:sz w:val="22"/>
        </w:rPr>
        <w:t>Council Tax — VOA Council Tax Bands by postcode.</w:t>
      </w:r>
    </w:p>
    <w:p>
      <w:pPr>
        <w:pStyle w:val="ListBullet"/>
        <w:spacing w:after="60"/>
        <w:ind w:left="340"/>
      </w:pPr>
      <w:r>
        <w:rPr>
          <w:color w:val="5E5A52"/>
          <w:sz w:val="22"/>
        </w:rPr>
        <w:t>Live progress indicators show check status while data loads.</w:t>
      </w:r>
    </w:p>
    <w:p>
      <w:pPr>
        <w:pStyle w:val="ListBullet"/>
        <w:spacing w:after="60"/>
        <w:ind w:left="340"/>
      </w:pPr>
      <w:r>
        <w:rPr>
          <w:color w:val="5E5A52"/>
          <w:sz w:val="22"/>
        </w:rPr>
        <w:t>PDF export using browser print (no third-party library required).</w:t>
      </w:r>
    </w:p>
    <w:p>
      <w:pPr>
        <w:pStyle w:val="Heading3"/>
        <w:spacing w:before="240" w:after="120"/>
      </w:pPr>
      <w:r>
        <w:rPr>
          <w:color w:val="1A1917"/>
        </w:rPr>
        <w:t>Property Buying Checklists</w:t>
      </w:r>
    </w:p>
    <w:p>
      <w:pPr>
        <w:pStyle w:val="ListBullet"/>
        <w:spacing w:after="60"/>
        <w:ind w:left="340"/>
      </w:pPr>
      <w:r>
        <w:rPr>
          <w:color w:val="5E5A52"/>
          <w:sz w:val="22"/>
        </w:rPr>
        <w:t>Three interactive checklists: First-Time Buyer, Standard Purchase, Buy-to-Let.</w:t>
      </w:r>
    </w:p>
    <w:p>
      <w:pPr>
        <w:pStyle w:val="ListBullet"/>
        <w:spacing w:after="60"/>
        <w:ind w:left="340"/>
      </w:pPr>
      <w:r>
        <w:rPr>
          <w:color w:val="5E5A52"/>
          <w:sz w:val="22"/>
        </w:rPr>
        <w:t>Items can be auto-satisfied by the property report (e.g. flood risk checked = ticked).</w:t>
      </w:r>
    </w:p>
    <w:p>
      <w:pPr>
        <w:pStyle w:val="ListBullet"/>
        <w:spacing w:after="60"/>
        <w:ind w:left="340"/>
      </w:pPr>
      <w:r>
        <w:rPr>
          <w:color w:val="5E5A52"/>
          <w:sz w:val="22"/>
        </w:rPr>
        <w:t>Risk scoring matrix to compare multiple properties side by side.</w:t>
      </w:r>
    </w:p>
    <w:p>
      <w:pPr>
        <w:pStyle w:val="Heading3"/>
        <w:spacing w:before="240" w:after="120"/>
      </w:pPr>
      <w:r>
        <w:rPr>
          <w:color w:val="1A1917"/>
        </w:rPr>
        <w:t>Financial Calculators</w:t>
      </w:r>
    </w:p>
    <w:p>
      <w:pPr>
        <w:pStyle w:val="ListBullet"/>
        <w:spacing w:after="60"/>
        <w:ind w:left="340"/>
      </w:pPr>
      <w:r>
        <w:rPr>
          <w:color w:val="5E5A52"/>
          <w:sz w:val="22"/>
        </w:rPr>
        <w:t>Stamp Duty Land Tax (SDLT) calculator — includes FTB relief and 3% additional property surcharge.</w:t>
      </w:r>
    </w:p>
    <w:p>
      <w:pPr>
        <w:pStyle w:val="ListBullet"/>
        <w:spacing w:after="60"/>
        <w:ind w:left="340"/>
      </w:pPr>
      <w:r>
        <w:rPr>
          <w:color w:val="5E5A52"/>
          <w:sz w:val="22"/>
        </w:rPr>
        <w:t>Lease Extension Premium estimator — uses the 1993 Leasehold Reform Act formula.</w:t>
      </w:r>
    </w:p>
    <w:p>
      <w:pPr>
        <w:pStyle w:val="Heading3"/>
        <w:spacing w:before="240" w:after="120"/>
      </w:pPr>
      <w:r>
        <w:rPr>
          <w:color w:val="1A1917"/>
        </w:rPr>
        <w:t>Homebuyer Check</w:t>
      </w:r>
    </w:p>
    <w:p>
      <w:pPr>
        <w:pStyle w:val="ListBullet"/>
        <w:spacing w:after="60"/>
        <w:ind w:left="340"/>
      </w:pPr>
      <w:r>
        <w:rPr>
          <w:color w:val="5E5A52"/>
          <w:sz w:val="22"/>
        </w:rPr>
        <w:t>Full automated due diligence entry point from the landing page (/homebuyer) — no login required.</w:t>
      </w:r>
    </w:p>
    <w:p>
      <w:pPr>
        <w:pStyle w:val="Heading2"/>
        <w:spacing w:before="240" w:after="120"/>
      </w:pPr>
      <w:r>
        <w:rPr>
          <w:color w:val="1A1917"/>
        </w:rPr>
        <w:t>4.3  HomeOwner Tools</w:t>
      </w:r>
    </w:p>
    <w:p>
      <w:pPr>
        <w:pStyle w:val="Heading3"/>
        <w:spacing w:before="240" w:after="120"/>
      </w:pPr>
      <w:r>
        <w:rPr>
          <w:color w:val="1A1917"/>
        </w:rPr>
        <w:t>Property Dashboard</w:t>
      </w:r>
    </w:p>
    <w:p>
      <w:pPr>
        <w:pStyle w:val="ListBullet"/>
        <w:spacing w:after="60"/>
        <w:ind w:left="340"/>
      </w:pPr>
      <w:r>
        <w:rPr>
          <w:color w:val="5E5A52"/>
          <w:sz w:val="22"/>
        </w:rPr>
        <w:t>Current estimated home value and equity position.</w:t>
      </w:r>
    </w:p>
    <w:p>
      <w:pPr>
        <w:pStyle w:val="ListBullet"/>
        <w:spacing w:after="60"/>
        <w:ind w:left="340"/>
      </w:pPr>
      <w:r>
        <w:rPr>
          <w:color w:val="5E5A52"/>
          <w:sz w:val="22"/>
        </w:rPr>
        <w:t>EPC rating display with upgrade pathway link.</w:t>
      </w:r>
    </w:p>
    <w:p>
      <w:pPr>
        <w:pStyle w:val="ListBullet"/>
        <w:spacing w:after="60"/>
        <w:ind w:left="340"/>
      </w:pPr>
      <w:r>
        <w:rPr>
          <w:color w:val="5E5A52"/>
          <w:sz w:val="22"/>
        </w:rPr>
        <w:t>Mortgage rate and fix-end date tracking.</w:t>
      </w:r>
    </w:p>
    <w:p>
      <w:pPr>
        <w:pStyle w:val="ListBullet"/>
        <w:spacing w:after="60"/>
        <w:ind w:left="340"/>
      </w:pPr>
      <w:r>
        <w:rPr>
          <w:color w:val="5E5A52"/>
          <w:sz w:val="22"/>
        </w:rPr>
        <w:t>Linked to Land Registry and EPC register data.</w:t>
      </w:r>
    </w:p>
    <w:p>
      <w:pPr>
        <w:pStyle w:val="Heading3"/>
        <w:spacing w:before="240" w:after="120"/>
      </w:pPr>
      <w:r>
        <w:rPr>
          <w:color w:val="1A1917"/>
        </w:rPr>
        <w:t>EPC Upgrade Planner</w:t>
      </w:r>
    </w:p>
    <w:p>
      <w:pPr>
        <w:pStyle w:val="ListBullet"/>
        <w:spacing w:after="60"/>
        <w:ind w:left="340"/>
      </w:pPr>
      <w:r>
        <w:rPr>
          <w:color w:val="5E5A52"/>
          <w:sz w:val="22"/>
        </w:rPr>
        <w:t>Current EPC band with recommended improvements.</w:t>
      </w:r>
    </w:p>
    <w:p>
      <w:pPr>
        <w:pStyle w:val="ListBullet"/>
        <w:spacing w:after="60"/>
        <w:ind w:left="340"/>
      </w:pPr>
      <w:r>
        <w:rPr>
          <w:color w:val="5E5A52"/>
          <w:sz w:val="22"/>
        </w:rPr>
        <w:t>Grant eligibility check — ECO4, Boiler Upgrade Scheme, and Great British Insulation Scheme.</w:t>
      </w:r>
    </w:p>
    <w:p>
      <w:pPr>
        <w:pStyle w:val="ListBullet"/>
        <w:spacing w:after="60"/>
        <w:ind w:left="340"/>
      </w:pPr>
      <w:r>
        <w:rPr>
          <w:color w:val="5E5A52"/>
          <w:sz w:val="22"/>
        </w:rPr>
        <w:t>Estimated cost vs. saving breakdown for each recommended measure.</w:t>
      </w:r>
    </w:p>
    <w:p>
      <w:pPr>
        <w:pStyle w:val="Heading3"/>
        <w:spacing w:before="240" w:after="120"/>
      </w:pPr>
      <w:r>
        <w:rPr>
          <w:color w:val="1A1917"/>
        </w:rPr>
        <w:t>Maintenance Calendar</w:t>
      </w:r>
    </w:p>
    <w:p>
      <w:pPr>
        <w:pStyle w:val="ListBullet"/>
        <w:spacing w:after="60"/>
        <w:ind w:left="340"/>
      </w:pPr>
      <w:r>
        <w:rPr>
          <w:color w:val="5E5A52"/>
          <w:sz w:val="22"/>
        </w:rPr>
        <w:t>Scheduled maintenance task tracking (boiler service, gas check, gutter clean, etc.).</w:t>
      </w:r>
    </w:p>
    <w:p>
      <w:pPr>
        <w:pStyle w:val="ListBullet"/>
        <w:spacing w:after="60"/>
        <w:ind w:left="340"/>
      </w:pPr>
      <w:r>
        <w:rPr>
          <w:color w:val="5E5A52"/>
          <w:sz w:val="22"/>
        </w:rPr>
        <w:t>Email reminders before tasks are due (Pro feature).</w:t>
      </w:r>
    </w:p>
    <w:p>
      <w:pPr>
        <w:pStyle w:val="Heading3"/>
        <w:spacing w:before="240" w:after="120"/>
      </w:pPr>
      <w:r>
        <w:rPr>
          <w:color w:val="1A1917"/>
        </w:rPr>
        <w:t>Document Vault</w:t>
      </w:r>
    </w:p>
    <w:p>
      <w:pPr>
        <w:pStyle w:val="ListBullet"/>
        <w:spacing w:after="60"/>
        <w:ind w:left="340"/>
      </w:pPr>
      <w:r>
        <w:rPr>
          <w:color w:val="5E5A52"/>
          <w:sz w:val="22"/>
        </w:rPr>
        <w:t>Secure upload and storage for EPC certificate, survey, gas safety record, EICR, warranties.</w:t>
      </w:r>
    </w:p>
    <w:p>
      <w:pPr>
        <w:pStyle w:val="ListBullet"/>
        <w:spacing w:after="60"/>
        <w:ind w:left="340"/>
      </w:pPr>
      <w:r>
        <w:rPr>
          <w:color w:val="5E5A52"/>
          <w:sz w:val="22"/>
        </w:rPr>
        <w:t>Accessible anywhere; up to 3 docs free, unlimited on Pro.</w:t>
      </w:r>
    </w:p>
    <w:p>
      <w:pPr>
        <w:pStyle w:val="Heading3"/>
        <w:spacing w:before="240" w:after="120"/>
      </w:pPr>
      <w:r>
        <w:rPr>
          <w:color w:val="1A1917"/>
        </w:rPr>
        <w:t>Remortgage Radar</w:t>
      </w:r>
    </w:p>
    <w:p>
      <w:pPr>
        <w:pStyle w:val="ListBullet"/>
        <w:spacing w:after="60"/>
        <w:ind w:left="340"/>
      </w:pPr>
      <w:r>
        <w:rPr>
          <w:color w:val="5E5A52"/>
          <w:sz w:val="22"/>
        </w:rPr>
        <w:t>User enters mortgage fix-end date.</w:t>
      </w:r>
    </w:p>
    <w:p>
      <w:pPr>
        <w:pStyle w:val="ListBullet"/>
        <w:spacing w:after="60"/>
        <w:ind w:left="340"/>
      </w:pPr>
      <w:r>
        <w:rPr>
          <w:color w:val="5E5A52"/>
          <w:sz w:val="22"/>
        </w:rPr>
        <w:t>Alert sent 6 months before expiry to prompt remortgage action.</w:t>
      </w:r>
    </w:p>
    <w:p>
      <w:pPr>
        <w:pStyle w:val="Heading2"/>
        <w:spacing w:before="240" w:after="120"/>
      </w:pPr>
      <w:r>
        <w:rPr>
          <w:color w:val="1A1917"/>
        </w:rPr>
        <w:t>4.4  Professional Services Marketplace</w:t>
      </w:r>
    </w:p>
    <w:p>
      <w:pPr>
        <w:spacing w:after="120"/>
      </w:pPr>
      <w:r>
        <w:rPr>
          <w:b w:val="0"/>
          <w:color w:val="5E5A52"/>
          <w:sz w:val="22"/>
        </w:rPr>
        <w:t>Displayed within the property report and buyer/owner dashboards. Four services available at launch, with Pro/Enterprise members receiving 10% off all bookings:</w:t>
      </w:r>
    </w:p>
    <w:tbl>
      <w:tblPr>
        <w:tblStyle w:val="TableGrid"/>
        <w:tblW w:type="auto" w:w="0"/>
        <w:tblLook w:firstColumn="1" w:firstRow="1" w:lastColumn="0" w:lastRow="0" w:noHBand="0" w:noVBand="1" w:val="04A0"/>
      </w:tblPr>
      <w:tblGrid>
        <w:gridCol w:w="3135"/>
        <w:gridCol w:w="3135"/>
        <w:gridCol w:w="3135"/>
      </w:tblGrid>
      <w:tr>
        <w:trPr>
          <w:trHeight w:val="440"/>
        </w:trPr>
        <w:tc>
          <w:tcPr>
            <w:tcW w:type="dxa" w:w="3135"/>
            <w:vAlign w:val="center"/>
            <w:tcW w:w="2160000" w:type="dxa"/>
            <w:shd w:val="clear" w:color="auto" w:fill="1D9E75"/>
          </w:tcPr>
          <w:p>
            <w:pPr>
              <w:spacing w:before="60" w:after="60"/>
              <w:ind w:left="113"/>
            </w:pPr>
            <w:r>
              <w:rPr>
                <w:b/>
                <w:color w:val="FFFFFF"/>
                <w:sz w:val="20"/>
              </w:rPr>
              <w:t>Service</w:t>
            </w:r>
          </w:p>
        </w:tc>
        <w:tc>
          <w:tcPr>
            <w:tcW w:type="dxa" w:w="3135"/>
            <w:vAlign w:val="center"/>
            <w:tcW w:w="1260000" w:type="dxa"/>
            <w:shd w:val="clear" w:color="auto" w:fill="1D9E75"/>
          </w:tcPr>
          <w:p>
            <w:pPr>
              <w:spacing w:before="60" w:after="60"/>
              <w:ind w:left="113"/>
            </w:pPr>
            <w:r>
              <w:rPr>
                <w:b/>
                <w:color w:val="FFFFFF"/>
                <w:sz w:val="20"/>
              </w:rPr>
              <w:t>Starting price</w:t>
            </w:r>
          </w:p>
        </w:tc>
        <w:tc>
          <w:tcPr>
            <w:tcW w:type="dxa" w:w="3135"/>
            <w:vAlign w:val="center"/>
            <w:tcW w:w="2520000" w:type="dxa"/>
            <w:shd w:val="clear" w:color="auto" w:fill="1D9E75"/>
          </w:tcPr>
          <w:p>
            <w:pPr>
              <w:spacing w:before="60" w:after="60"/>
              <w:ind w:left="113"/>
            </w:pPr>
            <w:r>
              <w:rPr>
                <w:b/>
                <w:color w:val="FFFFFF"/>
                <w:sz w:val="20"/>
              </w:rPr>
              <w:t>Description</w:t>
            </w:r>
          </w:p>
        </w:tc>
      </w:tr>
      <w:tr>
        <w:trPr>
          <w:trHeight w:val="440"/>
        </w:trPr>
        <w:tc>
          <w:tcPr>
            <w:tcW w:type="dxa" w:w="3135"/>
            <w:vAlign w:val="center"/>
            <w:tcW w:w="2160000" w:type="dxa"/>
          </w:tcPr>
          <w:p>
            <w:pPr>
              <w:spacing w:before="60" w:after="60"/>
              <w:ind w:left="113"/>
            </w:pPr>
            <w:r>
              <w:rPr>
                <w:b w:val="0"/>
                <w:color w:val="1A1917"/>
                <w:sz w:val="20"/>
              </w:rPr>
              <w:t>Title Register &amp; Legal Checks</w:t>
            </w:r>
          </w:p>
        </w:tc>
        <w:tc>
          <w:tcPr>
            <w:tcW w:type="dxa" w:w="3135"/>
            <w:vAlign w:val="center"/>
            <w:tcW w:w="1260000" w:type="dxa"/>
          </w:tcPr>
          <w:p>
            <w:pPr>
              <w:spacing w:before="60" w:after="60"/>
              <w:ind w:left="113"/>
            </w:pPr>
            <w:r>
              <w:rPr>
                <w:b w:val="0"/>
                <w:color w:val="5E5A52"/>
                <w:sz w:val="20"/>
              </w:rPr>
              <w:t>from £800</w:t>
            </w:r>
          </w:p>
        </w:tc>
        <w:tc>
          <w:tcPr>
            <w:tcW w:type="dxa" w:w="3135"/>
            <w:vAlign w:val="center"/>
            <w:tcW w:w="2520000" w:type="dxa"/>
          </w:tcPr>
          <w:p>
            <w:pPr>
              <w:spacing w:before="60" w:after="60"/>
              <w:ind w:left="113"/>
            </w:pPr>
            <w:r>
              <w:rPr>
                <w:b w:val="0"/>
                <w:color w:val="5E5A52"/>
                <w:sz w:val="20"/>
              </w:rPr>
              <w:t>Solicitor review of title, covenants and searches</w:t>
            </w:r>
          </w:p>
        </w:tc>
      </w:tr>
      <w:tr>
        <w:trPr>
          <w:trHeight w:val="440"/>
        </w:trPr>
        <w:tc>
          <w:tcPr>
            <w:tcW w:type="dxa" w:w="3135"/>
            <w:vAlign w:val="center"/>
            <w:tcW w:w="2160000" w:type="dxa"/>
          </w:tcPr>
          <w:p>
            <w:pPr>
              <w:spacing w:before="60" w:after="60"/>
              <w:ind w:left="113"/>
            </w:pPr>
            <w:r>
              <w:rPr>
                <w:b w:val="0"/>
                <w:color w:val="1A1917"/>
                <w:sz w:val="20"/>
              </w:rPr>
              <w:t>Structural Survey (RICS Level 2/3)</w:t>
            </w:r>
          </w:p>
        </w:tc>
        <w:tc>
          <w:tcPr>
            <w:tcW w:type="dxa" w:w="3135"/>
            <w:vAlign w:val="center"/>
            <w:tcW w:w="1260000" w:type="dxa"/>
          </w:tcPr>
          <w:p>
            <w:pPr>
              <w:spacing w:before="60" w:after="60"/>
              <w:ind w:left="113"/>
            </w:pPr>
            <w:r>
              <w:rPr>
                <w:b w:val="0"/>
                <w:color w:val="5E5A52"/>
                <w:sz w:val="20"/>
              </w:rPr>
              <w:t>from £500</w:t>
            </w:r>
          </w:p>
        </w:tc>
        <w:tc>
          <w:tcPr>
            <w:tcW w:type="dxa" w:w="3135"/>
            <w:vAlign w:val="center"/>
            <w:tcW w:w="2520000" w:type="dxa"/>
          </w:tcPr>
          <w:p>
            <w:pPr>
              <w:spacing w:before="60" w:after="60"/>
              <w:ind w:left="113"/>
            </w:pPr>
            <w:r>
              <w:rPr>
                <w:b w:val="0"/>
                <w:color w:val="5E5A52"/>
                <w:sz w:val="20"/>
              </w:rPr>
              <w:t>Full building inspection with condition ratings</w:t>
            </w:r>
          </w:p>
        </w:tc>
      </w:tr>
      <w:tr>
        <w:trPr>
          <w:trHeight w:val="440"/>
        </w:trPr>
        <w:tc>
          <w:tcPr>
            <w:tcW w:type="dxa" w:w="3135"/>
            <w:vAlign w:val="center"/>
            <w:tcW w:w="2160000" w:type="dxa"/>
          </w:tcPr>
          <w:p>
            <w:pPr>
              <w:spacing w:before="60" w:after="60"/>
              <w:ind w:left="113"/>
            </w:pPr>
            <w:r>
              <w:rPr>
                <w:b w:val="0"/>
                <w:color w:val="1A1917"/>
                <w:sz w:val="20"/>
              </w:rPr>
              <w:t>Gas Safety Certificate (CP12)</w:t>
            </w:r>
          </w:p>
        </w:tc>
        <w:tc>
          <w:tcPr>
            <w:tcW w:type="dxa" w:w="3135"/>
            <w:vAlign w:val="center"/>
            <w:tcW w:w="1260000" w:type="dxa"/>
          </w:tcPr>
          <w:p>
            <w:pPr>
              <w:spacing w:before="60" w:after="60"/>
              <w:ind w:left="113"/>
            </w:pPr>
            <w:r>
              <w:rPr>
                <w:b w:val="0"/>
                <w:color w:val="5E5A52"/>
                <w:sz w:val="20"/>
              </w:rPr>
              <w:t>from £60</w:t>
            </w:r>
          </w:p>
        </w:tc>
        <w:tc>
          <w:tcPr>
            <w:tcW w:type="dxa" w:w="3135"/>
            <w:vAlign w:val="center"/>
            <w:tcW w:w="2520000" w:type="dxa"/>
          </w:tcPr>
          <w:p>
            <w:pPr>
              <w:spacing w:before="60" w:after="60"/>
              <w:ind w:left="113"/>
            </w:pPr>
            <w:r>
              <w:rPr>
                <w:b w:val="0"/>
                <w:color w:val="5E5A52"/>
                <w:sz w:val="20"/>
              </w:rPr>
              <w:t>Gas Safe registered engineer — all appliances</w:t>
            </w:r>
          </w:p>
        </w:tc>
      </w:tr>
      <w:tr>
        <w:trPr>
          <w:trHeight w:val="440"/>
        </w:trPr>
        <w:tc>
          <w:tcPr>
            <w:tcW w:type="dxa" w:w="3135"/>
            <w:vAlign w:val="center"/>
            <w:tcW w:w="2160000" w:type="dxa"/>
          </w:tcPr>
          <w:p>
            <w:pPr>
              <w:spacing w:before="60" w:after="60"/>
              <w:ind w:left="113"/>
            </w:pPr>
            <w:r>
              <w:rPr>
                <w:b w:val="0"/>
                <w:color w:val="1A1917"/>
                <w:sz w:val="20"/>
              </w:rPr>
              <w:t>EICR Electrical Report</w:t>
            </w:r>
          </w:p>
        </w:tc>
        <w:tc>
          <w:tcPr>
            <w:tcW w:type="dxa" w:w="3135"/>
            <w:vAlign w:val="center"/>
            <w:tcW w:w="1260000" w:type="dxa"/>
          </w:tcPr>
          <w:p>
            <w:pPr>
              <w:spacing w:before="60" w:after="60"/>
              <w:ind w:left="113"/>
            </w:pPr>
            <w:r>
              <w:rPr>
                <w:b w:val="0"/>
                <w:color w:val="5E5A52"/>
                <w:sz w:val="20"/>
              </w:rPr>
              <w:t>from £150</w:t>
            </w:r>
          </w:p>
        </w:tc>
        <w:tc>
          <w:tcPr>
            <w:tcW w:type="dxa" w:w="3135"/>
            <w:vAlign w:val="center"/>
            <w:tcW w:w="2520000" w:type="dxa"/>
          </w:tcPr>
          <w:p>
            <w:pPr>
              <w:spacing w:before="60" w:after="60"/>
              <w:ind w:left="113"/>
            </w:pPr>
            <w:r>
              <w:rPr>
                <w:b w:val="0"/>
                <w:color w:val="5E5A52"/>
                <w:sz w:val="20"/>
              </w:rPr>
              <w:t>Full electrical installation condition report</w:t>
            </w:r>
          </w:p>
        </w:tc>
      </w:tr>
    </w:tbl>
    <w:p/>
    <w:p>
      <w:pPr>
        <w:pStyle w:val="Heading2"/>
        <w:spacing w:before="240" w:after="120"/>
      </w:pPr>
      <w:r>
        <w:rPr>
          <w:color w:val="1A1917"/>
        </w:rPr>
        <w:t>4.5  Pricing Tiers</w:t>
      </w:r>
    </w:p>
    <w:p>
      <w:pPr>
        <w:spacing w:after="120"/>
      </w:pPr>
      <w:r>
        <w:rPr>
          <w:b w:val="0"/>
          <w:color w:val="5E5A52"/>
          <w:sz w:val="22"/>
        </w:rPr>
        <w:t>Two separate pricing tracks — one per user role:</w:t>
      </w:r>
    </w:p>
    <w:tbl>
      <w:tblPr>
        <w:tblStyle w:val="TableGrid"/>
        <w:tblW w:type="auto" w:w="0"/>
        <w:tblLook w:firstColumn="1" w:firstRow="1" w:lastColumn="0" w:lastRow="0" w:noHBand="0" w:noVBand="1" w:val="04A0"/>
      </w:tblPr>
      <w:tblGrid>
        <w:gridCol w:w="4703"/>
        <w:gridCol w:w="4703"/>
      </w:tblGrid>
      <w:tr>
        <w:trPr>
          <w:trHeight w:val="440"/>
        </w:trPr>
        <w:tc>
          <w:tcPr>
            <w:tcW w:type="dxa" w:w="4703"/>
            <w:vAlign w:val="center"/>
            <w:tcW w:w="1800000" w:type="dxa"/>
            <w:shd w:val="clear" w:color="auto" w:fill="1D9E75"/>
          </w:tcPr>
          <w:p>
            <w:pPr>
              <w:spacing w:before="60" w:after="60"/>
              <w:ind w:left="113"/>
            </w:pPr>
            <w:r>
              <w:rPr>
                <w:b/>
                <w:color w:val="FFFFFF"/>
                <w:sz w:val="20"/>
              </w:rPr>
              <w:t>HomeBuyer Plans</w:t>
            </w:r>
          </w:p>
        </w:tc>
        <w:tc>
          <w:tcPr>
            <w:tcW w:type="dxa" w:w="4703"/>
            <w:vAlign w:val="center"/>
            <w:tcW w:w="4320000" w:type="dxa"/>
            <w:shd w:val="clear" w:color="auto" w:fill="1D9E75"/>
          </w:tcPr>
          <w:p>
            <w:pPr>
              <w:spacing w:before="60" w:after="60"/>
              <w:ind w:left="113"/>
            </w:pPr>
            <w:r>
              <w:rPr>
                <w:b/>
                <w:color w:val="FFFFFF"/>
                <w:sz w:val="20"/>
              </w:rPr>
            </w:r>
          </w:p>
        </w:tc>
      </w:tr>
      <w:tr>
        <w:trPr>
          <w:trHeight w:val="440"/>
        </w:trPr>
        <w:tc>
          <w:tcPr>
            <w:tcW w:type="dxa" w:w="4703"/>
            <w:vAlign w:val="center"/>
            <w:tcW w:w="1800000" w:type="dxa"/>
          </w:tcPr>
          <w:p>
            <w:pPr>
              <w:spacing w:before="60" w:after="60"/>
              <w:ind w:left="113"/>
            </w:pPr>
            <w:r>
              <w:rPr>
                <w:b w:val="0"/>
                <w:color w:val="1A1917"/>
                <w:sz w:val="20"/>
              </w:rPr>
              <w:t>Free — £0/mo</w:t>
            </w:r>
          </w:p>
        </w:tc>
        <w:tc>
          <w:tcPr>
            <w:tcW w:type="dxa" w:w="4703"/>
            <w:vAlign w:val="center"/>
            <w:tcW w:w="4320000" w:type="dxa"/>
          </w:tcPr>
          <w:p>
            <w:pPr>
              <w:spacing w:before="60" w:after="60"/>
              <w:ind w:left="113"/>
            </w:pPr>
            <w:r>
              <w:rPr>
                <w:b w:val="0"/>
                <w:color w:val="5E5A52"/>
                <w:sz w:val="20"/>
              </w:rPr>
              <w:t>3 property reports/mo, buying checklists, Stamp Duty &amp; Lease Extension calculators</w:t>
            </w:r>
          </w:p>
        </w:tc>
      </w:tr>
      <w:tr>
        <w:trPr>
          <w:trHeight w:val="440"/>
        </w:trPr>
        <w:tc>
          <w:tcPr>
            <w:tcW w:type="dxa" w:w="4703"/>
            <w:vAlign w:val="center"/>
            <w:tcW w:w="1800000" w:type="dxa"/>
          </w:tcPr>
          <w:p>
            <w:pPr>
              <w:spacing w:before="60" w:after="60"/>
              <w:ind w:left="113"/>
            </w:pPr>
            <w:r>
              <w:rPr>
                <w:b w:val="0"/>
                <w:color w:val="1A1917"/>
                <w:sz w:val="20"/>
              </w:rPr>
              <w:t>Pro — £19/mo</w:t>
            </w:r>
          </w:p>
        </w:tc>
        <w:tc>
          <w:tcPr>
            <w:tcW w:type="dxa" w:w="4703"/>
            <w:vAlign w:val="center"/>
            <w:tcW w:w="4320000" w:type="dxa"/>
          </w:tcPr>
          <w:p>
            <w:pPr>
              <w:spacing w:before="60" w:after="60"/>
              <w:ind w:left="113"/>
            </w:pPr>
            <w:r>
              <w:rPr>
                <w:b w:val="0"/>
                <w:color w:val="5E5A52"/>
                <w:sz w:val="20"/>
              </w:rPr>
              <w:t>Unlimited reports, EPC lookup, PDF downloads, save &amp; compare 10 properties, 10% off professional services</w:t>
            </w:r>
          </w:p>
        </w:tc>
      </w:tr>
      <w:tr>
        <w:trPr>
          <w:trHeight w:val="440"/>
        </w:trPr>
        <w:tc>
          <w:tcPr>
            <w:tcW w:type="dxa" w:w="4703"/>
            <w:vAlign w:val="center"/>
            <w:tcW w:w="1800000" w:type="dxa"/>
          </w:tcPr>
          <w:p>
            <w:pPr>
              <w:spacing w:before="60" w:after="60"/>
              <w:ind w:left="113"/>
            </w:pPr>
            <w:r>
              <w:rPr>
                <w:b w:val="0"/>
                <w:color w:val="1A1917"/>
                <w:sz w:val="20"/>
              </w:rPr>
              <w:t>Enterprise — £79/mo</w:t>
            </w:r>
          </w:p>
        </w:tc>
        <w:tc>
          <w:tcPr>
            <w:tcW w:type="dxa" w:w="4703"/>
            <w:vAlign w:val="center"/>
            <w:tcW w:w="4320000" w:type="dxa"/>
          </w:tcPr>
          <w:p>
            <w:pPr>
              <w:spacing w:before="60" w:after="60"/>
              <w:ind w:left="113"/>
            </w:pPr>
            <w:r>
              <w:rPr>
                <w:b w:val="0"/>
                <w:color w:val="5E5A52"/>
                <w:sz w:val="20"/>
              </w:rPr>
              <w:t>Everything in Pro plus white-label PDFs, bulk API (1,000 checks/mo), 10 team seats, account manager</w:t>
            </w:r>
          </w:p>
        </w:tc>
      </w:tr>
    </w:tbl>
    <w:p/>
    <w:tbl>
      <w:tblPr>
        <w:tblStyle w:val="TableGrid"/>
        <w:tblW w:type="auto" w:w="0"/>
        <w:tblLook w:firstColumn="1" w:firstRow="1" w:lastColumn="0" w:lastRow="0" w:noHBand="0" w:noVBand="1" w:val="04A0"/>
      </w:tblPr>
      <w:tblGrid>
        <w:gridCol w:w="4703"/>
        <w:gridCol w:w="4703"/>
      </w:tblGrid>
      <w:tr>
        <w:trPr>
          <w:trHeight w:val="440"/>
        </w:trPr>
        <w:tc>
          <w:tcPr>
            <w:tcW w:type="dxa" w:w="4703"/>
            <w:vAlign w:val="center"/>
            <w:tcW w:w="1800000" w:type="dxa"/>
            <w:shd w:val="clear" w:color="auto" w:fill="1D9E75"/>
          </w:tcPr>
          <w:p>
            <w:pPr>
              <w:spacing w:before="60" w:after="60"/>
              <w:ind w:left="113"/>
            </w:pPr>
            <w:r>
              <w:rPr>
                <w:b/>
                <w:color w:val="FFFFFF"/>
                <w:sz w:val="20"/>
              </w:rPr>
              <w:t>HomeOwner Plans</w:t>
            </w:r>
          </w:p>
        </w:tc>
        <w:tc>
          <w:tcPr>
            <w:tcW w:type="dxa" w:w="4703"/>
            <w:vAlign w:val="center"/>
            <w:tcW w:w="4320000" w:type="dxa"/>
            <w:shd w:val="clear" w:color="auto" w:fill="1D9E75"/>
          </w:tcPr>
          <w:p>
            <w:pPr>
              <w:spacing w:before="60" w:after="60"/>
              <w:ind w:left="113"/>
            </w:pPr>
            <w:r>
              <w:rPr>
                <w:b/>
                <w:color w:val="FFFFFF"/>
                <w:sz w:val="20"/>
              </w:rPr>
            </w:r>
          </w:p>
        </w:tc>
      </w:tr>
      <w:tr>
        <w:trPr>
          <w:trHeight w:val="440"/>
        </w:trPr>
        <w:tc>
          <w:tcPr>
            <w:tcW w:type="dxa" w:w="4703"/>
            <w:vAlign w:val="center"/>
            <w:tcW w:w="1800000" w:type="dxa"/>
          </w:tcPr>
          <w:p>
            <w:pPr>
              <w:spacing w:before="60" w:after="60"/>
              <w:ind w:left="113"/>
            </w:pPr>
            <w:r>
              <w:rPr>
                <w:b w:val="0"/>
                <w:color w:val="1A1917"/>
                <w:sz w:val="20"/>
              </w:rPr>
              <w:t>Free — £0/mo</w:t>
            </w:r>
          </w:p>
        </w:tc>
        <w:tc>
          <w:tcPr>
            <w:tcW w:type="dxa" w:w="4703"/>
            <w:vAlign w:val="center"/>
            <w:tcW w:w="4320000" w:type="dxa"/>
          </w:tcPr>
          <w:p>
            <w:pPr>
              <w:spacing w:before="60" w:after="60"/>
              <w:ind w:left="113"/>
            </w:pPr>
            <w:r>
              <w:rPr>
                <w:b w:val="0"/>
                <w:color w:val="5E5A52"/>
                <w:sz w:val="20"/>
              </w:rPr>
              <w:t>Maintenance calendar (5 tasks), document vault (3 docs), EPC check, Stamp Duty calculator</w:t>
            </w:r>
          </w:p>
        </w:tc>
      </w:tr>
      <w:tr>
        <w:trPr>
          <w:trHeight w:val="440"/>
        </w:trPr>
        <w:tc>
          <w:tcPr>
            <w:tcW w:type="dxa" w:w="4703"/>
            <w:vAlign w:val="center"/>
            <w:tcW w:w="1800000" w:type="dxa"/>
          </w:tcPr>
          <w:p>
            <w:pPr>
              <w:spacing w:before="60" w:after="60"/>
              <w:ind w:left="113"/>
            </w:pPr>
            <w:r>
              <w:rPr>
                <w:b w:val="0"/>
                <w:color w:val="1A1917"/>
                <w:sz w:val="20"/>
              </w:rPr>
              <w:t>Pro — £9/mo</w:t>
            </w:r>
          </w:p>
        </w:tc>
        <w:tc>
          <w:tcPr>
            <w:tcW w:type="dxa" w:w="4703"/>
            <w:vAlign w:val="center"/>
            <w:tcW w:w="4320000" w:type="dxa"/>
          </w:tcPr>
          <w:p>
            <w:pPr>
              <w:spacing w:before="60" w:after="60"/>
              <w:ind w:left="113"/>
            </w:pPr>
            <w:r>
              <w:rPr>
                <w:b w:val="0"/>
                <w:color w:val="5E5A52"/>
                <w:sz w:val="20"/>
              </w:rPr>
              <w:t>Full maintenance calendar + email reminders, unlimited vault, full dashboard, mortgage alerts, 10% off services</w:t>
            </w:r>
          </w:p>
        </w:tc>
      </w:tr>
      <w:tr>
        <w:trPr>
          <w:trHeight w:val="440"/>
        </w:trPr>
        <w:tc>
          <w:tcPr>
            <w:tcW w:type="dxa" w:w="4703"/>
            <w:vAlign w:val="center"/>
            <w:tcW w:w="1800000" w:type="dxa"/>
          </w:tcPr>
          <w:p>
            <w:pPr>
              <w:spacing w:before="60" w:after="60"/>
              <w:ind w:left="113"/>
            </w:pPr>
            <w:r>
              <w:rPr>
                <w:b w:val="0"/>
                <w:color w:val="1A1917"/>
                <w:sz w:val="20"/>
              </w:rPr>
              <w:t>Enterprise — £29/mo</w:t>
            </w:r>
          </w:p>
        </w:tc>
        <w:tc>
          <w:tcPr>
            <w:tcW w:type="dxa" w:w="4703"/>
            <w:vAlign w:val="center"/>
            <w:tcW w:w="4320000" w:type="dxa"/>
          </w:tcPr>
          <w:p>
            <w:pPr>
              <w:spacing w:before="60" w:after="60"/>
              <w:ind w:left="113"/>
            </w:pPr>
            <w:r>
              <w:rPr>
                <w:b w:val="0"/>
                <w:color w:val="5E5A52"/>
                <w:sz w:val="20"/>
              </w:rPr>
              <w:t>Up to 20 properties, rental compliance tracking, multi-user (5 seats), exportable reports, priority phone support</w:t>
            </w:r>
          </w:p>
        </w:tc>
      </w:tr>
    </w:tbl>
    <w:p/>
    <w:p>
      <w:pPr>
        <w:spacing w:before="160" w:after="160"/>
        <w:pBdr>
          <w:bottom w:val="single" w:sz="4" w:space="1" w:color="E2DDD6"/>
        </w:pBdr>
      </w:pPr>
    </w:p>
    <w:p>
      <w:r>
        <w:br w:type="page"/>
      </w:r>
    </w:p>
    <w:p>
      <w:pPr>
        <w:pStyle w:val="Heading1"/>
        <w:spacing w:before="360" w:after="120"/>
      </w:pPr>
      <w:r>
        <w:rPr>
          <w:color w:val="1A1917"/>
        </w:rPr>
        <w:t>5. Future Roadmap</w:t>
      </w:r>
    </w:p>
    <w:p>
      <w:pPr>
        <w:spacing w:after="120"/>
      </w:pPr>
      <w:r>
        <w:rPr>
          <w:b w:val="0"/>
          <w:color w:val="5E5A52"/>
          <w:sz w:val="22"/>
        </w:rPr>
        <w:t>The following features are planned for development in priority order across three release horizons. Items in Horizon 1 are the most critical for commercial traction.</w:t>
      </w:r>
    </w:p>
    <w:p>
      <w:pPr>
        <w:pStyle w:val="Heading2"/>
        <w:spacing w:before="240" w:after="120"/>
      </w:pPr>
      <w:r>
        <w:rPr>
          <w:color w:val="1A1917"/>
        </w:rPr>
        <w:t>Horizon 1 — Months 1–3: Monetisation &amp; Growth Foundation</w:t>
      </w:r>
    </w:p>
    <w:p>
      <w:pPr>
        <w:pStyle w:val="Heading3"/>
        <w:spacing w:before="240" w:after="120"/>
      </w:pPr>
      <w:r>
        <w:rPr>
          <w:color w:val="1A1917"/>
        </w:rPr>
        <w:t>Stripe Payment Integration</w:t>
      </w:r>
    </w:p>
    <w:p>
      <w:pPr>
        <w:pStyle w:val="ListBullet"/>
        <w:spacing w:after="60"/>
        <w:ind w:left="340"/>
      </w:pPr>
      <w:r>
        <w:rPr>
          <w:color w:val="5E5A52"/>
          <w:sz w:val="22"/>
        </w:rPr>
        <w:t>Replace demo/localStorage auth with real accounts backed by a database.</w:t>
      </w:r>
    </w:p>
    <w:p>
      <w:pPr>
        <w:pStyle w:val="ListBullet"/>
        <w:spacing w:after="60"/>
        <w:ind w:left="340"/>
      </w:pPr>
      <w:r>
        <w:rPr>
          <w:color w:val="5E5A52"/>
          <w:sz w:val="22"/>
        </w:rPr>
        <w:t>Stripe Checkout for Pro and Enterprise plan subscriptions.</w:t>
      </w:r>
    </w:p>
    <w:p>
      <w:pPr>
        <w:pStyle w:val="ListBullet"/>
        <w:spacing w:after="60"/>
        <w:ind w:left="340"/>
      </w:pPr>
      <w:r>
        <w:rPr>
          <w:color w:val="5E5A52"/>
          <w:sz w:val="22"/>
        </w:rPr>
        <w:t>Stripe Customer Portal for self-serve plan upgrades, downgrades, and cancellations.</w:t>
      </w:r>
    </w:p>
    <w:p>
      <w:pPr>
        <w:pStyle w:val="ListBullet"/>
        <w:spacing w:after="60"/>
        <w:ind w:left="340"/>
      </w:pPr>
      <w:r>
        <w:rPr>
          <w:color w:val="5E5A52"/>
          <w:sz w:val="22"/>
        </w:rPr>
        <w:t>Webhook handling for payment failures and subscription state changes.</w:t>
      </w:r>
    </w:p>
    <w:p>
      <w:pPr>
        <w:pStyle w:val="Heading3"/>
        <w:spacing w:before="240" w:after="120"/>
      </w:pPr>
      <w:r>
        <w:rPr>
          <w:color w:val="1A1917"/>
        </w:rPr>
        <w:t>Email Marketing &amp; Waitlist</w:t>
      </w:r>
    </w:p>
    <w:p>
      <w:pPr>
        <w:pStyle w:val="ListBullet"/>
        <w:spacing w:after="60"/>
        <w:ind w:left="340"/>
      </w:pPr>
      <w:r>
        <w:rPr>
          <w:color w:val="5E5A52"/>
          <w:sz w:val="22"/>
        </w:rPr>
        <w:t>Wire the landing page waitlist form to Mailchimp or Resend.</w:t>
      </w:r>
    </w:p>
    <w:p>
      <w:pPr>
        <w:pStyle w:val="ListBullet"/>
        <w:spacing w:after="60"/>
        <w:ind w:left="340"/>
      </w:pPr>
      <w:r>
        <w:rPr>
          <w:color w:val="5E5A52"/>
          <w:sz w:val="22"/>
        </w:rPr>
        <w:t>Drip email sequence for new sign-ups (onboarding, feature highlights, upgrade nudges).</w:t>
      </w:r>
    </w:p>
    <w:p>
      <w:pPr>
        <w:pStyle w:val="ListBullet"/>
        <w:spacing w:after="60"/>
        <w:ind w:left="340"/>
      </w:pPr>
      <w:r>
        <w:rPr>
          <w:color w:val="5E5A52"/>
          <w:sz w:val="22"/>
        </w:rPr>
        <w:t>Transactional emails: remortgage alerts, maintenance reminders, report ready.</w:t>
      </w:r>
    </w:p>
    <w:p>
      <w:pPr>
        <w:pStyle w:val="Heading3"/>
        <w:spacing w:before="240" w:after="120"/>
      </w:pPr>
      <w:r>
        <w:rPr>
          <w:color w:val="1A1917"/>
        </w:rPr>
        <w:t>Real Database &amp; User Accounts</w:t>
      </w:r>
    </w:p>
    <w:p>
      <w:pPr>
        <w:pStyle w:val="ListBullet"/>
        <w:spacing w:after="60"/>
        <w:ind w:left="340"/>
      </w:pPr>
      <w:r>
        <w:rPr>
          <w:color w:val="5E5A52"/>
          <w:sz w:val="22"/>
        </w:rPr>
        <w:t>Migrate from localStorage to PostgreSQL (via Supabase or PlanetScale).</w:t>
      </w:r>
    </w:p>
    <w:p>
      <w:pPr>
        <w:pStyle w:val="ListBullet"/>
        <w:spacing w:after="60"/>
        <w:ind w:left="340"/>
      </w:pPr>
      <w:r>
        <w:rPr>
          <w:color w:val="5E5A52"/>
          <w:sz w:val="22"/>
        </w:rPr>
        <w:t>Full auth with password reset, email verification, and OAuth (Google Sign-In).</w:t>
      </w:r>
    </w:p>
    <w:p>
      <w:pPr>
        <w:pStyle w:val="ListBullet"/>
        <w:spacing w:after="60"/>
        <w:ind w:left="340"/>
      </w:pPr>
      <w:r>
        <w:rPr>
          <w:color w:val="5E5A52"/>
          <w:sz w:val="22"/>
        </w:rPr>
        <w:t>Per-user property storage with multiple saved properties per account.</w:t>
      </w:r>
    </w:p>
    <w:p>
      <w:pPr>
        <w:pStyle w:val="Heading3"/>
        <w:spacing w:before="240" w:after="120"/>
      </w:pPr>
      <w:r>
        <w:rPr>
          <w:color w:val="1A1917"/>
        </w:rPr>
        <w:t>Professional Services Booking Flow</w:t>
      </w:r>
    </w:p>
    <w:p>
      <w:pPr>
        <w:pStyle w:val="ListBullet"/>
        <w:spacing w:after="60"/>
        <w:ind w:left="340"/>
      </w:pPr>
      <w:r>
        <w:rPr>
          <w:color w:val="5E5A52"/>
          <w:sz w:val="22"/>
        </w:rPr>
        <w:t>Quote request form for each service (solicitor, surveyor, gas engineer, electrician).</w:t>
      </w:r>
    </w:p>
    <w:p>
      <w:pPr>
        <w:pStyle w:val="ListBullet"/>
        <w:spacing w:after="60"/>
        <w:ind w:left="340"/>
      </w:pPr>
      <w:r>
        <w:rPr>
          <w:color w:val="5E5A52"/>
          <w:sz w:val="22"/>
        </w:rPr>
        <w:t>Professional partner onboarding portal and lead routing.</w:t>
      </w:r>
    </w:p>
    <w:p>
      <w:pPr>
        <w:pStyle w:val="ListBullet"/>
        <w:spacing w:after="60"/>
        <w:ind w:left="340"/>
      </w:pPr>
      <w:r>
        <w:rPr>
          <w:color w:val="5E5A52"/>
          <w:sz w:val="22"/>
        </w:rPr>
        <w:t>10% discount applied automatically at checkout for Pro/Enterprise members.</w:t>
      </w:r>
    </w:p>
    <w:p>
      <w:pPr>
        <w:pStyle w:val="Heading2"/>
        <w:spacing w:before="240" w:after="120"/>
      </w:pPr>
      <w:r>
        <w:rPr>
          <w:color w:val="1A1917"/>
        </w:rPr>
        <w:t>Horizon 2 — Months 4–9: Product Depth &amp; API Integrations</w:t>
      </w:r>
    </w:p>
    <w:p>
      <w:pPr>
        <w:pStyle w:val="Heading3"/>
        <w:spacing w:before="240" w:after="120"/>
      </w:pPr>
      <w:r>
        <w:rPr>
          <w:color w:val="1A1917"/>
        </w:rPr>
        <w:t>AI Property Summary</w:t>
      </w:r>
    </w:p>
    <w:p>
      <w:pPr>
        <w:pStyle w:val="ListBullet"/>
        <w:spacing w:after="60"/>
        <w:ind w:left="340"/>
      </w:pPr>
      <w:r>
        <w:rPr>
          <w:color w:val="5E5A52"/>
          <w:sz w:val="22"/>
        </w:rPr>
        <w:t>GPT-4 powered natural-language summary of each property report.</w:t>
      </w:r>
    </w:p>
    <w:p>
      <w:pPr>
        <w:pStyle w:val="ListBullet"/>
        <w:spacing w:after="60"/>
        <w:ind w:left="340"/>
      </w:pPr>
      <w:r>
        <w:rPr>
          <w:color w:val="5E5A52"/>
          <w:sz w:val="22"/>
        </w:rPr>
        <w:t>Highlights key risks and flags issues the buyer should discuss with their solicitor.</w:t>
      </w:r>
    </w:p>
    <w:p>
      <w:pPr>
        <w:pStyle w:val="ListBullet"/>
        <w:spacing w:after="60"/>
        <w:ind w:left="340"/>
      </w:pPr>
      <w:r>
        <w:rPr>
          <w:color w:val="5E5A52"/>
          <w:sz w:val="22"/>
        </w:rPr>
        <w:t>Tone-adjustable: "give it to me straight" vs. "explain like I'm a first-time buyer".</w:t>
      </w:r>
    </w:p>
    <w:p>
      <w:pPr>
        <w:pStyle w:val="Heading3"/>
        <w:spacing w:before="240" w:after="120"/>
      </w:pPr>
      <w:r>
        <w:rPr>
          <w:color w:val="1A1917"/>
        </w:rPr>
        <w:t>Planning Permission Checker</w:t>
      </w:r>
    </w:p>
    <w:p>
      <w:pPr>
        <w:pStyle w:val="ListBullet"/>
        <w:spacing w:after="60"/>
        <w:ind w:left="340"/>
      </w:pPr>
      <w:r>
        <w:rPr>
          <w:color w:val="5E5A52"/>
          <w:sz w:val="22"/>
        </w:rPr>
        <w:t>Query the Planning Portal API for applications, decisions, and appeals at an address.</w:t>
      </w:r>
    </w:p>
    <w:p>
      <w:pPr>
        <w:pStyle w:val="ListBullet"/>
        <w:spacing w:after="60"/>
        <w:ind w:left="340"/>
      </w:pPr>
      <w:r>
        <w:rPr>
          <w:color w:val="5E5A52"/>
          <w:sz w:val="22"/>
        </w:rPr>
        <w:t>Identify permitted development rights applicable to the property.</w:t>
      </w:r>
    </w:p>
    <w:p>
      <w:pPr>
        <w:pStyle w:val="ListBullet"/>
        <w:spacing w:after="60"/>
        <w:ind w:left="340"/>
      </w:pPr>
      <w:r>
        <w:rPr>
          <w:color w:val="5E5A52"/>
          <w:sz w:val="22"/>
        </w:rPr>
        <w:t>Flag nearby applications that could affect the property's outlook or value.</w:t>
      </w:r>
    </w:p>
    <w:p>
      <w:pPr>
        <w:pStyle w:val="Heading3"/>
        <w:spacing w:before="240" w:after="120"/>
      </w:pPr>
      <w:r>
        <w:rPr>
          <w:color w:val="1A1917"/>
        </w:rPr>
        <w:t>Land Registry Integration</w:t>
      </w:r>
    </w:p>
    <w:p>
      <w:pPr>
        <w:pStyle w:val="ListBullet"/>
        <w:spacing w:after="60"/>
        <w:ind w:left="340"/>
      </w:pPr>
      <w:r>
        <w:rPr>
          <w:color w:val="5E5A52"/>
          <w:sz w:val="22"/>
        </w:rPr>
        <w:t>Pull full title register for owner-occupiers (ownership history, charges, covenants).</w:t>
      </w:r>
    </w:p>
    <w:p>
      <w:pPr>
        <w:pStyle w:val="ListBullet"/>
        <w:spacing w:after="60"/>
        <w:ind w:left="340"/>
      </w:pPr>
      <w:r>
        <w:rPr>
          <w:color w:val="5E5A52"/>
          <w:sz w:val="22"/>
        </w:rPr>
        <w:t>Price paid history for comparable sales analysis.</w:t>
      </w:r>
    </w:p>
    <w:p>
      <w:pPr>
        <w:pStyle w:val="ListBullet"/>
        <w:spacing w:after="60"/>
        <w:ind w:left="340"/>
      </w:pPr>
      <w:r>
        <w:rPr>
          <w:color w:val="5E5A52"/>
          <w:sz w:val="22"/>
        </w:rPr>
        <w:t>Automated equity calculation: current estimated value minus remaining mortgage.</w:t>
      </w:r>
    </w:p>
    <w:p>
      <w:pPr>
        <w:pStyle w:val="Heading3"/>
        <w:spacing w:before="240" w:after="120"/>
      </w:pPr>
      <w:r>
        <w:rPr>
          <w:color w:val="1A1917"/>
        </w:rPr>
        <w:t>Mortgage Comparison Tool</w:t>
      </w:r>
    </w:p>
    <w:p>
      <w:pPr>
        <w:pStyle w:val="ListBullet"/>
        <w:spacing w:after="60"/>
        <w:ind w:left="340"/>
      </w:pPr>
      <w:r>
        <w:rPr>
          <w:color w:val="5E5A52"/>
          <w:sz w:val="22"/>
        </w:rPr>
        <w:t>Integration with a mortgage sourcing API (e.g. Twenty7Tec or Trigold).</w:t>
      </w:r>
    </w:p>
    <w:p>
      <w:pPr>
        <w:pStyle w:val="ListBullet"/>
        <w:spacing w:after="60"/>
        <w:ind w:left="340"/>
      </w:pPr>
      <w:r>
        <w:rPr>
          <w:color w:val="5E5A52"/>
          <w:sz w:val="22"/>
        </w:rPr>
        <w:t>Live rate comparison for remortgage customers nearing fix-end date.</w:t>
      </w:r>
    </w:p>
    <w:p>
      <w:pPr>
        <w:pStyle w:val="ListBullet"/>
        <w:spacing w:after="60"/>
        <w:ind w:left="340"/>
      </w:pPr>
      <w:r>
        <w:rPr>
          <w:color w:val="5E5A52"/>
          <w:sz w:val="22"/>
        </w:rPr>
        <w:t>Referral revenue stream from broker partners.</w:t>
      </w:r>
    </w:p>
    <w:p>
      <w:pPr>
        <w:pStyle w:val="Heading3"/>
        <w:spacing w:before="240" w:after="120"/>
      </w:pPr>
      <w:r>
        <w:rPr>
          <w:color w:val="1A1917"/>
        </w:rPr>
        <w:t>Mobile App (React Native)</w:t>
      </w:r>
    </w:p>
    <w:p>
      <w:pPr>
        <w:pStyle w:val="ListBullet"/>
        <w:spacing w:after="60"/>
        <w:ind w:left="340"/>
      </w:pPr>
      <w:r>
        <w:rPr>
          <w:color w:val="5E5A52"/>
          <w:sz w:val="22"/>
        </w:rPr>
        <w:t>iOS and Android app wrapping the core web platform.</w:t>
      </w:r>
    </w:p>
    <w:p>
      <w:pPr>
        <w:pStyle w:val="ListBullet"/>
        <w:spacing w:after="60"/>
        <w:ind w:left="340"/>
      </w:pPr>
      <w:r>
        <w:rPr>
          <w:color w:val="5E5A52"/>
          <w:sz w:val="22"/>
        </w:rPr>
        <w:t>Push notifications for remortgage alerts, maintenance reminders, and document expiry.</w:t>
      </w:r>
    </w:p>
    <w:p>
      <w:pPr>
        <w:pStyle w:val="ListBullet"/>
        <w:spacing w:after="60"/>
        <w:ind w:left="340"/>
      </w:pPr>
      <w:r>
        <w:rPr>
          <w:color w:val="5E5A52"/>
          <w:sz w:val="22"/>
        </w:rPr>
        <w:t>Camera-based document scanning for the vault.</w:t>
      </w:r>
    </w:p>
    <w:p>
      <w:pPr>
        <w:pStyle w:val="Heading3"/>
        <w:spacing w:before="240" w:after="120"/>
      </w:pPr>
      <w:r>
        <w:rPr>
          <w:color w:val="1A1917"/>
        </w:rPr>
        <w:t>Neighbourhood Analytics</w:t>
      </w:r>
    </w:p>
    <w:p>
      <w:pPr>
        <w:pStyle w:val="ListBullet"/>
        <w:spacing w:after="60"/>
        <w:ind w:left="340"/>
      </w:pPr>
      <w:r>
        <w:rPr>
          <w:color w:val="5E5A52"/>
          <w:sz w:val="22"/>
        </w:rPr>
        <w:t>School ratings (Ofsted), hospital proximity, transport links, and green space data.</w:t>
      </w:r>
    </w:p>
    <w:p>
      <w:pPr>
        <w:pStyle w:val="ListBullet"/>
        <w:spacing w:after="60"/>
        <w:ind w:left="340"/>
      </w:pPr>
      <w:r>
        <w:rPr>
          <w:color w:val="5E5A52"/>
          <w:sz w:val="22"/>
        </w:rPr>
        <w:t>Five-year price trend chart for the postcode sector.</w:t>
      </w:r>
    </w:p>
    <w:p>
      <w:pPr>
        <w:pStyle w:val="ListBullet"/>
        <w:spacing w:after="60"/>
        <w:ind w:left="340"/>
      </w:pPr>
      <w:r>
        <w:rPr>
          <w:color w:val="5E5A52"/>
          <w:sz w:val="22"/>
        </w:rPr>
        <w:t>Comparable properties sold in the last 6 months.</w:t>
      </w:r>
    </w:p>
    <w:p>
      <w:pPr>
        <w:pStyle w:val="Heading3"/>
        <w:spacing w:before="240" w:after="120"/>
      </w:pPr>
      <w:r>
        <w:rPr>
          <w:color w:val="1A1917"/>
        </w:rPr>
        <w:t>Shared Ownership &amp; Right to Buy Calculator</w:t>
      </w:r>
    </w:p>
    <w:p>
      <w:pPr>
        <w:pStyle w:val="ListBullet"/>
        <w:spacing w:after="60"/>
        <w:ind w:left="340"/>
      </w:pPr>
      <w:r>
        <w:rPr>
          <w:color w:val="5E5A52"/>
          <w:sz w:val="22"/>
        </w:rPr>
        <w:t>Calculate the cost and timeline to staircase to full ownership.</w:t>
      </w:r>
    </w:p>
    <w:p>
      <w:pPr>
        <w:pStyle w:val="ListBullet"/>
        <w:spacing w:after="60"/>
        <w:ind w:left="340"/>
      </w:pPr>
      <w:r>
        <w:rPr>
          <w:color w:val="5E5A52"/>
          <w:sz w:val="22"/>
        </w:rPr>
        <w:t>Right to Buy discount calculator for eligible council tenants.</w:t>
      </w:r>
    </w:p>
    <w:p>
      <w:pPr>
        <w:pStyle w:val="Heading2"/>
        <w:spacing w:before="240" w:after="120"/>
      </w:pPr>
      <w:r>
        <w:rPr>
          <w:color w:val="1A1917"/>
        </w:rPr>
        <w:t>Horizon 3 — Months 10–18: Scale &amp; Platform</w:t>
      </w:r>
    </w:p>
    <w:p>
      <w:pPr>
        <w:pStyle w:val="Heading3"/>
        <w:spacing w:before="240" w:after="120"/>
      </w:pPr>
      <w:r>
        <w:rPr>
          <w:color w:val="1A1917"/>
        </w:rPr>
        <w:t>Estate Agent &amp; Broker API</w:t>
      </w:r>
    </w:p>
    <w:p>
      <w:pPr>
        <w:pStyle w:val="ListBullet"/>
        <w:spacing w:after="60"/>
        <w:ind w:left="340"/>
      </w:pPr>
      <w:r>
        <w:rPr>
          <w:color w:val="5E5A52"/>
          <w:sz w:val="22"/>
        </w:rPr>
        <w:t>White-label API for estate agents to embed PropPilot reports in their listings.</w:t>
      </w:r>
    </w:p>
    <w:p>
      <w:pPr>
        <w:pStyle w:val="ListBullet"/>
        <w:spacing w:after="60"/>
        <w:ind w:left="340"/>
      </w:pPr>
      <w:r>
        <w:rPr>
          <w:color w:val="5E5A52"/>
          <w:sz w:val="22"/>
        </w:rPr>
        <w:t>Revenue share on pro service bookings referred by agent partners.</w:t>
      </w:r>
    </w:p>
    <w:p>
      <w:pPr>
        <w:pStyle w:val="ListBullet"/>
        <w:spacing w:after="60"/>
        <w:ind w:left="340"/>
      </w:pPr>
      <w:r>
        <w:rPr>
          <w:color w:val="5E5A52"/>
          <w:sz w:val="22"/>
        </w:rPr>
        <w:t>Bulk postcode processing for portfolio valuations.</w:t>
      </w:r>
    </w:p>
    <w:p>
      <w:pPr>
        <w:pStyle w:val="Heading3"/>
        <w:spacing w:before="240" w:after="120"/>
      </w:pPr>
      <w:r>
        <w:rPr>
          <w:color w:val="1A1917"/>
        </w:rPr>
        <w:t>Landlord &amp; Portfolio Management Suite</w:t>
      </w:r>
    </w:p>
    <w:p>
      <w:pPr>
        <w:pStyle w:val="ListBullet"/>
        <w:spacing w:after="60"/>
        <w:ind w:left="340"/>
      </w:pPr>
      <w:r>
        <w:rPr>
          <w:color w:val="5E5A52"/>
          <w:sz w:val="22"/>
        </w:rPr>
        <w:t>Multi-property dashboard for buy-to-let landlords with up to 50 units.</w:t>
      </w:r>
    </w:p>
    <w:p>
      <w:pPr>
        <w:pStyle w:val="ListBullet"/>
        <w:spacing w:after="60"/>
        <w:ind w:left="340"/>
      </w:pPr>
      <w:r>
        <w:rPr>
          <w:color w:val="5E5A52"/>
          <w:sz w:val="22"/>
        </w:rPr>
        <w:t>Automated compliance reminders across the portfolio (gas, EICR, EPC, selective licensing).</w:t>
      </w:r>
    </w:p>
    <w:p>
      <w:pPr>
        <w:pStyle w:val="ListBullet"/>
        <w:spacing w:after="60"/>
        <w:ind w:left="340"/>
      </w:pPr>
      <w:r>
        <w:rPr>
          <w:color w:val="5E5A52"/>
          <w:sz w:val="22"/>
        </w:rPr>
        <w:t>Tenant management basics: rent tracking, tenancy start/end dates, deposit records.</w:t>
      </w:r>
    </w:p>
    <w:p>
      <w:pPr>
        <w:pStyle w:val="ListBullet"/>
        <w:spacing w:after="60"/>
        <w:ind w:left="340"/>
      </w:pPr>
      <w:r>
        <w:rPr>
          <w:color w:val="5E5A52"/>
          <w:sz w:val="22"/>
        </w:rPr>
        <w:t>Exportable compliance reports for local authority audits.</w:t>
      </w:r>
    </w:p>
    <w:p>
      <w:pPr>
        <w:pStyle w:val="Heading3"/>
        <w:spacing w:before="240" w:after="120"/>
      </w:pPr>
      <w:r>
        <w:rPr>
          <w:color w:val="1A1917"/>
        </w:rPr>
        <w:t>Conveyancing Progress Tracker</w:t>
      </w:r>
    </w:p>
    <w:p>
      <w:pPr>
        <w:pStyle w:val="ListBullet"/>
        <w:spacing w:after="60"/>
        <w:ind w:left="340"/>
      </w:pPr>
      <w:r>
        <w:rPr>
          <w:color w:val="5E5A52"/>
          <w:sz w:val="22"/>
        </w:rPr>
        <w:t>Real-time milestone tracking: offer accepted → exchange → completion.</w:t>
      </w:r>
    </w:p>
    <w:p>
      <w:pPr>
        <w:pStyle w:val="ListBullet"/>
        <w:spacing w:after="60"/>
        <w:ind w:left="340"/>
      </w:pPr>
      <w:r>
        <w:rPr>
          <w:color w:val="5E5A52"/>
          <w:sz w:val="22"/>
        </w:rPr>
        <w:t>Integration with solicitor case management systems.</w:t>
      </w:r>
    </w:p>
    <w:p>
      <w:pPr>
        <w:pStyle w:val="ListBullet"/>
        <w:spacing w:after="60"/>
        <w:ind w:left="340"/>
      </w:pPr>
      <w:r>
        <w:rPr>
          <w:color w:val="5E5A52"/>
          <w:sz w:val="22"/>
        </w:rPr>
        <w:t>Automated buyer updates at each stage so they are never left in the dark.</w:t>
      </w:r>
    </w:p>
    <w:p>
      <w:pPr>
        <w:pStyle w:val="Heading3"/>
        <w:spacing w:before="240" w:after="120"/>
      </w:pPr>
      <w:r>
        <w:rPr>
          <w:color w:val="1A1917"/>
        </w:rPr>
        <w:t>PropPilot Score</w:t>
      </w:r>
    </w:p>
    <w:p>
      <w:pPr>
        <w:pStyle w:val="ListBullet"/>
        <w:spacing w:after="60"/>
        <w:ind w:left="340"/>
      </w:pPr>
      <w:r>
        <w:rPr>
          <w:color w:val="5E5A52"/>
          <w:sz w:val="22"/>
        </w:rPr>
        <w:t>Composite property health score (0–100) aggregating all data dimensions.</w:t>
      </w:r>
    </w:p>
    <w:p>
      <w:pPr>
        <w:pStyle w:val="ListBullet"/>
        <w:spacing w:after="60"/>
        <w:ind w:left="340"/>
      </w:pPr>
      <w:r>
        <w:rPr>
          <w:color w:val="5E5A52"/>
          <w:sz w:val="22"/>
        </w:rPr>
        <w:t>Buyer-facing: risk score for any address before making an offer.</w:t>
      </w:r>
    </w:p>
    <w:p>
      <w:pPr>
        <w:pStyle w:val="ListBullet"/>
        <w:spacing w:after="60"/>
        <w:ind w:left="340"/>
      </w:pPr>
      <w:r>
        <w:rPr>
          <w:color w:val="5E5A52"/>
          <w:sz w:val="22"/>
        </w:rPr>
        <w:t>Owner-facing: home health score updated quarterly with improvement suggestions.</w:t>
      </w:r>
    </w:p>
    <w:p>
      <w:pPr>
        <w:pStyle w:val="Heading3"/>
        <w:spacing w:before="240" w:after="120"/>
      </w:pPr>
      <w:r>
        <w:rPr>
          <w:color w:val="1A1917"/>
        </w:rPr>
        <w:t>Insurance Marketplace</w:t>
      </w:r>
    </w:p>
    <w:p>
      <w:pPr>
        <w:pStyle w:val="ListBullet"/>
        <w:spacing w:after="60"/>
        <w:ind w:left="340"/>
      </w:pPr>
      <w:r>
        <w:rPr>
          <w:color w:val="5E5A52"/>
          <w:sz w:val="22"/>
        </w:rPr>
        <w:t>Buildings and contents insurance comparison integrated with the property dashboard.</w:t>
      </w:r>
    </w:p>
    <w:p>
      <w:pPr>
        <w:pStyle w:val="ListBullet"/>
        <w:spacing w:after="60"/>
        <w:ind w:left="340"/>
      </w:pPr>
      <w:r>
        <w:rPr>
          <w:color w:val="5E5A52"/>
          <w:sz w:val="22"/>
        </w:rPr>
        <w:t>Renewal reminders and one-click switch — referral revenue from insurer partners.</w:t>
      </w:r>
    </w:p>
    <w:p>
      <w:pPr>
        <w:spacing w:before="160" w:after="160"/>
        <w:pBdr>
          <w:bottom w:val="single" w:sz="4" w:space="1" w:color="E2DDD6"/>
        </w:pBdr>
      </w:pPr>
    </w:p>
    <w:p>
      <w:r>
        <w:br w:type="page"/>
      </w:r>
    </w:p>
    <w:p>
      <w:pPr>
        <w:pStyle w:val="Heading1"/>
        <w:spacing w:before="360" w:after="120"/>
      </w:pPr>
      <w:r>
        <w:rPr>
          <w:color w:val="1A1917"/>
        </w:rPr>
        <w:t>6. Market Analysis</w:t>
      </w:r>
    </w:p>
    <w:p>
      <w:pPr>
        <w:pStyle w:val="Heading2"/>
        <w:spacing w:before="240" w:after="120"/>
      </w:pPr>
      <w:r>
        <w:rPr>
          <w:color w:val="1A1917"/>
        </w:rPr>
        <w:t>Market Size</w:t>
      </w:r>
    </w:p>
    <w:tbl>
      <w:tblPr>
        <w:tblStyle w:val="TableGrid"/>
        <w:tblW w:type="auto" w:w="0"/>
        <w:tblLook w:firstColumn="1" w:firstRow="1" w:lastColumn="0" w:lastRow="0" w:noHBand="0" w:noVBand="1" w:val="04A0"/>
      </w:tblPr>
      <w:tblGrid>
        <w:gridCol w:w="3135"/>
        <w:gridCol w:w="3135"/>
        <w:gridCol w:w="3135"/>
      </w:tblGrid>
      <w:tr>
        <w:trPr>
          <w:trHeight w:val="440"/>
        </w:trPr>
        <w:tc>
          <w:tcPr>
            <w:tcW w:type="dxa" w:w="3135"/>
            <w:vAlign w:val="center"/>
            <w:tcW w:w="1980000" w:type="dxa"/>
            <w:shd w:val="clear" w:color="auto" w:fill="1D9E75"/>
          </w:tcPr>
          <w:p>
            <w:pPr>
              <w:spacing w:before="60" w:after="60"/>
              <w:ind w:left="113"/>
            </w:pPr>
            <w:r>
              <w:rPr>
                <w:b/>
                <w:color w:val="FFFFFF"/>
                <w:sz w:val="20"/>
              </w:rPr>
              <w:t>Segment</w:t>
            </w:r>
          </w:p>
        </w:tc>
        <w:tc>
          <w:tcPr>
            <w:tcW w:type="dxa" w:w="3135"/>
            <w:vAlign w:val="center"/>
            <w:tcW w:w="1800000" w:type="dxa"/>
            <w:shd w:val="clear" w:color="auto" w:fill="1D9E75"/>
          </w:tcPr>
          <w:p>
            <w:pPr>
              <w:spacing w:before="60" w:after="60"/>
              <w:ind w:left="113"/>
            </w:pPr>
            <w:r>
              <w:rPr>
                <w:b/>
                <w:color w:val="FFFFFF"/>
                <w:sz w:val="20"/>
              </w:rPr>
              <w:t>Metric</w:t>
            </w:r>
          </w:p>
        </w:tc>
        <w:tc>
          <w:tcPr>
            <w:tcW w:type="dxa" w:w="3135"/>
            <w:vAlign w:val="center"/>
            <w:tcW w:w="2160000" w:type="dxa"/>
            <w:shd w:val="clear" w:color="auto" w:fill="1D9E75"/>
          </w:tcPr>
          <w:p>
            <w:pPr>
              <w:spacing w:before="60" w:after="60"/>
              <w:ind w:left="113"/>
            </w:pPr>
            <w:r>
              <w:rPr>
                <w:b/>
                <w:color w:val="FFFFFF"/>
                <w:sz w:val="20"/>
              </w:rPr>
              <w:t>Source</w:t>
            </w:r>
          </w:p>
        </w:tc>
      </w:tr>
      <w:tr>
        <w:trPr>
          <w:trHeight w:val="440"/>
        </w:trPr>
        <w:tc>
          <w:tcPr>
            <w:tcW w:type="dxa" w:w="3135"/>
            <w:vAlign w:val="center"/>
            <w:tcW w:w="1980000" w:type="dxa"/>
          </w:tcPr>
          <w:p>
            <w:pPr>
              <w:spacing w:before="60" w:after="60"/>
              <w:ind w:left="113"/>
            </w:pPr>
            <w:r>
              <w:rPr>
                <w:b w:val="0"/>
                <w:color w:val="1A1917"/>
                <w:sz w:val="20"/>
              </w:rPr>
              <w:t>UK residential transactions</w:t>
            </w:r>
          </w:p>
        </w:tc>
        <w:tc>
          <w:tcPr>
            <w:tcW w:type="dxa" w:w="3135"/>
            <w:vAlign w:val="center"/>
            <w:tcW w:w="1800000" w:type="dxa"/>
          </w:tcPr>
          <w:p>
            <w:pPr>
              <w:spacing w:before="60" w:after="60"/>
              <w:ind w:left="113"/>
            </w:pPr>
            <w:r>
              <w:rPr>
                <w:b w:val="0"/>
                <w:color w:val="5E5A52"/>
                <w:sz w:val="20"/>
              </w:rPr>
              <w:t>~1.1M per year</w:t>
            </w:r>
          </w:p>
        </w:tc>
        <w:tc>
          <w:tcPr>
            <w:tcW w:type="dxa" w:w="3135"/>
            <w:vAlign w:val="center"/>
            <w:tcW w:w="2160000" w:type="dxa"/>
          </w:tcPr>
          <w:p>
            <w:pPr>
              <w:spacing w:before="60" w:after="60"/>
              <w:ind w:left="113"/>
            </w:pPr>
            <w:r>
              <w:rPr>
                <w:b w:val="0"/>
                <w:color w:val="5E5A52"/>
                <w:sz w:val="20"/>
              </w:rPr>
              <w:t>HMRC SDLT statistics</w:t>
            </w:r>
          </w:p>
        </w:tc>
      </w:tr>
      <w:tr>
        <w:trPr>
          <w:trHeight w:val="440"/>
        </w:trPr>
        <w:tc>
          <w:tcPr>
            <w:tcW w:type="dxa" w:w="3135"/>
            <w:vAlign w:val="center"/>
            <w:tcW w:w="1980000" w:type="dxa"/>
          </w:tcPr>
          <w:p>
            <w:pPr>
              <w:spacing w:before="60" w:after="60"/>
              <w:ind w:left="113"/>
            </w:pPr>
            <w:r>
              <w:rPr>
                <w:b w:val="0"/>
                <w:color w:val="1A1917"/>
                <w:sz w:val="20"/>
              </w:rPr>
              <w:t>UK homeowner households</w:t>
            </w:r>
          </w:p>
        </w:tc>
        <w:tc>
          <w:tcPr>
            <w:tcW w:type="dxa" w:w="3135"/>
            <w:vAlign w:val="center"/>
            <w:tcW w:w="1800000" w:type="dxa"/>
          </w:tcPr>
          <w:p>
            <w:pPr>
              <w:spacing w:before="60" w:after="60"/>
              <w:ind w:left="113"/>
            </w:pPr>
            <w:r>
              <w:rPr>
                <w:b w:val="0"/>
                <w:color w:val="5E5A52"/>
                <w:sz w:val="20"/>
              </w:rPr>
              <w:t>~17.5M</w:t>
            </w:r>
          </w:p>
        </w:tc>
        <w:tc>
          <w:tcPr>
            <w:tcW w:type="dxa" w:w="3135"/>
            <w:vAlign w:val="center"/>
            <w:tcW w:w="2160000" w:type="dxa"/>
          </w:tcPr>
          <w:p>
            <w:pPr>
              <w:spacing w:before="60" w:after="60"/>
              <w:ind w:left="113"/>
            </w:pPr>
            <w:r>
              <w:rPr>
                <w:b w:val="0"/>
                <w:color w:val="5E5A52"/>
                <w:sz w:val="20"/>
              </w:rPr>
              <w:t>ONS Housing Survey 2024</w:t>
            </w:r>
          </w:p>
        </w:tc>
      </w:tr>
      <w:tr>
        <w:trPr>
          <w:trHeight w:val="440"/>
        </w:trPr>
        <w:tc>
          <w:tcPr>
            <w:tcW w:type="dxa" w:w="3135"/>
            <w:vAlign w:val="center"/>
            <w:tcW w:w="1980000" w:type="dxa"/>
          </w:tcPr>
          <w:p>
            <w:pPr>
              <w:spacing w:before="60" w:after="60"/>
              <w:ind w:left="113"/>
            </w:pPr>
            <w:r>
              <w:rPr>
                <w:b w:val="0"/>
                <w:color w:val="1A1917"/>
                <w:sz w:val="20"/>
              </w:rPr>
              <w:t>UK homes below EPC Band C</w:t>
            </w:r>
          </w:p>
        </w:tc>
        <w:tc>
          <w:tcPr>
            <w:tcW w:type="dxa" w:w="3135"/>
            <w:vAlign w:val="center"/>
            <w:tcW w:w="1800000" w:type="dxa"/>
          </w:tcPr>
          <w:p>
            <w:pPr>
              <w:spacing w:before="60" w:after="60"/>
              <w:ind w:left="113"/>
            </w:pPr>
            <w:r>
              <w:rPr>
                <w:b w:val="0"/>
                <w:color w:val="5E5A52"/>
                <w:sz w:val="20"/>
              </w:rPr>
              <w:t>~19M</w:t>
            </w:r>
          </w:p>
        </w:tc>
        <w:tc>
          <w:tcPr>
            <w:tcW w:type="dxa" w:w="3135"/>
            <w:vAlign w:val="center"/>
            <w:tcW w:w="2160000" w:type="dxa"/>
          </w:tcPr>
          <w:p>
            <w:pPr>
              <w:spacing w:before="60" w:after="60"/>
              <w:ind w:left="113"/>
            </w:pPr>
            <w:r>
              <w:rPr>
                <w:b w:val="0"/>
                <w:color w:val="5E5A52"/>
                <w:sz w:val="20"/>
              </w:rPr>
              <w:t>DESNZ EPC Register</w:t>
            </w:r>
          </w:p>
        </w:tc>
      </w:tr>
      <w:tr>
        <w:trPr>
          <w:trHeight w:val="440"/>
        </w:trPr>
        <w:tc>
          <w:tcPr>
            <w:tcW w:type="dxa" w:w="3135"/>
            <w:vAlign w:val="center"/>
            <w:tcW w:w="1980000" w:type="dxa"/>
          </w:tcPr>
          <w:p>
            <w:pPr>
              <w:spacing w:before="60" w:after="60"/>
              <w:ind w:left="113"/>
            </w:pPr>
            <w:r>
              <w:rPr>
                <w:b w:val="0"/>
                <w:color w:val="1A1917"/>
                <w:sz w:val="20"/>
              </w:rPr>
              <w:t>Fixed-rate mortgages expiring</w:t>
            </w:r>
          </w:p>
        </w:tc>
        <w:tc>
          <w:tcPr>
            <w:tcW w:type="dxa" w:w="3135"/>
            <w:vAlign w:val="center"/>
            <w:tcW w:w="1800000" w:type="dxa"/>
          </w:tcPr>
          <w:p>
            <w:pPr>
              <w:spacing w:before="60" w:after="60"/>
              <w:ind w:left="113"/>
            </w:pPr>
            <w:r>
              <w:rPr>
                <w:b w:val="0"/>
                <w:color w:val="5E5A52"/>
                <w:sz w:val="20"/>
              </w:rPr>
              <w:t>~1.6M per year</w:t>
            </w:r>
          </w:p>
        </w:tc>
        <w:tc>
          <w:tcPr>
            <w:tcW w:type="dxa" w:w="3135"/>
            <w:vAlign w:val="center"/>
            <w:tcW w:w="2160000" w:type="dxa"/>
          </w:tcPr>
          <w:p>
            <w:pPr>
              <w:spacing w:before="60" w:after="60"/>
              <w:ind w:left="113"/>
            </w:pPr>
            <w:r>
              <w:rPr>
                <w:b w:val="0"/>
                <w:color w:val="5E5A52"/>
                <w:sz w:val="20"/>
              </w:rPr>
              <w:t>Bank of England / UK Finance</w:t>
            </w:r>
          </w:p>
        </w:tc>
      </w:tr>
      <w:tr>
        <w:trPr>
          <w:trHeight w:val="440"/>
        </w:trPr>
        <w:tc>
          <w:tcPr>
            <w:tcW w:type="dxa" w:w="3135"/>
            <w:vAlign w:val="center"/>
            <w:tcW w:w="1980000" w:type="dxa"/>
          </w:tcPr>
          <w:p>
            <w:pPr>
              <w:spacing w:before="60" w:after="60"/>
              <w:ind w:left="113"/>
            </w:pPr>
            <w:r>
              <w:rPr>
                <w:b w:val="0"/>
                <w:color w:val="1A1917"/>
                <w:sz w:val="20"/>
              </w:rPr>
              <w:t>Buy-to-let landlords</w:t>
            </w:r>
          </w:p>
        </w:tc>
        <w:tc>
          <w:tcPr>
            <w:tcW w:type="dxa" w:w="3135"/>
            <w:vAlign w:val="center"/>
            <w:tcW w:w="1800000" w:type="dxa"/>
          </w:tcPr>
          <w:p>
            <w:pPr>
              <w:spacing w:before="60" w:after="60"/>
              <w:ind w:left="113"/>
            </w:pPr>
            <w:r>
              <w:rPr>
                <w:b w:val="0"/>
                <w:color w:val="5E5A52"/>
                <w:sz w:val="20"/>
              </w:rPr>
              <w:t>~2.7M individuals</w:t>
            </w:r>
          </w:p>
        </w:tc>
        <w:tc>
          <w:tcPr>
            <w:tcW w:type="dxa" w:w="3135"/>
            <w:vAlign w:val="center"/>
            <w:tcW w:w="2160000" w:type="dxa"/>
          </w:tcPr>
          <w:p>
            <w:pPr>
              <w:spacing w:before="60" w:after="60"/>
              <w:ind w:left="113"/>
            </w:pPr>
            <w:r>
              <w:rPr>
                <w:b w:val="0"/>
                <w:color w:val="5E5A52"/>
                <w:sz w:val="20"/>
              </w:rPr>
              <w:t>HMRC landlord statistics</w:t>
            </w:r>
          </w:p>
        </w:tc>
      </w:tr>
      <w:tr>
        <w:trPr>
          <w:trHeight w:val="440"/>
        </w:trPr>
        <w:tc>
          <w:tcPr>
            <w:tcW w:type="dxa" w:w="3135"/>
            <w:vAlign w:val="center"/>
            <w:tcW w:w="1980000" w:type="dxa"/>
          </w:tcPr>
          <w:p>
            <w:pPr>
              <w:spacing w:before="60" w:after="60"/>
              <w:ind w:left="113"/>
            </w:pPr>
            <w:r>
              <w:rPr>
                <w:b w:val="0"/>
                <w:color w:val="1A1917"/>
                <w:sz w:val="20"/>
              </w:rPr>
              <w:t>UK proptech market (2025)</w:t>
            </w:r>
          </w:p>
        </w:tc>
        <w:tc>
          <w:tcPr>
            <w:tcW w:type="dxa" w:w="3135"/>
            <w:vAlign w:val="center"/>
            <w:tcW w:w="1800000" w:type="dxa"/>
          </w:tcPr>
          <w:p>
            <w:pPr>
              <w:spacing w:before="60" w:after="60"/>
              <w:ind w:left="113"/>
            </w:pPr>
            <w:r>
              <w:rPr>
                <w:b w:val="0"/>
                <w:color w:val="5E5A52"/>
                <w:sz w:val="20"/>
              </w:rPr>
              <w:t>£2.4B, 14% CAGR</w:t>
            </w:r>
          </w:p>
        </w:tc>
        <w:tc>
          <w:tcPr>
            <w:tcW w:type="dxa" w:w="3135"/>
            <w:vAlign w:val="center"/>
            <w:tcW w:w="2160000" w:type="dxa"/>
          </w:tcPr>
          <w:p>
            <w:pPr>
              <w:spacing w:before="60" w:after="60"/>
              <w:ind w:left="113"/>
            </w:pPr>
            <w:r>
              <w:rPr>
                <w:b w:val="0"/>
                <w:color w:val="5E5A52"/>
                <w:sz w:val="20"/>
              </w:rPr>
              <w:t>Savills / CBRE Research</w:t>
            </w:r>
          </w:p>
        </w:tc>
      </w:tr>
    </w:tbl>
    <w:p/>
    <w:p>
      <w:pPr>
        <w:pStyle w:val="Heading2"/>
        <w:spacing w:before="240" w:after="120"/>
      </w:pPr>
      <w:r>
        <w:rPr>
          <w:color w:val="1A1917"/>
        </w:rPr>
        <w:t>Serviceable Addressable Market (SAM)</w:t>
      </w:r>
    </w:p>
    <w:p>
      <w:pPr>
        <w:spacing w:after="120"/>
      </w:pPr>
      <w:r>
        <w:rPr>
          <w:b w:val="0"/>
          <w:color w:val="5E5A52"/>
          <w:sz w:val="22"/>
        </w:rPr>
        <w:t>PropPilot's initial SAM is UK homebuyers (1.1M transactions/year) and active homeowners using digital property tools (estimated 4M UK adults). At a blended average revenue per user of £100/year (mix of free, Pro, and Enterprise), the near-term SAM is approximately £510M annually.</w:t>
      </w:r>
    </w:p>
    <w:p>
      <w:pPr>
        <w:pStyle w:val="Heading2"/>
        <w:spacing w:before="240" w:after="120"/>
      </w:pPr>
      <w:r>
        <w:rPr>
          <w:color w:val="1A1917"/>
        </w:rPr>
        <w:t>Competitive Landscape</w:t>
      </w:r>
    </w:p>
    <w:tbl>
      <w:tblPr>
        <w:tblStyle w:val="TableGrid"/>
        <w:tblW w:type="auto" w:w="0"/>
        <w:tblLook w:firstColumn="1" w:firstRow="1" w:lastColumn="0" w:lastRow="0" w:noHBand="0" w:noVBand="1" w:val="04A0"/>
      </w:tblPr>
      <w:tblGrid>
        <w:gridCol w:w="3135"/>
        <w:gridCol w:w="3135"/>
        <w:gridCol w:w="3135"/>
      </w:tblGrid>
      <w:tr>
        <w:trPr>
          <w:trHeight w:val="440"/>
        </w:trPr>
        <w:tc>
          <w:tcPr>
            <w:tcW w:type="dxa" w:w="3135"/>
            <w:vAlign w:val="center"/>
            <w:tcW w:w="1620000" w:type="dxa"/>
            <w:shd w:val="clear" w:color="auto" w:fill="1D9E75"/>
          </w:tcPr>
          <w:p>
            <w:pPr>
              <w:spacing w:before="60" w:after="60"/>
              <w:ind w:left="113"/>
            </w:pPr>
            <w:r>
              <w:rPr>
                <w:b/>
                <w:color w:val="FFFFFF"/>
                <w:sz w:val="20"/>
              </w:rPr>
              <w:t>Competitor</w:t>
            </w:r>
          </w:p>
        </w:tc>
        <w:tc>
          <w:tcPr>
            <w:tcW w:type="dxa" w:w="3135"/>
            <w:vAlign w:val="center"/>
            <w:tcW w:w="1800000" w:type="dxa"/>
            <w:shd w:val="clear" w:color="auto" w:fill="1D9E75"/>
          </w:tcPr>
          <w:p>
            <w:pPr>
              <w:spacing w:before="60" w:after="60"/>
              <w:ind w:left="113"/>
            </w:pPr>
            <w:r>
              <w:rPr>
                <w:b/>
                <w:color w:val="FFFFFF"/>
                <w:sz w:val="20"/>
              </w:rPr>
              <w:t>Strength</w:t>
            </w:r>
          </w:p>
        </w:tc>
        <w:tc>
          <w:tcPr>
            <w:tcW w:type="dxa" w:w="3135"/>
            <w:vAlign w:val="center"/>
            <w:tcW w:w="2520000" w:type="dxa"/>
            <w:shd w:val="clear" w:color="auto" w:fill="1D9E75"/>
          </w:tcPr>
          <w:p>
            <w:pPr>
              <w:spacing w:before="60" w:after="60"/>
              <w:ind w:left="113"/>
            </w:pPr>
            <w:r>
              <w:rPr>
                <w:b/>
                <w:color w:val="FFFFFF"/>
                <w:sz w:val="20"/>
              </w:rPr>
              <w:t>PropPilot Advantage</w:t>
            </w:r>
          </w:p>
        </w:tc>
      </w:tr>
      <w:tr>
        <w:trPr>
          <w:trHeight w:val="440"/>
        </w:trPr>
        <w:tc>
          <w:tcPr>
            <w:tcW w:type="dxa" w:w="3135"/>
            <w:vAlign w:val="center"/>
            <w:tcW w:w="1620000" w:type="dxa"/>
          </w:tcPr>
          <w:p>
            <w:pPr>
              <w:spacing w:before="60" w:after="60"/>
              <w:ind w:left="113"/>
            </w:pPr>
            <w:r>
              <w:rPr>
                <w:b w:val="0"/>
                <w:color w:val="1A1917"/>
                <w:sz w:val="20"/>
              </w:rPr>
              <w:t>Rightmove / Zoopla</w:t>
            </w:r>
          </w:p>
        </w:tc>
        <w:tc>
          <w:tcPr>
            <w:tcW w:type="dxa" w:w="3135"/>
            <w:vAlign w:val="center"/>
            <w:tcW w:w="1800000" w:type="dxa"/>
          </w:tcPr>
          <w:p>
            <w:pPr>
              <w:spacing w:before="60" w:after="60"/>
              <w:ind w:left="113"/>
            </w:pPr>
            <w:r>
              <w:rPr>
                <w:b w:val="0"/>
                <w:color w:val="5E5A52"/>
                <w:sz w:val="20"/>
              </w:rPr>
              <w:t>Scale, brand, search traffic</w:t>
            </w:r>
          </w:p>
        </w:tc>
        <w:tc>
          <w:tcPr>
            <w:tcW w:type="dxa" w:w="3135"/>
            <w:vAlign w:val="center"/>
            <w:tcW w:w="2520000" w:type="dxa"/>
          </w:tcPr>
          <w:p>
            <w:pPr>
              <w:spacing w:before="60" w:after="60"/>
              <w:ind w:left="113"/>
            </w:pPr>
            <w:r>
              <w:rPr>
                <w:b w:val="0"/>
                <w:color w:val="5E5A52"/>
                <w:sz w:val="20"/>
              </w:rPr>
              <w:t>Post-discovery tools — we start where they stop</w:t>
            </w:r>
          </w:p>
        </w:tc>
      </w:tr>
      <w:tr>
        <w:trPr>
          <w:trHeight w:val="440"/>
        </w:trPr>
        <w:tc>
          <w:tcPr>
            <w:tcW w:type="dxa" w:w="3135"/>
            <w:vAlign w:val="center"/>
            <w:tcW w:w="1620000" w:type="dxa"/>
          </w:tcPr>
          <w:p>
            <w:pPr>
              <w:spacing w:before="60" w:after="60"/>
              <w:ind w:left="113"/>
            </w:pPr>
            <w:r>
              <w:rPr>
                <w:b w:val="0"/>
                <w:color w:val="1A1917"/>
                <w:sz w:val="20"/>
              </w:rPr>
              <w:t>GetAgent</w:t>
            </w:r>
          </w:p>
        </w:tc>
        <w:tc>
          <w:tcPr>
            <w:tcW w:type="dxa" w:w="3135"/>
            <w:vAlign w:val="center"/>
            <w:tcW w:w="1800000" w:type="dxa"/>
          </w:tcPr>
          <w:p>
            <w:pPr>
              <w:spacing w:before="60" w:after="60"/>
              <w:ind w:left="113"/>
            </w:pPr>
            <w:r>
              <w:rPr>
                <w:b w:val="0"/>
                <w:color w:val="5E5A52"/>
                <w:sz w:val="20"/>
              </w:rPr>
              <w:t>Agent comparison</w:t>
            </w:r>
          </w:p>
        </w:tc>
        <w:tc>
          <w:tcPr>
            <w:tcW w:type="dxa" w:w="3135"/>
            <w:vAlign w:val="center"/>
            <w:tcW w:w="2520000" w:type="dxa"/>
          </w:tcPr>
          <w:p>
            <w:pPr>
              <w:spacing w:before="60" w:after="60"/>
              <w:ind w:left="113"/>
            </w:pPr>
            <w:r>
              <w:rPr>
                <w:b w:val="0"/>
                <w:color w:val="5E5A52"/>
                <w:sz w:val="20"/>
              </w:rPr>
              <w:t>No due diligence or ownership tools</w:t>
            </w:r>
          </w:p>
        </w:tc>
      </w:tr>
      <w:tr>
        <w:trPr>
          <w:trHeight w:val="440"/>
        </w:trPr>
        <w:tc>
          <w:tcPr>
            <w:tcW w:type="dxa" w:w="3135"/>
            <w:vAlign w:val="center"/>
            <w:tcW w:w="1620000" w:type="dxa"/>
          </w:tcPr>
          <w:p>
            <w:pPr>
              <w:spacing w:before="60" w:after="60"/>
              <w:ind w:left="113"/>
            </w:pPr>
            <w:r>
              <w:rPr>
                <w:b w:val="0"/>
                <w:color w:val="1A1917"/>
                <w:sz w:val="20"/>
              </w:rPr>
              <w:t>Homely / Moving Soon</w:t>
            </w:r>
          </w:p>
        </w:tc>
        <w:tc>
          <w:tcPr>
            <w:tcW w:type="dxa" w:w="3135"/>
            <w:vAlign w:val="center"/>
            <w:tcW w:w="1800000" w:type="dxa"/>
          </w:tcPr>
          <w:p>
            <w:pPr>
              <w:spacing w:before="60" w:after="60"/>
              <w:ind w:left="113"/>
            </w:pPr>
            <w:r>
              <w:rPr>
                <w:b w:val="0"/>
                <w:color w:val="5E5A52"/>
                <w:sz w:val="20"/>
              </w:rPr>
              <w:t>Checklist tools</w:t>
            </w:r>
          </w:p>
        </w:tc>
        <w:tc>
          <w:tcPr>
            <w:tcW w:type="dxa" w:w="3135"/>
            <w:vAlign w:val="center"/>
            <w:tcW w:w="2520000" w:type="dxa"/>
          </w:tcPr>
          <w:p>
            <w:pPr>
              <w:spacing w:before="60" w:after="60"/>
              <w:ind w:left="113"/>
            </w:pPr>
            <w:r>
              <w:rPr>
                <w:b w:val="0"/>
                <w:color w:val="5E5A52"/>
                <w:sz w:val="20"/>
              </w:rPr>
              <w:t>No automated data checks or professional services</w:t>
            </w:r>
          </w:p>
        </w:tc>
      </w:tr>
      <w:tr>
        <w:trPr>
          <w:trHeight w:val="440"/>
        </w:trPr>
        <w:tc>
          <w:tcPr>
            <w:tcW w:type="dxa" w:w="3135"/>
            <w:vAlign w:val="center"/>
            <w:tcW w:w="1620000" w:type="dxa"/>
          </w:tcPr>
          <w:p>
            <w:pPr>
              <w:spacing w:before="60" w:after="60"/>
              <w:ind w:left="113"/>
            </w:pPr>
            <w:r>
              <w:rPr>
                <w:b w:val="0"/>
                <w:color w:val="1A1917"/>
                <w:sz w:val="20"/>
              </w:rPr>
              <w:t>myhomemove</w:t>
            </w:r>
          </w:p>
        </w:tc>
        <w:tc>
          <w:tcPr>
            <w:tcW w:type="dxa" w:w="3135"/>
            <w:vAlign w:val="center"/>
            <w:tcW w:w="1800000" w:type="dxa"/>
          </w:tcPr>
          <w:p>
            <w:pPr>
              <w:spacing w:before="60" w:after="60"/>
              <w:ind w:left="113"/>
            </w:pPr>
            <w:r>
              <w:rPr>
                <w:b w:val="0"/>
                <w:color w:val="5E5A52"/>
                <w:sz w:val="20"/>
              </w:rPr>
              <w:t>Conveyancing focus</w:t>
            </w:r>
          </w:p>
        </w:tc>
        <w:tc>
          <w:tcPr>
            <w:tcW w:type="dxa" w:w="3135"/>
            <w:vAlign w:val="center"/>
            <w:tcW w:w="2520000" w:type="dxa"/>
          </w:tcPr>
          <w:p>
            <w:pPr>
              <w:spacing w:before="60" w:after="60"/>
              <w:ind w:left="113"/>
            </w:pPr>
            <w:r>
              <w:rPr>
                <w:b w:val="0"/>
                <w:color w:val="5E5A52"/>
                <w:sz w:val="20"/>
              </w:rPr>
              <w:t>No buyer-facing data tools or ownership suite</w:t>
            </w:r>
          </w:p>
        </w:tc>
      </w:tr>
      <w:tr>
        <w:trPr>
          <w:trHeight w:val="440"/>
        </w:trPr>
        <w:tc>
          <w:tcPr>
            <w:tcW w:type="dxa" w:w="3135"/>
            <w:vAlign w:val="center"/>
            <w:tcW w:w="1620000" w:type="dxa"/>
          </w:tcPr>
          <w:p>
            <w:pPr>
              <w:spacing w:before="60" w:after="60"/>
              <w:ind w:left="113"/>
            </w:pPr>
            <w:r>
              <w:rPr>
                <w:b w:val="0"/>
                <w:color w:val="1A1917"/>
                <w:sz w:val="20"/>
              </w:rPr>
              <w:t>Property Log</w:t>
            </w:r>
          </w:p>
        </w:tc>
        <w:tc>
          <w:tcPr>
            <w:tcW w:type="dxa" w:w="3135"/>
            <w:vAlign w:val="center"/>
            <w:tcW w:w="1800000" w:type="dxa"/>
          </w:tcPr>
          <w:p>
            <w:pPr>
              <w:spacing w:before="60" w:after="60"/>
              <w:ind w:left="113"/>
            </w:pPr>
            <w:r>
              <w:rPr>
                <w:b w:val="0"/>
                <w:color w:val="5E5A52"/>
                <w:sz w:val="20"/>
              </w:rPr>
              <w:t>Owner dashboard</w:t>
            </w:r>
          </w:p>
        </w:tc>
        <w:tc>
          <w:tcPr>
            <w:tcW w:type="dxa" w:w="3135"/>
            <w:vAlign w:val="center"/>
            <w:tcW w:w="2520000" w:type="dxa"/>
          </w:tcPr>
          <w:p>
            <w:pPr>
              <w:spacing w:before="60" w:after="60"/>
              <w:ind w:left="113"/>
            </w:pPr>
            <w:r>
              <w:rPr>
                <w:b w:val="0"/>
                <w:color w:val="5E5A52"/>
                <w:sz w:val="20"/>
              </w:rPr>
              <w:t>No buyer tools; limited API data depth</w:t>
            </w:r>
          </w:p>
        </w:tc>
      </w:tr>
      <w:tr>
        <w:trPr>
          <w:trHeight w:val="440"/>
        </w:trPr>
        <w:tc>
          <w:tcPr>
            <w:tcW w:type="dxa" w:w="3135"/>
            <w:vAlign w:val="center"/>
            <w:tcW w:w="1620000" w:type="dxa"/>
          </w:tcPr>
          <w:p>
            <w:pPr>
              <w:spacing w:before="60" w:after="60"/>
              <w:ind w:left="113"/>
            </w:pPr>
            <w:r>
              <w:rPr>
                <w:b w:val="0"/>
                <w:color w:val="1A1917"/>
                <w:sz w:val="20"/>
              </w:rPr>
              <w:t>Hometrack / Dataloft</w:t>
            </w:r>
          </w:p>
        </w:tc>
        <w:tc>
          <w:tcPr>
            <w:tcW w:type="dxa" w:w="3135"/>
            <w:vAlign w:val="center"/>
            <w:tcW w:w="1800000" w:type="dxa"/>
          </w:tcPr>
          <w:p>
            <w:pPr>
              <w:spacing w:before="60" w:after="60"/>
              <w:ind w:left="113"/>
            </w:pPr>
            <w:r>
              <w:rPr>
                <w:b w:val="0"/>
                <w:color w:val="5E5A52"/>
                <w:sz w:val="20"/>
              </w:rPr>
              <w:t>Institutional data</w:t>
            </w:r>
          </w:p>
        </w:tc>
        <w:tc>
          <w:tcPr>
            <w:tcW w:type="dxa" w:w="3135"/>
            <w:vAlign w:val="center"/>
            <w:tcW w:w="2520000" w:type="dxa"/>
          </w:tcPr>
          <w:p>
            <w:pPr>
              <w:spacing w:before="60" w:after="60"/>
              <w:ind w:left="113"/>
            </w:pPr>
            <w:r>
              <w:rPr>
                <w:b w:val="0"/>
                <w:color w:val="5E5A52"/>
                <w:sz w:val="20"/>
              </w:rPr>
              <w:t>Consumer-facing, affordable, self-serve</w:t>
            </w:r>
          </w:p>
        </w:tc>
      </w:tr>
    </w:tbl>
    <w:p/>
    <w:p>
      <w:pPr>
        <w:spacing w:before="160" w:after="160"/>
        <w:pBdr>
          <w:bottom w:val="single" w:sz="4" w:space="1" w:color="E2DDD6"/>
        </w:pBdr>
      </w:pPr>
    </w:p>
    <w:p>
      <w:pPr>
        <w:pStyle w:val="Heading1"/>
        <w:spacing w:before="360" w:after="120"/>
      </w:pPr>
      <w:r>
        <w:rPr>
          <w:color w:val="1A1917"/>
        </w:rPr>
        <w:t>7. Revenue Model</w:t>
      </w:r>
    </w:p>
    <w:p>
      <w:pPr>
        <w:pStyle w:val="Heading2"/>
        <w:spacing w:before="240" w:after="120"/>
      </w:pPr>
      <w:r>
        <w:rPr>
          <w:color w:val="1A1917"/>
        </w:rPr>
        <w:t>7.1  SaaS Subscriptions</w:t>
      </w:r>
    </w:p>
    <w:p>
      <w:pPr>
        <w:spacing w:after="120"/>
      </w:pPr>
      <w:r>
        <w:rPr>
          <w:b w:val="0"/>
          <w:color w:val="5E5A52"/>
          <w:sz w:val="22"/>
        </w:rPr>
        <w:t>Two role-specific pricing tracks, billed monthly or annually (annual billed at discount):</w:t>
      </w:r>
    </w:p>
    <w:tbl>
      <w:tblPr>
        <w:tblStyle w:val="TableGrid"/>
        <w:tblW w:type="auto" w:w="0"/>
        <w:tblLook w:firstColumn="1" w:firstRow="1" w:lastColumn="0" w:lastRow="0" w:noHBand="0" w:noVBand="1" w:val="04A0"/>
      </w:tblPr>
      <w:tblGrid>
        <w:gridCol w:w="3135"/>
        <w:gridCol w:w="3135"/>
        <w:gridCol w:w="3135"/>
      </w:tblGrid>
      <w:tr>
        <w:trPr>
          <w:trHeight w:val="440"/>
        </w:trPr>
        <w:tc>
          <w:tcPr>
            <w:tcW w:type="dxa" w:w="3135"/>
            <w:vAlign w:val="center"/>
            <w:tcW w:w="1620000" w:type="dxa"/>
            <w:shd w:val="clear" w:color="auto" w:fill="1D9E75"/>
          </w:tcPr>
          <w:p>
            <w:pPr>
              <w:spacing w:before="60" w:after="60"/>
              <w:ind w:left="113"/>
            </w:pPr>
            <w:r>
              <w:rPr>
                <w:b/>
                <w:color w:val="FFFFFF"/>
                <w:sz w:val="20"/>
              </w:rPr>
              <w:t>Plan</w:t>
            </w:r>
          </w:p>
        </w:tc>
        <w:tc>
          <w:tcPr>
            <w:tcW w:type="dxa" w:w="3135"/>
            <w:vAlign w:val="center"/>
            <w:tcW w:w="2160000" w:type="dxa"/>
            <w:shd w:val="clear" w:color="auto" w:fill="1D9E75"/>
          </w:tcPr>
          <w:p>
            <w:pPr>
              <w:spacing w:before="60" w:after="60"/>
              <w:ind w:left="113"/>
            </w:pPr>
            <w:r>
              <w:rPr>
                <w:b/>
                <w:color w:val="FFFFFF"/>
                <w:sz w:val="20"/>
              </w:rPr>
              <w:t>HomeBuyer</w:t>
            </w:r>
          </w:p>
        </w:tc>
        <w:tc>
          <w:tcPr>
            <w:tcW w:type="dxa" w:w="3135"/>
            <w:vAlign w:val="center"/>
            <w:tcW w:w="2160000" w:type="dxa"/>
            <w:shd w:val="clear" w:color="auto" w:fill="1D9E75"/>
          </w:tcPr>
          <w:p>
            <w:pPr>
              <w:spacing w:before="60" w:after="60"/>
              <w:ind w:left="113"/>
            </w:pPr>
            <w:r>
              <w:rPr>
                <w:b/>
                <w:color w:val="FFFFFF"/>
                <w:sz w:val="20"/>
              </w:rPr>
              <w:t>HomeOwner</w:t>
            </w:r>
          </w:p>
        </w:tc>
      </w:tr>
      <w:tr>
        <w:trPr>
          <w:trHeight w:val="440"/>
        </w:trPr>
        <w:tc>
          <w:tcPr>
            <w:tcW w:type="dxa" w:w="3135"/>
            <w:vAlign w:val="center"/>
            <w:tcW w:w="1620000" w:type="dxa"/>
          </w:tcPr>
          <w:p>
            <w:pPr>
              <w:spacing w:before="60" w:after="60"/>
              <w:ind w:left="113"/>
            </w:pPr>
            <w:r>
              <w:rPr>
                <w:b w:val="0"/>
                <w:color w:val="1A1917"/>
                <w:sz w:val="20"/>
              </w:rPr>
              <w:t>Free</w:t>
            </w:r>
          </w:p>
        </w:tc>
        <w:tc>
          <w:tcPr>
            <w:tcW w:type="dxa" w:w="3135"/>
            <w:vAlign w:val="center"/>
            <w:tcW w:w="2160000" w:type="dxa"/>
          </w:tcPr>
          <w:p>
            <w:pPr>
              <w:spacing w:before="60" w:after="60"/>
              <w:ind w:left="113"/>
            </w:pPr>
            <w:r>
              <w:rPr>
                <w:b w:val="0"/>
                <w:color w:val="5E5A52"/>
                <w:sz w:val="20"/>
              </w:rPr>
              <w:t>£0/month</w:t>
            </w:r>
          </w:p>
        </w:tc>
        <w:tc>
          <w:tcPr>
            <w:tcW w:type="dxa" w:w="3135"/>
            <w:vAlign w:val="center"/>
            <w:tcW w:w="2160000" w:type="dxa"/>
          </w:tcPr>
          <w:p>
            <w:pPr>
              <w:spacing w:before="60" w:after="60"/>
              <w:ind w:left="113"/>
            </w:pPr>
            <w:r>
              <w:rPr>
                <w:b w:val="0"/>
                <w:color w:val="5E5A52"/>
                <w:sz w:val="20"/>
              </w:rPr>
              <w:t>£0/month</w:t>
            </w:r>
          </w:p>
        </w:tc>
      </w:tr>
      <w:tr>
        <w:trPr>
          <w:trHeight w:val="440"/>
        </w:trPr>
        <w:tc>
          <w:tcPr>
            <w:tcW w:type="dxa" w:w="3135"/>
            <w:vAlign w:val="center"/>
            <w:tcW w:w="1620000" w:type="dxa"/>
          </w:tcPr>
          <w:p>
            <w:pPr>
              <w:spacing w:before="60" w:after="60"/>
              <w:ind w:left="113"/>
            </w:pPr>
            <w:r>
              <w:rPr>
                <w:b w:val="0"/>
                <w:color w:val="1A1917"/>
                <w:sz w:val="20"/>
              </w:rPr>
              <w:t>Pro</w:t>
            </w:r>
          </w:p>
        </w:tc>
        <w:tc>
          <w:tcPr>
            <w:tcW w:type="dxa" w:w="3135"/>
            <w:vAlign w:val="center"/>
            <w:tcW w:w="2160000" w:type="dxa"/>
          </w:tcPr>
          <w:p>
            <w:pPr>
              <w:spacing w:before="60" w:after="60"/>
              <w:ind w:left="113"/>
            </w:pPr>
            <w:r>
              <w:rPr>
                <w:b w:val="0"/>
                <w:color w:val="5E5A52"/>
                <w:sz w:val="20"/>
              </w:rPr>
              <w:t>£19/month  (£149/year)</w:t>
            </w:r>
          </w:p>
        </w:tc>
        <w:tc>
          <w:tcPr>
            <w:tcW w:type="dxa" w:w="3135"/>
            <w:vAlign w:val="center"/>
            <w:tcW w:w="2160000" w:type="dxa"/>
          </w:tcPr>
          <w:p>
            <w:pPr>
              <w:spacing w:before="60" w:after="60"/>
              <w:ind w:left="113"/>
            </w:pPr>
            <w:r>
              <w:rPr>
                <w:b w:val="0"/>
                <w:color w:val="5E5A52"/>
                <w:sz w:val="20"/>
              </w:rPr>
              <w:t>£9/month  (£79/year)</w:t>
            </w:r>
          </w:p>
        </w:tc>
      </w:tr>
      <w:tr>
        <w:trPr>
          <w:trHeight w:val="440"/>
        </w:trPr>
        <w:tc>
          <w:tcPr>
            <w:tcW w:type="dxa" w:w="3135"/>
            <w:vAlign w:val="center"/>
            <w:tcW w:w="1620000" w:type="dxa"/>
          </w:tcPr>
          <w:p>
            <w:pPr>
              <w:spacing w:before="60" w:after="60"/>
              <w:ind w:left="113"/>
            </w:pPr>
            <w:r>
              <w:rPr>
                <w:b w:val="0"/>
                <w:color w:val="1A1917"/>
                <w:sz w:val="20"/>
              </w:rPr>
              <w:t>Enterprise</w:t>
            </w:r>
          </w:p>
        </w:tc>
        <w:tc>
          <w:tcPr>
            <w:tcW w:type="dxa" w:w="3135"/>
            <w:vAlign w:val="center"/>
            <w:tcW w:w="2160000" w:type="dxa"/>
          </w:tcPr>
          <w:p>
            <w:pPr>
              <w:spacing w:before="60" w:after="60"/>
              <w:ind w:left="113"/>
            </w:pPr>
            <w:r>
              <w:rPr>
                <w:b w:val="0"/>
                <w:color w:val="5E5A52"/>
                <w:sz w:val="20"/>
              </w:rPr>
              <w:t>£79/month</w:t>
            </w:r>
          </w:p>
        </w:tc>
        <w:tc>
          <w:tcPr>
            <w:tcW w:type="dxa" w:w="3135"/>
            <w:vAlign w:val="center"/>
            <w:tcW w:w="2160000" w:type="dxa"/>
          </w:tcPr>
          <w:p>
            <w:pPr>
              <w:spacing w:before="60" w:after="60"/>
              <w:ind w:left="113"/>
            </w:pPr>
            <w:r>
              <w:rPr>
                <w:b w:val="0"/>
                <w:color w:val="5E5A52"/>
                <w:sz w:val="20"/>
              </w:rPr>
              <w:t>£29/month</w:t>
            </w:r>
          </w:p>
        </w:tc>
      </w:tr>
    </w:tbl>
    <w:p/>
    <w:p>
      <w:pPr>
        <w:pStyle w:val="Heading2"/>
        <w:spacing w:before="240" w:after="120"/>
      </w:pPr>
      <w:r>
        <w:rPr>
          <w:color w:val="1A1917"/>
        </w:rPr>
        <w:t>7.2  Professional Services Marketplace</w:t>
      </w:r>
    </w:p>
    <w:p>
      <w:pPr>
        <w:spacing w:after="120"/>
      </w:pPr>
      <w:r>
        <w:rPr>
          <w:b w:val="0"/>
          <w:color w:val="5E5A52"/>
          <w:sz w:val="22"/>
        </w:rPr>
        <w:t>PropPilot earns a referral commission on every professional service booked through the platform. Estimated margins:</w:t>
      </w:r>
    </w:p>
    <w:p>
      <w:pPr>
        <w:pStyle w:val="ListBullet"/>
        <w:spacing w:after="60"/>
        <w:ind w:left="340"/>
      </w:pPr>
      <w:r>
        <w:rPr>
          <w:color w:val="5E5A52"/>
          <w:sz w:val="22"/>
        </w:rPr>
        <w:t>Legal checks (£800+):  10–15% commission = £80–£120 per booking.</w:t>
      </w:r>
    </w:p>
    <w:p>
      <w:pPr>
        <w:pStyle w:val="ListBullet"/>
        <w:spacing w:after="60"/>
        <w:ind w:left="340"/>
      </w:pPr>
      <w:r>
        <w:rPr>
          <w:color w:val="5E5A52"/>
          <w:sz w:val="22"/>
        </w:rPr>
        <w:t>Structural surveys (£500+):  10% commission = £50+ per booking.</w:t>
      </w:r>
    </w:p>
    <w:p>
      <w:pPr>
        <w:pStyle w:val="ListBullet"/>
        <w:spacing w:after="60"/>
        <w:ind w:left="340"/>
      </w:pPr>
      <w:r>
        <w:rPr>
          <w:color w:val="5E5A52"/>
          <w:sz w:val="22"/>
        </w:rPr>
        <w:t>Gas certificates (£60+):  15% commission = £9+ per booking.</w:t>
      </w:r>
    </w:p>
    <w:p>
      <w:pPr>
        <w:pStyle w:val="ListBullet"/>
        <w:spacing w:after="60"/>
        <w:ind w:left="340"/>
      </w:pPr>
      <w:r>
        <w:rPr>
          <w:color w:val="5E5A52"/>
          <w:sz w:val="22"/>
        </w:rPr>
        <w:t>EICR reports (£150+):  12% commission = £18+ per booking.</w:t>
      </w:r>
    </w:p>
    <w:p>
      <w:pPr>
        <w:pStyle w:val="Heading2"/>
        <w:spacing w:before="240" w:after="120"/>
      </w:pPr>
      <w:r>
        <w:rPr>
          <w:color w:val="1A1917"/>
        </w:rPr>
        <w:t>7.3  Future Revenue Streams</w:t>
      </w:r>
    </w:p>
    <w:p>
      <w:pPr>
        <w:pStyle w:val="ListBullet"/>
        <w:spacing w:after="60"/>
        <w:ind w:left="340"/>
      </w:pPr>
      <w:r>
        <w:rPr>
          <w:color w:val="5E5A52"/>
          <w:sz w:val="22"/>
        </w:rPr>
        <w:t>Mortgage referrals — fee per completed remortgage via broker partner integration.</w:t>
      </w:r>
    </w:p>
    <w:p>
      <w:pPr>
        <w:pStyle w:val="ListBullet"/>
        <w:spacing w:after="60"/>
        <w:ind w:left="340"/>
      </w:pPr>
      <w:r>
        <w:rPr>
          <w:color w:val="5E5A52"/>
          <w:sz w:val="22"/>
        </w:rPr>
        <w:t>Insurance referrals — renewal commission from buildings/contents insurer partners.</w:t>
      </w:r>
    </w:p>
    <w:p>
      <w:pPr>
        <w:pStyle w:val="ListBullet"/>
        <w:spacing w:after="60"/>
        <w:ind w:left="340"/>
      </w:pPr>
      <w:r>
        <w:rPr>
          <w:color w:val="5E5A52"/>
          <w:sz w:val="22"/>
        </w:rPr>
        <w:t>White-label API — monthly SaaS fee for estate agent and broker API access.</w:t>
      </w:r>
    </w:p>
    <w:p>
      <w:pPr>
        <w:pStyle w:val="ListBullet"/>
        <w:spacing w:after="60"/>
        <w:ind w:left="340"/>
      </w:pPr>
      <w:r>
        <w:rPr>
          <w:color w:val="5E5A52"/>
          <w:sz w:val="22"/>
        </w:rPr>
        <w:t>Data insights — anonymised, aggregated property intelligence reports sold to lenders and developers.</w:t>
      </w:r>
    </w:p>
    <w:p>
      <w:pPr>
        <w:pStyle w:val="Heading2"/>
        <w:spacing w:before="240" w:after="120"/>
      </w:pPr>
      <w:r>
        <w:rPr>
          <w:color w:val="1A1917"/>
        </w:rPr>
        <w:t>7.4  Unit Economics Targets (Year 2)</w:t>
      </w:r>
    </w:p>
    <w:tbl>
      <w:tblPr>
        <w:tblStyle w:val="TableGrid"/>
        <w:tblW w:type="auto" w:w="0"/>
        <w:tblLook w:firstColumn="1" w:firstRow="1" w:lastColumn="0" w:lastRow="0" w:noHBand="0" w:noVBand="1" w:val="04A0"/>
      </w:tblPr>
      <w:tblGrid>
        <w:gridCol w:w="4703"/>
        <w:gridCol w:w="4703"/>
      </w:tblGrid>
      <w:tr>
        <w:trPr>
          <w:trHeight w:val="440"/>
        </w:trPr>
        <w:tc>
          <w:tcPr>
            <w:tcW w:type="dxa" w:w="4703"/>
            <w:vAlign w:val="center"/>
            <w:tcW w:w="3240000" w:type="dxa"/>
            <w:shd w:val="clear" w:color="auto" w:fill="1D9E75"/>
          </w:tcPr>
          <w:p>
            <w:pPr>
              <w:spacing w:before="60" w:after="60"/>
              <w:ind w:left="113"/>
            </w:pPr>
            <w:r>
              <w:rPr>
                <w:b/>
                <w:color w:val="FFFFFF"/>
                <w:sz w:val="20"/>
              </w:rPr>
              <w:t>Metric</w:t>
            </w:r>
          </w:p>
        </w:tc>
        <w:tc>
          <w:tcPr>
            <w:tcW w:type="dxa" w:w="4703"/>
            <w:vAlign w:val="center"/>
            <w:tcW w:w="2880000" w:type="dxa"/>
            <w:shd w:val="clear" w:color="auto" w:fill="1D9E75"/>
          </w:tcPr>
          <w:p>
            <w:pPr>
              <w:spacing w:before="60" w:after="60"/>
              <w:ind w:left="113"/>
            </w:pPr>
            <w:r>
              <w:rPr>
                <w:b/>
                <w:color w:val="FFFFFF"/>
                <w:sz w:val="20"/>
              </w:rPr>
              <w:t>Target</w:t>
            </w:r>
          </w:p>
        </w:tc>
      </w:tr>
      <w:tr>
        <w:trPr>
          <w:trHeight w:val="440"/>
        </w:trPr>
        <w:tc>
          <w:tcPr>
            <w:tcW w:type="dxa" w:w="4703"/>
            <w:vAlign w:val="center"/>
            <w:tcW w:w="3240000" w:type="dxa"/>
          </w:tcPr>
          <w:p>
            <w:pPr>
              <w:spacing w:before="60" w:after="60"/>
              <w:ind w:left="113"/>
            </w:pPr>
            <w:r>
              <w:rPr>
                <w:b w:val="0"/>
                <w:color w:val="1A1917"/>
                <w:sz w:val="20"/>
              </w:rPr>
              <w:t>Monthly Active Users (MAU)</w:t>
            </w:r>
          </w:p>
        </w:tc>
        <w:tc>
          <w:tcPr>
            <w:tcW w:type="dxa" w:w="4703"/>
            <w:vAlign w:val="center"/>
            <w:tcW w:w="2880000" w:type="dxa"/>
          </w:tcPr>
          <w:p>
            <w:pPr>
              <w:spacing w:before="60" w:after="60"/>
              <w:ind w:left="113"/>
            </w:pPr>
            <w:r>
              <w:rPr>
                <w:b w:val="0"/>
                <w:color w:val="5E5A52"/>
                <w:sz w:val="20"/>
              </w:rPr>
              <w:t>25,000</w:t>
            </w:r>
          </w:p>
        </w:tc>
      </w:tr>
      <w:tr>
        <w:trPr>
          <w:trHeight w:val="440"/>
        </w:trPr>
        <w:tc>
          <w:tcPr>
            <w:tcW w:type="dxa" w:w="4703"/>
            <w:vAlign w:val="center"/>
            <w:tcW w:w="3240000" w:type="dxa"/>
          </w:tcPr>
          <w:p>
            <w:pPr>
              <w:spacing w:before="60" w:after="60"/>
              <w:ind w:left="113"/>
            </w:pPr>
            <w:r>
              <w:rPr>
                <w:b w:val="0"/>
                <w:color w:val="1A1917"/>
                <w:sz w:val="20"/>
              </w:rPr>
              <w:t>Paid conversion rate</w:t>
            </w:r>
          </w:p>
        </w:tc>
        <w:tc>
          <w:tcPr>
            <w:tcW w:type="dxa" w:w="4703"/>
            <w:vAlign w:val="center"/>
            <w:tcW w:w="2880000" w:type="dxa"/>
          </w:tcPr>
          <w:p>
            <w:pPr>
              <w:spacing w:before="60" w:after="60"/>
              <w:ind w:left="113"/>
            </w:pPr>
            <w:r>
              <w:rPr>
                <w:b w:val="0"/>
                <w:color w:val="5E5A52"/>
                <w:sz w:val="20"/>
              </w:rPr>
              <w:t>12%</w:t>
            </w:r>
          </w:p>
        </w:tc>
      </w:tr>
      <w:tr>
        <w:trPr>
          <w:trHeight w:val="440"/>
        </w:trPr>
        <w:tc>
          <w:tcPr>
            <w:tcW w:type="dxa" w:w="4703"/>
            <w:vAlign w:val="center"/>
            <w:tcW w:w="3240000" w:type="dxa"/>
          </w:tcPr>
          <w:p>
            <w:pPr>
              <w:spacing w:before="60" w:after="60"/>
              <w:ind w:left="113"/>
            </w:pPr>
            <w:r>
              <w:rPr>
                <w:b w:val="0"/>
                <w:color w:val="1A1917"/>
                <w:sz w:val="20"/>
              </w:rPr>
              <w:t>Blended ARPU (paid)</w:t>
            </w:r>
          </w:p>
        </w:tc>
        <w:tc>
          <w:tcPr>
            <w:tcW w:type="dxa" w:w="4703"/>
            <w:vAlign w:val="center"/>
            <w:tcW w:w="2880000" w:type="dxa"/>
          </w:tcPr>
          <w:p>
            <w:pPr>
              <w:spacing w:before="60" w:after="60"/>
              <w:ind w:left="113"/>
            </w:pPr>
            <w:r>
              <w:rPr>
                <w:b w:val="0"/>
                <w:color w:val="5E5A52"/>
                <w:sz w:val="20"/>
              </w:rPr>
              <w:t>£14/month</w:t>
            </w:r>
          </w:p>
        </w:tc>
      </w:tr>
      <w:tr>
        <w:trPr>
          <w:trHeight w:val="440"/>
        </w:trPr>
        <w:tc>
          <w:tcPr>
            <w:tcW w:type="dxa" w:w="4703"/>
            <w:vAlign w:val="center"/>
            <w:tcW w:w="3240000" w:type="dxa"/>
          </w:tcPr>
          <w:p>
            <w:pPr>
              <w:spacing w:before="60" w:after="60"/>
              <w:ind w:left="113"/>
            </w:pPr>
            <w:r>
              <w:rPr>
                <w:b w:val="0"/>
                <w:color w:val="1A1917"/>
                <w:sz w:val="20"/>
              </w:rPr>
              <w:t>Monthly Recurring Revenue (MRR)</w:t>
            </w:r>
          </w:p>
        </w:tc>
        <w:tc>
          <w:tcPr>
            <w:tcW w:type="dxa" w:w="4703"/>
            <w:vAlign w:val="center"/>
            <w:tcW w:w="2880000" w:type="dxa"/>
          </w:tcPr>
          <w:p>
            <w:pPr>
              <w:spacing w:before="60" w:after="60"/>
              <w:ind w:left="113"/>
            </w:pPr>
            <w:r>
              <w:rPr>
                <w:b w:val="0"/>
                <w:color w:val="5E5A52"/>
                <w:sz w:val="20"/>
              </w:rPr>
              <w:t>£42,000</w:t>
            </w:r>
          </w:p>
        </w:tc>
      </w:tr>
      <w:tr>
        <w:trPr>
          <w:trHeight w:val="440"/>
        </w:trPr>
        <w:tc>
          <w:tcPr>
            <w:tcW w:type="dxa" w:w="4703"/>
            <w:vAlign w:val="center"/>
            <w:tcW w:w="3240000" w:type="dxa"/>
          </w:tcPr>
          <w:p>
            <w:pPr>
              <w:spacing w:before="60" w:after="60"/>
              <w:ind w:left="113"/>
            </w:pPr>
            <w:r>
              <w:rPr>
                <w:b w:val="0"/>
                <w:color w:val="1A1917"/>
                <w:sz w:val="20"/>
              </w:rPr>
              <w:t>Professional services GMV</w:t>
            </w:r>
          </w:p>
        </w:tc>
        <w:tc>
          <w:tcPr>
            <w:tcW w:type="dxa" w:w="4703"/>
            <w:vAlign w:val="center"/>
            <w:tcW w:w="2880000" w:type="dxa"/>
          </w:tcPr>
          <w:p>
            <w:pPr>
              <w:spacing w:before="60" w:after="60"/>
              <w:ind w:left="113"/>
            </w:pPr>
            <w:r>
              <w:rPr>
                <w:b w:val="0"/>
                <w:color w:val="5E5A52"/>
                <w:sz w:val="20"/>
              </w:rPr>
              <w:t>£120,000/month</w:t>
            </w:r>
          </w:p>
        </w:tc>
      </w:tr>
      <w:tr>
        <w:trPr>
          <w:trHeight w:val="440"/>
        </w:trPr>
        <w:tc>
          <w:tcPr>
            <w:tcW w:type="dxa" w:w="4703"/>
            <w:vAlign w:val="center"/>
            <w:tcW w:w="3240000" w:type="dxa"/>
          </w:tcPr>
          <w:p>
            <w:pPr>
              <w:spacing w:before="60" w:after="60"/>
              <w:ind w:left="113"/>
            </w:pPr>
            <w:r>
              <w:rPr>
                <w:b w:val="0"/>
                <w:color w:val="1A1917"/>
                <w:sz w:val="20"/>
              </w:rPr>
              <w:t>Take rate on services</w:t>
            </w:r>
          </w:p>
        </w:tc>
        <w:tc>
          <w:tcPr>
            <w:tcW w:type="dxa" w:w="4703"/>
            <w:vAlign w:val="center"/>
            <w:tcW w:w="2880000" w:type="dxa"/>
          </w:tcPr>
          <w:p>
            <w:pPr>
              <w:spacing w:before="60" w:after="60"/>
              <w:ind w:left="113"/>
            </w:pPr>
            <w:r>
              <w:rPr>
                <w:b w:val="0"/>
                <w:color w:val="5E5A52"/>
                <w:sz w:val="20"/>
              </w:rPr>
              <w:t>12%</w:t>
            </w:r>
          </w:p>
        </w:tc>
      </w:tr>
      <w:tr>
        <w:trPr>
          <w:trHeight w:val="440"/>
        </w:trPr>
        <w:tc>
          <w:tcPr>
            <w:tcW w:type="dxa" w:w="4703"/>
            <w:vAlign w:val="center"/>
            <w:tcW w:w="3240000" w:type="dxa"/>
          </w:tcPr>
          <w:p>
            <w:pPr>
              <w:spacing w:before="60" w:after="60"/>
              <w:ind w:left="113"/>
            </w:pPr>
            <w:r>
              <w:rPr>
                <w:b w:val="0"/>
                <w:color w:val="1A1917"/>
                <w:sz w:val="20"/>
              </w:rPr>
              <w:t>Services revenue</w:t>
            </w:r>
          </w:p>
        </w:tc>
        <w:tc>
          <w:tcPr>
            <w:tcW w:type="dxa" w:w="4703"/>
            <w:vAlign w:val="center"/>
            <w:tcW w:w="2880000" w:type="dxa"/>
          </w:tcPr>
          <w:p>
            <w:pPr>
              <w:spacing w:before="60" w:after="60"/>
              <w:ind w:left="113"/>
            </w:pPr>
            <w:r>
              <w:rPr>
                <w:b w:val="0"/>
                <w:color w:val="5E5A52"/>
                <w:sz w:val="20"/>
              </w:rPr>
              <w:t>£14,400/month</w:t>
            </w:r>
          </w:p>
        </w:tc>
      </w:tr>
      <w:tr>
        <w:trPr>
          <w:trHeight w:val="440"/>
        </w:trPr>
        <w:tc>
          <w:tcPr>
            <w:tcW w:type="dxa" w:w="4703"/>
            <w:vAlign w:val="center"/>
            <w:tcW w:w="3240000" w:type="dxa"/>
          </w:tcPr>
          <w:p>
            <w:pPr>
              <w:spacing w:before="60" w:after="60"/>
              <w:ind w:left="113"/>
            </w:pPr>
            <w:r>
              <w:rPr>
                <w:b w:val="0"/>
                <w:color w:val="1A1917"/>
                <w:sz w:val="20"/>
              </w:rPr>
              <w:t>Target total MRR (month 24)</w:t>
            </w:r>
          </w:p>
        </w:tc>
        <w:tc>
          <w:tcPr>
            <w:tcW w:type="dxa" w:w="4703"/>
            <w:vAlign w:val="center"/>
            <w:tcW w:w="2880000" w:type="dxa"/>
          </w:tcPr>
          <w:p>
            <w:pPr>
              <w:spacing w:before="60" w:after="60"/>
              <w:ind w:left="113"/>
            </w:pPr>
            <w:r>
              <w:rPr>
                <w:b w:val="0"/>
                <w:color w:val="5E5A52"/>
                <w:sz w:val="20"/>
              </w:rPr>
              <w:t>£56,400</w:t>
            </w:r>
          </w:p>
        </w:tc>
      </w:tr>
      <w:tr>
        <w:trPr>
          <w:trHeight w:val="440"/>
        </w:trPr>
        <w:tc>
          <w:tcPr>
            <w:tcW w:type="dxa" w:w="4703"/>
            <w:vAlign w:val="center"/>
            <w:tcW w:w="3240000" w:type="dxa"/>
          </w:tcPr>
          <w:p>
            <w:pPr>
              <w:spacing w:before="60" w:after="60"/>
              <w:ind w:left="113"/>
            </w:pPr>
            <w:r>
              <w:rPr>
                <w:b w:val="0"/>
                <w:color w:val="1A1917"/>
                <w:sz w:val="20"/>
              </w:rPr>
              <w:t>Projected ARR (month 24)</w:t>
            </w:r>
          </w:p>
        </w:tc>
        <w:tc>
          <w:tcPr>
            <w:tcW w:type="dxa" w:w="4703"/>
            <w:vAlign w:val="center"/>
            <w:tcW w:w="2880000" w:type="dxa"/>
          </w:tcPr>
          <w:p>
            <w:pPr>
              <w:spacing w:before="60" w:after="60"/>
              <w:ind w:left="113"/>
            </w:pPr>
            <w:r>
              <w:rPr>
                <w:b w:val="0"/>
                <w:color w:val="5E5A52"/>
                <w:sz w:val="20"/>
              </w:rPr>
              <w:t>~£677,000</w:t>
            </w:r>
          </w:p>
        </w:tc>
      </w:tr>
    </w:tbl>
    <w:p/>
    <w:p>
      <w:pPr>
        <w:spacing w:before="160" w:after="160"/>
        <w:pBdr>
          <w:bottom w:val="single" w:sz="4" w:space="1" w:color="E2DDD6"/>
        </w:pBdr>
      </w:pPr>
    </w:p>
    <w:p>
      <w:pPr>
        <w:pStyle w:val="Heading1"/>
        <w:spacing w:before="360" w:after="120"/>
      </w:pPr>
      <w:r>
        <w:rPr>
          <w:color w:val="1A1917"/>
        </w:rPr>
        <w:t>8. Go-to-Market Strategy</w:t>
      </w:r>
    </w:p>
    <w:p>
      <w:pPr>
        <w:pStyle w:val="Heading2"/>
        <w:spacing w:before="240" w:after="120"/>
      </w:pPr>
      <w:r>
        <w:rPr>
          <w:color w:val="1A1917"/>
        </w:rPr>
        <w:t>Phase 1 — Organic Search &amp; Content (Months 1–6)</w:t>
      </w:r>
    </w:p>
    <w:p>
      <w:pPr>
        <w:pStyle w:val="ListBullet"/>
        <w:spacing w:after="60"/>
        <w:ind w:left="340"/>
      </w:pPr>
      <w:r>
        <w:rPr>
          <w:color w:val="5E5A52"/>
          <w:sz w:val="22"/>
        </w:rPr>
        <w:t>SEO-optimised landing pages for high-intent buyer queries (e.g. "flood risk check [postcode]", "is [address] in a flood zone").</w:t>
      </w:r>
    </w:p>
    <w:p>
      <w:pPr>
        <w:pStyle w:val="ListBullet"/>
        <w:spacing w:after="60"/>
        <w:ind w:left="340"/>
      </w:pPr>
      <w:r>
        <w:rPr>
          <w:color w:val="5E5A52"/>
          <w:sz w:val="22"/>
        </w:rPr>
        <w:t>Educational content hub: "First-Time Buyer Guide", "How to read an EPC", "What is SDLT relief?".</w:t>
      </w:r>
    </w:p>
    <w:p>
      <w:pPr>
        <w:pStyle w:val="ListBullet"/>
        <w:spacing w:after="60"/>
        <w:ind w:left="340"/>
      </w:pPr>
      <w:r>
        <w:rPr>
          <w:color w:val="5E5A52"/>
          <w:sz w:val="22"/>
        </w:rPr>
        <w:t>Free tools as acquisition drivers — Stamp Duty calculator and property report rank for informational intent searches.</w:t>
      </w:r>
    </w:p>
    <w:p>
      <w:pPr>
        <w:pStyle w:val="ListBullet"/>
        <w:spacing w:after="60"/>
        <w:ind w:left="340"/>
      </w:pPr>
      <w:r>
        <w:rPr>
          <w:color w:val="5E5A52"/>
          <w:sz w:val="22"/>
        </w:rPr>
        <w:t>Targeted Reddit and Facebook Group engagement in UK property communities.</w:t>
      </w:r>
    </w:p>
    <w:p>
      <w:pPr>
        <w:pStyle w:val="Heading2"/>
        <w:spacing w:before="240" w:after="120"/>
      </w:pPr>
      <w:r>
        <w:rPr>
          <w:color w:val="1A1917"/>
        </w:rPr>
        <w:t>Phase 2 — Partnership &amp; Referrals (Months 4–12)</w:t>
      </w:r>
    </w:p>
    <w:p>
      <w:pPr>
        <w:pStyle w:val="ListBullet"/>
        <w:spacing w:after="60"/>
        <w:ind w:left="340"/>
      </w:pPr>
      <w:r>
        <w:rPr>
          <w:color w:val="5E5A52"/>
          <w:sz w:val="22"/>
        </w:rPr>
        <w:t>Estate agent partnerships: white-label property reports embedded in agent listings.</w:t>
      </w:r>
    </w:p>
    <w:p>
      <w:pPr>
        <w:pStyle w:val="ListBullet"/>
        <w:spacing w:after="60"/>
        <w:ind w:left="340"/>
      </w:pPr>
      <w:r>
        <w:rPr>
          <w:color w:val="5E5A52"/>
          <w:sz w:val="22"/>
        </w:rPr>
        <w:t>Mortgage broker integrations: remortgage radar referrals from broker CRM systems.</w:t>
      </w:r>
    </w:p>
    <w:p>
      <w:pPr>
        <w:pStyle w:val="ListBullet"/>
        <w:spacing w:after="60"/>
        <w:ind w:left="340"/>
      </w:pPr>
      <w:r>
        <w:rPr>
          <w:color w:val="5E5A52"/>
          <w:sz w:val="22"/>
        </w:rPr>
        <w:t>Solicitor and conveyancer referral programme: PropPilot report included with legal instruction pack.</w:t>
      </w:r>
    </w:p>
    <w:p>
      <w:pPr>
        <w:pStyle w:val="ListBullet"/>
        <w:spacing w:after="60"/>
        <w:ind w:left="340"/>
      </w:pPr>
      <w:r>
        <w:rPr>
          <w:color w:val="5E5A52"/>
          <w:sz w:val="22"/>
        </w:rPr>
        <w:t>Landlord association partnerships (NRLA, RLA) for compliance tool promotion.</w:t>
      </w:r>
    </w:p>
    <w:p>
      <w:pPr>
        <w:pStyle w:val="Heading2"/>
        <w:spacing w:before="240" w:after="120"/>
      </w:pPr>
      <w:r>
        <w:rPr>
          <w:color w:val="1A1917"/>
        </w:rPr>
        <w:t>Phase 3 — Paid Acquisition &amp; Retargeting (Months 6–18)</w:t>
      </w:r>
    </w:p>
    <w:p>
      <w:pPr>
        <w:pStyle w:val="ListBullet"/>
        <w:spacing w:after="60"/>
        <w:ind w:left="340"/>
      </w:pPr>
      <w:r>
        <w:rPr>
          <w:color w:val="5E5A52"/>
          <w:sz w:val="22"/>
        </w:rPr>
        <w:t>Google Search Ads targeting high-commercial intent queries ("conveyancing checklist", "home survey cost").</w:t>
      </w:r>
    </w:p>
    <w:p>
      <w:pPr>
        <w:pStyle w:val="ListBullet"/>
        <w:spacing w:after="60"/>
        <w:ind w:left="340"/>
      </w:pPr>
      <w:r>
        <w:rPr>
          <w:color w:val="5E5A52"/>
          <w:sz w:val="22"/>
        </w:rPr>
        <w:t>Facebook and Instagram retargeting for users who have used the free tools but not converted to Pro.</w:t>
      </w:r>
    </w:p>
    <w:p>
      <w:pPr>
        <w:pStyle w:val="ListBullet"/>
        <w:spacing w:after="60"/>
        <w:ind w:left="340"/>
      </w:pPr>
      <w:r>
        <w:rPr>
          <w:color w:val="5E5A52"/>
          <w:sz w:val="22"/>
        </w:rPr>
        <w:t>Affiliate programme for property bloggers, YouTube channels, and first-time buyer communities.</w:t>
      </w:r>
    </w:p>
    <w:p>
      <w:pPr>
        <w:spacing w:before="160" w:after="160"/>
        <w:pBdr>
          <w:bottom w:val="single" w:sz="4" w:space="1" w:color="E2DDD6"/>
        </w:pBdr>
      </w:pPr>
    </w:p>
    <w:p>
      <w:pPr>
        <w:pStyle w:val="Heading1"/>
        <w:spacing w:before="360" w:after="120"/>
      </w:pPr>
      <w:r>
        <w:rPr>
          <w:color w:val="1A1917"/>
        </w:rPr>
        <w:t>9. Technology Stack</w:t>
      </w:r>
    </w:p>
    <w:tbl>
      <w:tblPr>
        <w:tblStyle w:val="TableGrid"/>
        <w:tblW w:type="auto" w:w="0"/>
        <w:tblLook w:firstColumn="1" w:firstRow="1" w:lastColumn="0" w:lastRow="0" w:noHBand="0" w:noVBand="1" w:val="04A0"/>
      </w:tblPr>
      <w:tblGrid>
        <w:gridCol w:w="4703"/>
        <w:gridCol w:w="4703"/>
      </w:tblGrid>
      <w:tr>
        <w:trPr>
          <w:trHeight w:val="440"/>
        </w:trPr>
        <w:tc>
          <w:tcPr>
            <w:tcW w:type="dxa" w:w="4703"/>
            <w:vAlign w:val="center"/>
            <w:tcW w:w="1980000" w:type="dxa"/>
            <w:shd w:val="clear" w:color="auto" w:fill="1D9E75"/>
          </w:tcPr>
          <w:p>
            <w:pPr>
              <w:spacing w:before="60" w:after="60"/>
              <w:ind w:left="113"/>
            </w:pPr>
            <w:r>
              <w:rPr>
                <w:b/>
                <w:color w:val="FFFFFF"/>
                <w:sz w:val="20"/>
              </w:rPr>
              <w:t>Layer</w:t>
            </w:r>
          </w:p>
        </w:tc>
        <w:tc>
          <w:tcPr>
            <w:tcW w:type="dxa" w:w="4703"/>
            <w:vAlign w:val="center"/>
            <w:tcW w:w="4140000" w:type="dxa"/>
            <w:shd w:val="clear" w:color="auto" w:fill="1D9E75"/>
          </w:tcPr>
          <w:p>
            <w:pPr>
              <w:spacing w:before="60" w:after="60"/>
              <w:ind w:left="113"/>
            </w:pPr>
            <w:r>
              <w:rPr>
                <w:b/>
                <w:color w:val="FFFFFF"/>
                <w:sz w:val="20"/>
              </w:rPr>
              <w:t>Technology</w:t>
            </w:r>
          </w:p>
        </w:tc>
      </w:tr>
      <w:tr>
        <w:trPr>
          <w:trHeight w:val="440"/>
        </w:trPr>
        <w:tc>
          <w:tcPr>
            <w:tcW w:type="dxa" w:w="4703"/>
            <w:vAlign w:val="center"/>
            <w:tcW w:w="1980000" w:type="dxa"/>
          </w:tcPr>
          <w:p>
            <w:pPr>
              <w:spacing w:before="60" w:after="60"/>
              <w:ind w:left="113"/>
            </w:pPr>
            <w:r>
              <w:rPr>
                <w:b w:val="0"/>
                <w:color w:val="1A1917"/>
                <w:sz w:val="20"/>
              </w:rPr>
              <w:t>Frontend framework</w:t>
            </w:r>
          </w:p>
        </w:tc>
        <w:tc>
          <w:tcPr>
            <w:tcW w:type="dxa" w:w="4703"/>
            <w:vAlign w:val="center"/>
            <w:tcW w:w="4140000" w:type="dxa"/>
          </w:tcPr>
          <w:p>
            <w:pPr>
              <w:spacing w:before="60" w:after="60"/>
              <w:ind w:left="113"/>
            </w:pPr>
            <w:r>
              <w:rPr>
                <w:b w:val="0"/>
                <w:color w:val="5E5A52"/>
                <w:sz w:val="20"/>
              </w:rPr>
              <w:t>Next.js 15 (App Router, React Server Components)</w:t>
            </w:r>
          </w:p>
        </w:tc>
      </w:tr>
      <w:tr>
        <w:trPr>
          <w:trHeight w:val="440"/>
        </w:trPr>
        <w:tc>
          <w:tcPr>
            <w:tcW w:type="dxa" w:w="4703"/>
            <w:vAlign w:val="center"/>
            <w:tcW w:w="1980000" w:type="dxa"/>
          </w:tcPr>
          <w:p>
            <w:pPr>
              <w:spacing w:before="60" w:after="60"/>
              <w:ind w:left="113"/>
            </w:pPr>
            <w:r>
              <w:rPr>
                <w:b w:val="0"/>
                <w:color w:val="1A1917"/>
                <w:sz w:val="20"/>
              </w:rPr>
              <w:t>Styling</w:t>
            </w:r>
          </w:p>
        </w:tc>
        <w:tc>
          <w:tcPr>
            <w:tcW w:type="dxa" w:w="4703"/>
            <w:vAlign w:val="center"/>
            <w:tcW w:w="4140000" w:type="dxa"/>
          </w:tcPr>
          <w:p>
            <w:pPr>
              <w:spacing w:before="60" w:after="60"/>
              <w:ind w:left="113"/>
            </w:pPr>
            <w:r>
              <w:rPr>
                <w:b w:val="0"/>
                <w:color w:val="5E5A52"/>
                <w:sz w:val="20"/>
              </w:rPr>
              <w:t>Inline CSS (custom design system, no Tailwind in production)</w:t>
            </w:r>
          </w:p>
        </w:tc>
      </w:tr>
      <w:tr>
        <w:trPr>
          <w:trHeight w:val="440"/>
        </w:trPr>
        <w:tc>
          <w:tcPr>
            <w:tcW w:type="dxa" w:w="4703"/>
            <w:vAlign w:val="center"/>
            <w:tcW w:w="1980000" w:type="dxa"/>
          </w:tcPr>
          <w:p>
            <w:pPr>
              <w:spacing w:before="60" w:after="60"/>
              <w:ind w:left="113"/>
            </w:pPr>
            <w:r>
              <w:rPr>
                <w:b w:val="0"/>
                <w:color w:val="1A1917"/>
                <w:sz w:val="20"/>
              </w:rPr>
              <w:t>Authentication</w:t>
            </w:r>
          </w:p>
        </w:tc>
        <w:tc>
          <w:tcPr>
            <w:tcW w:type="dxa" w:w="4703"/>
            <w:vAlign w:val="center"/>
            <w:tcW w:w="4140000" w:type="dxa"/>
          </w:tcPr>
          <w:p>
            <w:pPr>
              <w:spacing w:before="60" w:after="60"/>
              <w:ind w:left="113"/>
            </w:pPr>
            <w:r>
              <w:rPr>
                <w:b w:val="0"/>
                <w:color w:val="5E5A52"/>
                <w:sz w:val="20"/>
              </w:rPr>
              <w:t>localStorage MVP → Supabase Auth (Horizon 1)</w:t>
            </w:r>
          </w:p>
        </w:tc>
      </w:tr>
      <w:tr>
        <w:trPr>
          <w:trHeight w:val="440"/>
        </w:trPr>
        <w:tc>
          <w:tcPr>
            <w:tcW w:type="dxa" w:w="4703"/>
            <w:vAlign w:val="center"/>
            <w:tcW w:w="1980000" w:type="dxa"/>
          </w:tcPr>
          <w:p>
            <w:pPr>
              <w:spacing w:before="60" w:after="60"/>
              <w:ind w:left="113"/>
            </w:pPr>
            <w:r>
              <w:rPr>
                <w:b w:val="0"/>
                <w:color w:val="1A1917"/>
                <w:sz w:val="20"/>
              </w:rPr>
              <w:t>Database</w:t>
            </w:r>
          </w:p>
        </w:tc>
        <w:tc>
          <w:tcPr>
            <w:tcW w:type="dxa" w:w="4703"/>
            <w:vAlign w:val="center"/>
            <w:tcW w:w="4140000" w:type="dxa"/>
          </w:tcPr>
          <w:p>
            <w:pPr>
              <w:spacing w:before="60" w:after="60"/>
              <w:ind w:left="113"/>
            </w:pPr>
            <w:r>
              <w:rPr>
                <w:b w:val="0"/>
                <w:color w:val="5E5A52"/>
                <w:sz w:val="20"/>
              </w:rPr>
              <w:t>PostgreSQL via Supabase (Horizon 1)</w:t>
            </w:r>
          </w:p>
        </w:tc>
      </w:tr>
      <w:tr>
        <w:trPr>
          <w:trHeight w:val="440"/>
        </w:trPr>
        <w:tc>
          <w:tcPr>
            <w:tcW w:type="dxa" w:w="4703"/>
            <w:vAlign w:val="center"/>
            <w:tcW w:w="1980000" w:type="dxa"/>
          </w:tcPr>
          <w:p>
            <w:pPr>
              <w:spacing w:before="60" w:after="60"/>
              <w:ind w:left="113"/>
            </w:pPr>
            <w:r>
              <w:rPr>
                <w:b w:val="0"/>
                <w:color w:val="1A1917"/>
                <w:sz w:val="20"/>
              </w:rPr>
              <w:t>Payments</w:t>
            </w:r>
          </w:p>
        </w:tc>
        <w:tc>
          <w:tcPr>
            <w:tcW w:type="dxa" w:w="4703"/>
            <w:vAlign w:val="center"/>
            <w:tcW w:w="4140000" w:type="dxa"/>
          </w:tcPr>
          <w:p>
            <w:pPr>
              <w:spacing w:before="60" w:after="60"/>
              <w:ind w:left="113"/>
            </w:pPr>
            <w:r>
              <w:rPr>
                <w:b w:val="0"/>
                <w:color w:val="5E5A52"/>
                <w:sz w:val="20"/>
              </w:rPr>
              <w:t>Stripe Checkout + Customer Portal (Horizon 1)</w:t>
            </w:r>
          </w:p>
        </w:tc>
      </w:tr>
      <w:tr>
        <w:trPr>
          <w:trHeight w:val="440"/>
        </w:trPr>
        <w:tc>
          <w:tcPr>
            <w:tcW w:type="dxa" w:w="4703"/>
            <w:vAlign w:val="center"/>
            <w:tcW w:w="1980000" w:type="dxa"/>
          </w:tcPr>
          <w:p>
            <w:pPr>
              <w:spacing w:before="60" w:after="60"/>
              <w:ind w:left="113"/>
            </w:pPr>
            <w:r>
              <w:rPr>
                <w:b w:val="0"/>
                <w:color w:val="1A1917"/>
                <w:sz w:val="20"/>
              </w:rPr>
              <w:t>Email</w:t>
            </w:r>
          </w:p>
        </w:tc>
        <w:tc>
          <w:tcPr>
            <w:tcW w:type="dxa" w:w="4703"/>
            <w:vAlign w:val="center"/>
            <w:tcW w:w="4140000" w:type="dxa"/>
          </w:tcPr>
          <w:p>
            <w:pPr>
              <w:spacing w:before="60" w:after="60"/>
              <w:ind w:left="113"/>
            </w:pPr>
            <w:r>
              <w:rPr>
                <w:b w:val="0"/>
                <w:color w:val="5E5A52"/>
                <w:sz w:val="20"/>
              </w:rPr>
              <w:t>Resend / Mailchimp (Horizon 1)</w:t>
            </w:r>
          </w:p>
        </w:tc>
      </w:tr>
      <w:tr>
        <w:trPr>
          <w:trHeight w:val="440"/>
        </w:trPr>
        <w:tc>
          <w:tcPr>
            <w:tcW w:type="dxa" w:w="4703"/>
            <w:vAlign w:val="center"/>
            <w:tcW w:w="1980000" w:type="dxa"/>
          </w:tcPr>
          <w:p>
            <w:pPr>
              <w:spacing w:before="60" w:after="60"/>
              <w:ind w:left="113"/>
            </w:pPr>
            <w:r>
              <w:rPr>
                <w:b w:val="0"/>
                <w:color w:val="1A1917"/>
                <w:sz w:val="20"/>
              </w:rPr>
              <w:t>Hosting</w:t>
            </w:r>
          </w:p>
        </w:tc>
        <w:tc>
          <w:tcPr>
            <w:tcW w:type="dxa" w:w="4703"/>
            <w:vAlign w:val="center"/>
            <w:tcW w:w="4140000" w:type="dxa"/>
          </w:tcPr>
          <w:p>
            <w:pPr>
              <w:spacing w:before="60" w:after="60"/>
              <w:ind w:left="113"/>
            </w:pPr>
            <w:r>
              <w:rPr>
                <w:b w:val="0"/>
                <w:color w:val="5E5A52"/>
                <w:sz w:val="20"/>
              </w:rPr>
              <w:t>Vercel (Edge network, automatic CI/CD from GitHub)</w:t>
            </w:r>
          </w:p>
        </w:tc>
      </w:tr>
      <w:tr>
        <w:trPr>
          <w:trHeight w:val="440"/>
        </w:trPr>
        <w:tc>
          <w:tcPr>
            <w:tcW w:type="dxa" w:w="4703"/>
            <w:vAlign w:val="center"/>
            <w:tcW w:w="1980000" w:type="dxa"/>
          </w:tcPr>
          <w:p>
            <w:pPr>
              <w:spacing w:before="60" w:after="60"/>
              <w:ind w:left="113"/>
            </w:pPr>
            <w:r>
              <w:rPr>
                <w:b w:val="0"/>
                <w:color w:val="1A1917"/>
                <w:sz w:val="20"/>
              </w:rPr>
              <w:t>External APIs</w:t>
            </w:r>
          </w:p>
        </w:tc>
        <w:tc>
          <w:tcPr>
            <w:tcW w:type="dxa" w:w="4703"/>
            <w:vAlign w:val="center"/>
            <w:tcW w:w="4140000" w:type="dxa"/>
          </w:tcPr>
          <w:p>
            <w:pPr>
              <w:spacing w:before="60" w:after="60"/>
              <w:ind w:left="113"/>
            </w:pPr>
            <w:r>
              <w:rPr>
                <w:b w:val="0"/>
                <w:color w:val="5E5A52"/>
                <w:sz w:val="20"/>
              </w:rPr>
              <w:t>Environment Agency, EPC Register, police.uk, Ofcom, VOA, Land Registry</w:t>
            </w:r>
          </w:p>
        </w:tc>
      </w:tr>
      <w:tr>
        <w:trPr>
          <w:trHeight w:val="440"/>
        </w:trPr>
        <w:tc>
          <w:tcPr>
            <w:tcW w:type="dxa" w:w="4703"/>
            <w:vAlign w:val="center"/>
            <w:tcW w:w="1980000" w:type="dxa"/>
          </w:tcPr>
          <w:p>
            <w:pPr>
              <w:spacing w:before="60" w:after="60"/>
              <w:ind w:left="113"/>
            </w:pPr>
            <w:r>
              <w:rPr>
                <w:b w:val="0"/>
                <w:color w:val="1A1917"/>
                <w:sz w:val="20"/>
              </w:rPr>
              <w:t>PDF generation</w:t>
            </w:r>
          </w:p>
        </w:tc>
        <w:tc>
          <w:tcPr>
            <w:tcW w:type="dxa" w:w="4703"/>
            <w:vAlign w:val="center"/>
            <w:tcW w:w="4140000" w:type="dxa"/>
          </w:tcPr>
          <w:p>
            <w:pPr>
              <w:spacing w:before="60" w:after="60"/>
              <w:ind w:left="113"/>
            </w:pPr>
            <w:r>
              <w:rPr>
                <w:b w:val="0"/>
                <w:color w:val="5E5A52"/>
                <w:sz w:val="20"/>
              </w:rPr>
              <w:t>Browser window.print() with @media print (MVP) → Puppeteer (Horizon 2)</w:t>
            </w:r>
          </w:p>
        </w:tc>
      </w:tr>
      <w:tr>
        <w:trPr>
          <w:trHeight w:val="440"/>
        </w:trPr>
        <w:tc>
          <w:tcPr>
            <w:tcW w:type="dxa" w:w="4703"/>
            <w:vAlign w:val="center"/>
            <w:tcW w:w="1980000" w:type="dxa"/>
          </w:tcPr>
          <w:p>
            <w:pPr>
              <w:spacing w:before="60" w:after="60"/>
              <w:ind w:left="113"/>
            </w:pPr>
            <w:r>
              <w:rPr>
                <w:b w:val="0"/>
                <w:color w:val="1A1917"/>
                <w:sz w:val="20"/>
              </w:rPr>
              <w:t>Mobile</w:t>
            </w:r>
          </w:p>
        </w:tc>
        <w:tc>
          <w:tcPr>
            <w:tcW w:type="dxa" w:w="4703"/>
            <w:vAlign w:val="center"/>
            <w:tcW w:w="4140000" w:type="dxa"/>
          </w:tcPr>
          <w:p>
            <w:pPr>
              <w:spacing w:before="60" w:after="60"/>
              <w:ind w:left="113"/>
            </w:pPr>
            <w:r>
              <w:rPr>
                <w:b w:val="0"/>
                <w:color w:val="5E5A52"/>
                <w:sz w:val="20"/>
              </w:rPr>
              <w:t>React Native (Horizon 2)</w:t>
            </w:r>
          </w:p>
        </w:tc>
      </w:tr>
      <w:tr>
        <w:trPr>
          <w:trHeight w:val="440"/>
        </w:trPr>
        <w:tc>
          <w:tcPr>
            <w:tcW w:type="dxa" w:w="4703"/>
            <w:vAlign w:val="center"/>
            <w:tcW w:w="1980000" w:type="dxa"/>
          </w:tcPr>
          <w:p>
            <w:pPr>
              <w:spacing w:before="60" w:after="60"/>
              <w:ind w:left="113"/>
            </w:pPr>
            <w:r>
              <w:rPr>
                <w:b w:val="0"/>
                <w:color w:val="1A1917"/>
                <w:sz w:val="20"/>
              </w:rPr>
              <w:t>AI features</w:t>
            </w:r>
          </w:p>
        </w:tc>
        <w:tc>
          <w:tcPr>
            <w:tcW w:type="dxa" w:w="4703"/>
            <w:vAlign w:val="center"/>
            <w:tcW w:w="4140000" w:type="dxa"/>
          </w:tcPr>
          <w:p>
            <w:pPr>
              <w:spacing w:before="60" w:after="60"/>
              <w:ind w:left="113"/>
            </w:pPr>
            <w:r>
              <w:rPr>
                <w:b w:val="0"/>
                <w:color w:val="5E5A52"/>
                <w:sz w:val="20"/>
              </w:rPr>
              <w:t>OpenAI GPT-4 via API (Horizon 2)</w:t>
            </w:r>
          </w:p>
        </w:tc>
      </w:tr>
    </w:tbl>
    <w:p/>
    <w:p>
      <w:pPr>
        <w:spacing w:before="160" w:after="160"/>
        <w:pBdr>
          <w:bottom w:val="single" w:sz="4" w:space="1" w:color="E2DDD6"/>
        </w:pBdr>
      </w:pPr>
    </w:p>
    <w:p>
      <w:pPr>
        <w:pStyle w:val="Heading1"/>
        <w:spacing w:before="360" w:after="120"/>
      </w:pPr>
      <w:r>
        <w:rPr>
          <w:color w:val="1A1917"/>
        </w:rPr>
        <w:t>10. Team &amp; Hiring Plan</w:t>
      </w:r>
    </w:p>
    <w:p>
      <w:pPr>
        <w:spacing w:after="120"/>
      </w:pPr>
      <w:r>
        <w:rPr>
          <w:b w:val="0"/>
          <w:color w:val="5E5A52"/>
          <w:sz w:val="22"/>
        </w:rPr>
        <w:t>PropPilot is currently at the founder-led MVP stage. The following roles will be filled as seed funding is secured:</w:t>
      </w:r>
    </w:p>
    <w:p>
      <w:pPr>
        <w:pStyle w:val="Heading2"/>
        <w:spacing w:before="240" w:after="120"/>
      </w:pPr>
      <w:r>
        <w:rPr>
          <w:color w:val="1A1917"/>
        </w:rPr>
        <w:t>Immediate Hires (Post-Seed)</w:t>
      </w:r>
    </w:p>
    <w:p>
      <w:pPr>
        <w:pStyle w:val="ListBullet"/>
        <w:spacing w:after="60"/>
        <w:ind w:left="340"/>
      </w:pPr>
      <w:r>
        <w:rPr>
          <w:color w:val="5E5A52"/>
          <w:sz w:val="22"/>
        </w:rPr>
        <w:t>Full-Stack Engineer — Next.js / PostgreSQL / Stripe integration.</w:t>
      </w:r>
    </w:p>
    <w:p>
      <w:pPr>
        <w:pStyle w:val="ListBullet"/>
        <w:spacing w:after="60"/>
        <w:ind w:left="340"/>
      </w:pPr>
      <w:r>
        <w:rPr>
          <w:color w:val="5E5A52"/>
          <w:sz w:val="22"/>
        </w:rPr>
        <w:t>Growth / SEO Lead — organic content, paid acquisition, partnerships.</w:t>
      </w:r>
    </w:p>
    <w:p>
      <w:pPr>
        <w:pStyle w:val="ListBullet"/>
        <w:spacing w:after="60"/>
        <w:ind w:left="340"/>
      </w:pPr>
      <w:r>
        <w:rPr>
          <w:color w:val="5E5A52"/>
          <w:sz w:val="22"/>
        </w:rPr>
        <w:t>Head of Professional Services — build and manage the vetted partner network.</w:t>
      </w:r>
    </w:p>
    <w:p>
      <w:pPr>
        <w:pStyle w:val="Heading2"/>
        <w:spacing w:before="240" w:after="120"/>
      </w:pPr>
      <w:r>
        <w:rPr>
          <w:color w:val="1A1917"/>
        </w:rPr>
        <w:t>Later Hires (Series A)</w:t>
      </w:r>
    </w:p>
    <w:p>
      <w:pPr>
        <w:pStyle w:val="ListBullet"/>
        <w:spacing w:after="60"/>
        <w:ind w:left="340"/>
      </w:pPr>
      <w:r>
        <w:rPr>
          <w:color w:val="5E5A52"/>
          <w:sz w:val="22"/>
        </w:rPr>
        <w:t>Data Engineer — API integrations, data pipeline, Land Registry / EPC data feeds.</w:t>
      </w:r>
    </w:p>
    <w:p>
      <w:pPr>
        <w:pStyle w:val="ListBullet"/>
        <w:spacing w:after="60"/>
        <w:ind w:left="340"/>
      </w:pPr>
      <w:r>
        <w:rPr>
          <w:color w:val="5E5A52"/>
          <w:sz w:val="22"/>
        </w:rPr>
        <w:t>Mobile Engineer — React Native iOS and Android.</w:t>
      </w:r>
    </w:p>
    <w:p>
      <w:pPr>
        <w:pStyle w:val="ListBullet"/>
        <w:spacing w:after="60"/>
        <w:ind w:left="340"/>
      </w:pPr>
      <w:r>
        <w:rPr>
          <w:color w:val="5E5A52"/>
          <w:sz w:val="22"/>
        </w:rPr>
        <w:t>Customer Success — onboarding, retention, and upsell for Enterprise accounts.</w:t>
      </w:r>
    </w:p>
    <w:p>
      <w:pPr>
        <w:pStyle w:val="ListBullet"/>
        <w:spacing w:after="60"/>
        <w:ind w:left="340"/>
      </w:pPr>
      <w:r>
        <w:rPr>
          <w:color w:val="5E5A52"/>
          <w:sz w:val="22"/>
        </w:rPr>
        <w:t>Sales — estate agent and broker BD.</w:t>
      </w:r>
    </w:p>
    <w:p>
      <w:pPr>
        <w:spacing w:before="160" w:after="160"/>
        <w:pBdr>
          <w:bottom w:val="single" w:sz="4" w:space="1" w:color="E2DDD6"/>
        </w:pBdr>
      </w:pPr>
    </w:p>
    <w:p>
      <w:pPr>
        <w:pStyle w:val="Heading1"/>
        <w:spacing w:before="360" w:after="120"/>
      </w:pPr>
      <w:r>
        <w:rPr>
          <w:color w:val="1A1917"/>
        </w:rPr>
        <w:t>11. Key Risks &amp; Mitigations</w:t>
      </w:r>
    </w:p>
    <w:tbl>
      <w:tblPr>
        <w:tblStyle w:val="TableGrid"/>
        <w:tblW w:type="auto" w:w="0"/>
        <w:tblLook w:firstColumn="1" w:firstRow="1" w:lastColumn="0" w:lastRow="0" w:noHBand="0" w:noVBand="1" w:val="04A0"/>
      </w:tblPr>
      <w:tblGrid>
        <w:gridCol w:w="3135"/>
        <w:gridCol w:w="3135"/>
        <w:gridCol w:w="3135"/>
      </w:tblGrid>
      <w:tr>
        <w:trPr>
          <w:trHeight w:val="440"/>
        </w:trPr>
        <w:tc>
          <w:tcPr>
            <w:tcW w:type="dxa" w:w="3135"/>
            <w:vAlign w:val="center"/>
            <w:tcW w:w="1980000" w:type="dxa"/>
            <w:shd w:val="clear" w:color="auto" w:fill="1D9E75"/>
          </w:tcPr>
          <w:p>
            <w:pPr>
              <w:spacing w:before="60" w:after="60"/>
              <w:ind w:left="113"/>
            </w:pPr>
            <w:r>
              <w:rPr>
                <w:b/>
                <w:color w:val="FFFFFF"/>
                <w:sz w:val="20"/>
              </w:rPr>
              <w:t>Risk</w:t>
            </w:r>
          </w:p>
        </w:tc>
        <w:tc>
          <w:tcPr>
            <w:tcW w:type="dxa" w:w="3135"/>
            <w:vAlign w:val="center"/>
            <w:tcW w:w="900000" w:type="dxa"/>
            <w:shd w:val="clear" w:color="auto" w:fill="1D9E75"/>
          </w:tcPr>
          <w:p>
            <w:pPr>
              <w:spacing w:before="60" w:after="60"/>
              <w:ind w:left="113"/>
            </w:pPr>
            <w:r>
              <w:rPr>
                <w:b/>
                <w:color w:val="FFFFFF"/>
                <w:sz w:val="20"/>
              </w:rPr>
              <w:t>Likelihood</w:t>
            </w:r>
          </w:p>
        </w:tc>
        <w:tc>
          <w:tcPr>
            <w:tcW w:type="dxa" w:w="3135"/>
            <w:vAlign w:val="center"/>
            <w:tcW w:w="3060000" w:type="dxa"/>
            <w:shd w:val="clear" w:color="auto" w:fill="1D9E75"/>
          </w:tcPr>
          <w:p>
            <w:pPr>
              <w:spacing w:before="60" w:after="60"/>
              <w:ind w:left="113"/>
            </w:pPr>
            <w:r>
              <w:rPr>
                <w:b/>
                <w:color w:val="FFFFFF"/>
                <w:sz w:val="20"/>
              </w:rPr>
              <w:t>Mitigation</w:t>
            </w:r>
          </w:p>
        </w:tc>
      </w:tr>
      <w:tr>
        <w:trPr>
          <w:trHeight w:val="440"/>
        </w:trPr>
        <w:tc>
          <w:tcPr>
            <w:tcW w:type="dxa" w:w="3135"/>
            <w:vAlign w:val="center"/>
            <w:tcW w:w="1980000" w:type="dxa"/>
          </w:tcPr>
          <w:p>
            <w:pPr>
              <w:spacing w:before="60" w:after="60"/>
              <w:ind w:left="113"/>
            </w:pPr>
            <w:r>
              <w:rPr>
                <w:b w:val="0"/>
                <w:color w:val="1A1917"/>
                <w:sz w:val="20"/>
              </w:rPr>
              <w:t>API data source changes or outages</w:t>
            </w:r>
          </w:p>
        </w:tc>
        <w:tc>
          <w:tcPr>
            <w:tcW w:type="dxa" w:w="3135"/>
            <w:vAlign w:val="center"/>
            <w:tcW w:w="900000" w:type="dxa"/>
          </w:tcPr>
          <w:p>
            <w:pPr>
              <w:spacing w:before="60" w:after="60"/>
              <w:ind w:left="113"/>
            </w:pPr>
            <w:r>
              <w:rPr>
                <w:b w:val="0"/>
                <w:color w:val="5E5A52"/>
                <w:sz w:val="20"/>
              </w:rPr>
              <w:t>Medium</w:t>
            </w:r>
          </w:p>
        </w:tc>
        <w:tc>
          <w:tcPr>
            <w:tcW w:type="dxa" w:w="3135"/>
            <w:vAlign w:val="center"/>
            <w:tcW w:w="3060000" w:type="dxa"/>
          </w:tcPr>
          <w:p>
            <w:pPr>
              <w:spacing w:before="60" w:after="60"/>
              <w:ind w:left="113"/>
            </w:pPr>
            <w:r>
              <w:rPr>
                <w:b w:val="0"/>
                <w:color w:val="5E5A52"/>
                <w:sz w:val="20"/>
              </w:rPr>
              <w:t>Cache responses, monitor uptime, add fallback messaging to users</w:t>
            </w:r>
          </w:p>
        </w:tc>
      </w:tr>
      <w:tr>
        <w:trPr>
          <w:trHeight w:val="440"/>
        </w:trPr>
        <w:tc>
          <w:tcPr>
            <w:tcW w:type="dxa" w:w="3135"/>
            <w:vAlign w:val="center"/>
            <w:tcW w:w="1980000" w:type="dxa"/>
          </w:tcPr>
          <w:p>
            <w:pPr>
              <w:spacing w:before="60" w:after="60"/>
              <w:ind w:left="113"/>
            </w:pPr>
            <w:r>
              <w:rPr>
                <w:b w:val="0"/>
                <w:color w:val="1A1917"/>
                <w:sz w:val="20"/>
              </w:rPr>
              <w:t>Rightmove/Zoopla launch competing tool</w:t>
            </w:r>
          </w:p>
        </w:tc>
        <w:tc>
          <w:tcPr>
            <w:tcW w:type="dxa" w:w="3135"/>
            <w:vAlign w:val="center"/>
            <w:tcW w:w="900000" w:type="dxa"/>
          </w:tcPr>
          <w:p>
            <w:pPr>
              <w:spacing w:before="60" w:after="60"/>
              <w:ind w:left="113"/>
            </w:pPr>
            <w:r>
              <w:rPr>
                <w:b w:val="0"/>
                <w:color w:val="5E5A52"/>
                <w:sz w:val="20"/>
              </w:rPr>
              <w:t>Low</w:t>
            </w:r>
          </w:p>
        </w:tc>
        <w:tc>
          <w:tcPr>
            <w:tcW w:type="dxa" w:w="3135"/>
            <w:vAlign w:val="center"/>
            <w:tcW w:w="3060000" w:type="dxa"/>
          </w:tcPr>
          <w:p>
            <w:pPr>
              <w:spacing w:before="60" w:after="60"/>
              <w:ind w:left="113"/>
            </w:pPr>
            <w:r>
              <w:rPr>
                <w:b w:val="0"/>
                <w:color w:val="5E5A52"/>
                <w:sz w:val="20"/>
              </w:rPr>
              <w:t>Move fast; build professional services moat they cannot easily replicate</w:t>
            </w:r>
          </w:p>
        </w:tc>
      </w:tr>
      <w:tr>
        <w:trPr>
          <w:trHeight w:val="440"/>
        </w:trPr>
        <w:tc>
          <w:tcPr>
            <w:tcW w:type="dxa" w:w="3135"/>
            <w:vAlign w:val="center"/>
            <w:tcW w:w="1980000" w:type="dxa"/>
          </w:tcPr>
          <w:p>
            <w:pPr>
              <w:spacing w:before="60" w:after="60"/>
              <w:ind w:left="113"/>
            </w:pPr>
            <w:r>
              <w:rPr>
                <w:b w:val="0"/>
                <w:color w:val="1A1917"/>
                <w:sz w:val="20"/>
              </w:rPr>
              <w:t>Low free-to-paid conversion</w:t>
            </w:r>
          </w:p>
        </w:tc>
        <w:tc>
          <w:tcPr>
            <w:tcW w:type="dxa" w:w="3135"/>
            <w:vAlign w:val="center"/>
            <w:tcW w:w="900000" w:type="dxa"/>
          </w:tcPr>
          <w:p>
            <w:pPr>
              <w:spacing w:before="60" w:after="60"/>
              <w:ind w:left="113"/>
            </w:pPr>
            <w:r>
              <w:rPr>
                <w:b w:val="0"/>
                <w:color w:val="5E5A52"/>
                <w:sz w:val="20"/>
              </w:rPr>
              <w:t>Medium</w:t>
            </w:r>
          </w:p>
        </w:tc>
        <w:tc>
          <w:tcPr>
            <w:tcW w:type="dxa" w:w="3135"/>
            <w:vAlign w:val="center"/>
            <w:tcW w:w="3060000" w:type="dxa"/>
          </w:tcPr>
          <w:p>
            <w:pPr>
              <w:spacing w:before="60" w:after="60"/>
              <w:ind w:left="113"/>
            </w:pPr>
            <w:r>
              <w:rPr>
                <w:b w:val="0"/>
                <w:color w:val="5E5A52"/>
                <w:sz w:val="20"/>
              </w:rPr>
              <w:t>A/B test upgrade nudges; gate high-value features (PDF, EPC lookup) at free tier</w:t>
            </w:r>
          </w:p>
        </w:tc>
      </w:tr>
      <w:tr>
        <w:trPr>
          <w:trHeight w:val="440"/>
        </w:trPr>
        <w:tc>
          <w:tcPr>
            <w:tcW w:type="dxa" w:w="3135"/>
            <w:vAlign w:val="center"/>
            <w:tcW w:w="1980000" w:type="dxa"/>
          </w:tcPr>
          <w:p>
            <w:pPr>
              <w:spacing w:before="60" w:after="60"/>
              <w:ind w:left="113"/>
            </w:pPr>
            <w:r>
              <w:rPr>
                <w:b w:val="0"/>
                <w:color w:val="1A1917"/>
                <w:sz w:val="20"/>
              </w:rPr>
              <w:t>Professional services quality issues</w:t>
            </w:r>
          </w:p>
        </w:tc>
        <w:tc>
          <w:tcPr>
            <w:tcW w:type="dxa" w:w="3135"/>
            <w:vAlign w:val="center"/>
            <w:tcW w:w="900000" w:type="dxa"/>
          </w:tcPr>
          <w:p>
            <w:pPr>
              <w:spacing w:before="60" w:after="60"/>
              <w:ind w:left="113"/>
            </w:pPr>
            <w:r>
              <w:rPr>
                <w:b w:val="0"/>
                <w:color w:val="5E5A52"/>
                <w:sz w:val="20"/>
              </w:rPr>
              <w:t>Medium</w:t>
            </w:r>
          </w:p>
        </w:tc>
        <w:tc>
          <w:tcPr>
            <w:tcW w:type="dxa" w:w="3135"/>
            <w:vAlign w:val="center"/>
            <w:tcW w:w="3060000" w:type="dxa"/>
          </w:tcPr>
          <w:p>
            <w:pPr>
              <w:spacing w:before="60" w:after="60"/>
              <w:ind w:left="113"/>
            </w:pPr>
            <w:r>
              <w:rPr>
                <w:b w:val="0"/>
                <w:color w:val="5E5A52"/>
                <w:sz w:val="20"/>
              </w:rPr>
              <w:t>Strict partner vetting, ratings system, satisfaction guarantee</w:t>
            </w:r>
          </w:p>
        </w:tc>
      </w:tr>
      <w:tr>
        <w:trPr>
          <w:trHeight w:val="440"/>
        </w:trPr>
        <w:tc>
          <w:tcPr>
            <w:tcW w:type="dxa" w:w="3135"/>
            <w:vAlign w:val="center"/>
            <w:tcW w:w="1980000" w:type="dxa"/>
          </w:tcPr>
          <w:p>
            <w:pPr>
              <w:spacing w:before="60" w:after="60"/>
              <w:ind w:left="113"/>
            </w:pPr>
            <w:r>
              <w:rPr>
                <w:b w:val="0"/>
                <w:color w:val="1A1917"/>
                <w:sz w:val="20"/>
              </w:rPr>
              <w:t>GDPR / data compliance</w:t>
            </w:r>
          </w:p>
        </w:tc>
        <w:tc>
          <w:tcPr>
            <w:tcW w:type="dxa" w:w="3135"/>
            <w:vAlign w:val="center"/>
            <w:tcW w:w="900000" w:type="dxa"/>
          </w:tcPr>
          <w:p>
            <w:pPr>
              <w:spacing w:before="60" w:after="60"/>
              <w:ind w:left="113"/>
            </w:pPr>
            <w:r>
              <w:rPr>
                <w:b w:val="0"/>
                <w:color w:val="5E5A52"/>
                <w:sz w:val="20"/>
              </w:rPr>
              <w:t>Low</w:t>
            </w:r>
          </w:p>
        </w:tc>
        <w:tc>
          <w:tcPr>
            <w:tcW w:type="dxa" w:w="3135"/>
            <w:vAlign w:val="center"/>
            <w:tcW w:w="3060000" w:type="dxa"/>
          </w:tcPr>
          <w:p>
            <w:pPr>
              <w:spacing w:before="60" w:after="60"/>
              <w:ind w:left="113"/>
            </w:pPr>
            <w:r>
              <w:rPr>
                <w:b w:val="0"/>
                <w:color w:val="5E5A52"/>
                <w:sz w:val="20"/>
              </w:rPr>
              <w:t>No PII stored beyond registration data; all external API data is public domain</w:t>
            </w:r>
          </w:p>
        </w:tc>
      </w:tr>
      <w:tr>
        <w:trPr>
          <w:trHeight w:val="440"/>
        </w:trPr>
        <w:tc>
          <w:tcPr>
            <w:tcW w:type="dxa" w:w="3135"/>
            <w:vAlign w:val="center"/>
            <w:tcW w:w="1980000" w:type="dxa"/>
          </w:tcPr>
          <w:p>
            <w:pPr>
              <w:spacing w:before="60" w:after="60"/>
              <w:ind w:left="113"/>
            </w:pPr>
            <w:r>
              <w:rPr>
                <w:b w:val="0"/>
                <w:color w:val="1A1917"/>
                <w:sz w:val="20"/>
              </w:rPr>
              <w:t>Property market downturn reducing transactions</w:t>
            </w:r>
          </w:p>
        </w:tc>
        <w:tc>
          <w:tcPr>
            <w:tcW w:type="dxa" w:w="3135"/>
            <w:vAlign w:val="center"/>
            <w:tcW w:w="900000" w:type="dxa"/>
          </w:tcPr>
          <w:p>
            <w:pPr>
              <w:spacing w:before="60" w:after="60"/>
              <w:ind w:left="113"/>
            </w:pPr>
            <w:r>
              <w:rPr>
                <w:b w:val="0"/>
                <w:color w:val="5E5A52"/>
                <w:sz w:val="20"/>
              </w:rPr>
              <w:t>Low</w:t>
            </w:r>
          </w:p>
        </w:tc>
        <w:tc>
          <w:tcPr>
            <w:tcW w:type="dxa" w:w="3135"/>
            <w:vAlign w:val="center"/>
            <w:tcW w:w="3060000" w:type="dxa"/>
          </w:tcPr>
          <w:p>
            <w:pPr>
              <w:spacing w:before="60" w:after="60"/>
              <w:ind w:left="113"/>
            </w:pPr>
            <w:r>
              <w:rPr>
                <w:b w:val="0"/>
                <w:color w:val="5E5A52"/>
                <w:sz w:val="20"/>
              </w:rPr>
              <w:t>HomeOwner tools remain valuable regardless of transaction volume</w:t>
            </w:r>
          </w:p>
        </w:tc>
      </w:tr>
    </w:tbl>
    <w:p/>
    <w:p>
      <w:pPr>
        <w:spacing w:before="160" w:after="160"/>
        <w:pBdr>
          <w:bottom w:val="single" w:sz="4" w:space="1" w:color="E2DDD6"/>
        </w:pBdr>
      </w:pPr>
    </w:p>
    <w:p>
      <w:pPr>
        <w:pStyle w:val="Heading1"/>
        <w:spacing w:before="360" w:after="120"/>
      </w:pPr>
      <w:r>
        <w:rPr>
          <w:color w:val="1A1917"/>
        </w:rPr>
        <w:t>12. Financial Projections (3-Year Forecast)</w:t>
      </w:r>
    </w:p>
    <w:p>
      <w:pPr>
        <w:spacing w:after="120"/>
      </w:pPr>
      <w:r>
        <w:rPr>
          <w:b w:val="0"/>
          <w:color w:val="5E5A52"/>
          <w:sz w:val="22"/>
        </w:rPr>
        <w:t>The projections below assume seed funding of £400K secured in Month 1, enabling the Horizon 1 feature set and initial marketing spend.</w:t>
      </w:r>
    </w:p>
    <w:tbl>
      <w:tblPr>
        <w:tblStyle w:val="TableGrid"/>
        <w:tblW w:type="auto" w:w="0"/>
        <w:tblLook w:firstColumn="1" w:firstRow="1" w:lastColumn="0" w:lastRow="0" w:noHBand="0" w:noVBand="1" w:val="04A0"/>
      </w:tblPr>
      <w:tblGrid>
        <w:gridCol w:w="3135"/>
        <w:gridCol w:w="3135"/>
        <w:gridCol w:w="3135"/>
      </w:tblGrid>
      <w:tr>
        <w:trPr>
          <w:trHeight w:val="440"/>
        </w:trPr>
        <w:tc>
          <w:tcPr>
            <w:tcW w:type="dxa" w:w="3135"/>
            <w:vAlign w:val="center"/>
            <w:tcW w:w="1980000" w:type="dxa"/>
            <w:shd w:val="clear" w:color="auto" w:fill="1D9E75"/>
          </w:tcPr>
          <w:p>
            <w:pPr>
              <w:spacing w:before="60" w:after="60"/>
              <w:ind w:left="113"/>
            </w:pPr>
            <w:r>
              <w:rPr>
                <w:b/>
                <w:color w:val="FFFFFF"/>
                <w:sz w:val="20"/>
              </w:rPr>
              <w:t>Metric</w:t>
            </w:r>
          </w:p>
        </w:tc>
        <w:tc>
          <w:tcPr>
            <w:tcW w:type="dxa" w:w="3135"/>
            <w:vAlign w:val="center"/>
            <w:tcW w:w="1800000" w:type="dxa"/>
            <w:shd w:val="clear" w:color="auto" w:fill="1D9E75"/>
          </w:tcPr>
          <w:p>
            <w:pPr>
              <w:spacing w:before="60" w:after="60"/>
              <w:ind w:left="113"/>
            </w:pPr>
            <w:r>
              <w:rPr>
                <w:b/>
                <w:color w:val="FFFFFF"/>
                <w:sz w:val="20"/>
              </w:rPr>
              <w:t>Year 1</w:t>
            </w:r>
          </w:p>
        </w:tc>
        <w:tc>
          <w:tcPr>
            <w:tcW w:type="dxa" w:w="3135"/>
            <w:vAlign w:val="center"/>
            <w:tcW w:w="2160000" w:type="dxa"/>
            <w:shd w:val="clear" w:color="auto" w:fill="1D9E75"/>
          </w:tcPr>
          <w:p>
            <w:pPr>
              <w:spacing w:before="60" w:after="60"/>
              <w:ind w:left="113"/>
            </w:pPr>
            <w:r>
              <w:rPr>
                <w:b/>
                <w:color w:val="FFFFFF"/>
                <w:sz w:val="20"/>
              </w:rPr>
              <w:t>Year 2</w:t>
            </w:r>
          </w:p>
        </w:tc>
      </w:tr>
      <w:tr>
        <w:trPr>
          <w:trHeight w:val="440"/>
        </w:trPr>
        <w:tc>
          <w:tcPr>
            <w:tcW w:type="dxa" w:w="3135"/>
            <w:vAlign w:val="center"/>
            <w:tcW w:w="1980000" w:type="dxa"/>
          </w:tcPr>
          <w:p>
            <w:pPr>
              <w:spacing w:before="60" w:after="60"/>
              <w:ind w:left="113"/>
            </w:pPr>
            <w:r>
              <w:rPr>
                <w:b w:val="0"/>
                <w:color w:val="1A1917"/>
                <w:sz w:val="20"/>
              </w:rPr>
              <w:t>Registered users</w:t>
            </w:r>
          </w:p>
        </w:tc>
        <w:tc>
          <w:tcPr>
            <w:tcW w:type="dxa" w:w="3135"/>
            <w:vAlign w:val="center"/>
            <w:tcW w:w="1800000" w:type="dxa"/>
          </w:tcPr>
          <w:p>
            <w:pPr>
              <w:spacing w:before="60" w:after="60"/>
              <w:ind w:left="113"/>
            </w:pPr>
            <w:r>
              <w:rPr>
                <w:b w:val="0"/>
                <w:color w:val="5E5A52"/>
                <w:sz w:val="20"/>
              </w:rPr>
              <w:t>8,000</w:t>
            </w:r>
          </w:p>
        </w:tc>
        <w:tc>
          <w:tcPr>
            <w:tcW w:type="dxa" w:w="3135"/>
            <w:vAlign w:val="center"/>
            <w:tcW w:w="2160000" w:type="dxa"/>
          </w:tcPr>
          <w:p>
            <w:pPr>
              <w:spacing w:before="60" w:after="60"/>
              <w:ind w:left="113"/>
            </w:pPr>
            <w:r>
              <w:rPr>
                <w:b w:val="0"/>
                <w:color w:val="5E5A52"/>
                <w:sz w:val="20"/>
              </w:rPr>
              <w:t>28,000</w:t>
            </w:r>
          </w:p>
        </w:tc>
      </w:tr>
      <w:tr>
        <w:trPr>
          <w:trHeight w:val="440"/>
        </w:trPr>
        <w:tc>
          <w:tcPr>
            <w:tcW w:type="dxa" w:w="3135"/>
            <w:vAlign w:val="center"/>
            <w:tcW w:w="1980000" w:type="dxa"/>
          </w:tcPr>
          <w:p>
            <w:pPr>
              <w:spacing w:before="60" w:after="60"/>
              <w:ind w:left="113"/>
            </w:pPr>
            <w:r>
              <w:rPr>
                <w:b w:val="0"/>
                <w:color w:val="1A1917"/>
                <w:sz w:val="20"/>
              </w:rPr>
              <w:t>Paid subscribers</w:t>
            </w:r>
          </w:p>
        </w:tc>
        <w:tc>
          <w:tcPr>
            <w:tcW w:type="dxa" w:w="3135"/>
            <w:vAlign w:val="center"/>
            <w:tcW w:w="1800000" w:type="dxa"/>
          </w:tcPr>
          <w:p>
            <w:pPr>
              <w:spacing w:before="60" w:after="60"/>
              <w:ind w:left="113"/>
            </w:pPr>
            <w:r>
              <w:rPr>
                <w:b w:val="0"/>
                <w:color w:val="5E5A52"/>
                <w:sz w:val="20"/>
              </w:rPr>
              <w:t>800</w:t>
            </w:r>
          </w:p>
        </w:tc>
        <w:tc>
          <w:tcPr>
            <w:tcW w:type="dxa" w:w="3135"/>
            <w:vAlign w:val="center"/>
            <w:tcW w:w="2160000" w:type="dxa"/>
          </w:tcPr>
          <w:p>
            <w:pPr>
              <w:spacing w:before="60" w:after="60"/>
              <w:ind w:left="113"/>
            </w:pPr>
            <w:r>
              <w:rPr>
                <w:b w:val="0"/>
                <w:color w:val="5E5A52"/>
                <w:sz w:val="20"/>
              </w:rPr>
              <w:t>3,360</w:t>
            </w:r>
          </w:p>
        </w:tc>
      </w:tr>
      <w:tr>
        <w:trPr>
          <w:trHeight w:val="440"/>
        </w:trPr>
        <w:tc>
          <w:tcPr>
            <w:tcW w:type="dxa" w:w="3135"/>
            <w:vAlign w:val="center"/>
            <w:tcW w:w="1980000" w:type="dxa"/>
          </w:tcPr>
          <w:p>
            <w:pPr>
              <w:spacing w:before="60" w:after="60"/>
              <w:ind w:left="113"/>
            </w:pPr>
            <w:r>
              <w:rPr>
                <w:b w:val="0"/>
                <w:color w:val="1A1917"/>
                <w:sz w:val="20"/>
              </w:rPr>
              <w:t>Blended ARPU (paid)</w:t>
            </w:r>
          </w:p>
        </w:tc>
        <w:tc>
          <w:tcPr>
            <w:tcW w:type="dxa" w:w="3135"/>
            <w:vAlign w:val="center"/>
            <w:tcW w:w="1800000" w:type="dxa"/>
          </w:tcPr>
          <w:p>
            <w:pPr>
              <w:spacing w:before="60" w:after="60"/>
              <w:ind w:left="113"/>
            </w:pPr>
            <w:r>
              <w:rPr>
                <w:b w:val="0"/>
                <w:color w:val="5E5A52"/>
                <w:sz w:val="20"/>
              </w:rPr>
              <w:t>£12/month</w:t>
            </w:r>
          </w:p>
        </w:tc>
        <w:tc>
          <w:tcPr>
            <w:tcW w:type="dxa" w:w="3135"/>
            <w:vAlign w:val="center"/>
            <w:tcW w:w="2160000" w:type="dxa"/>
          </w:tcPr>
          <w:p>
            <w:pPr>
              <w:spacing w:before="60" w:after="60"/>
              <w:ind w:left="113"/>
            </w:pPr>
            <w:r>
              <w:rPr>
                <w:b w:val="0"/>
                <w:color w:val="5E5A52"/>
                <w:sz w:val="20"/>
              </w:rPr>
              <w:t>£14/month</w:t>
            </w:r>
          </w:p>
        </w:tc>
      </w:tr>
      <w:tr>
        <w:trPr>
          <w:trHeight w:val="440"/>
        </w:trPr>
        <w:tc>
          <w:tcPr>
            <w:tcW w:type="dxa" w:w="3135"/>
            <w:vAlign w:val="center"/>
            <w:tcW w:w="1980000" w:type="dxa"/>
          </w:tcPr>
          <w:p>
            <w:pPr>
              <w:spacing w:before="60" w:after="60"/>
              <w:ind w:left="113"/>
            </w:pPr>
            <w:r>
              <w:rPr>
                <w:b w:val="0"/>
                <w:color w:val="1A1917"/>
                <w:sz w:val="20"/>
              </w:rPr>
              <w:t>Subscription ARR</w:t>
            </w:r>
          </w:p>
        </w:tc>
        <w:tc>
          <w:tcPr>
            <w:tcW w:type="dxa" w:w="3135"/>
            <w:vAlign w:val="center"/>
            <w:tcW w:w="1800000" w:type="dxa"/>
          </w:tcPr>
          <w:p>
            <w:pPr>
              <w:spacing w:before="60" w:after="60"/>
              <w:ind w:left="113"/>
            </w:pPr>
            <w:r>
              <w:rPr>
                <w:b w:val="0"/>
                <w:color w:val="5E5A52"/>
                <w:sz w:val="20"/>
              </w:rPr>
              <w:t>£115,200</w:t>
            </w:r>
          </w:p>
        </w:tc>
        <w:tc>
          <w:tcPr>
            <w:tcW w:type="dxa" w:w="3135"/>
            <w:vAlign w:val="center"/>
            <w:tcW w:w="2160000" w:type="dxa"/>
          </w:tcPr>
          <w:p>
            <w:pPr>
              <w:spacing w:before="60" w:after="60"/>
              <w:ind w:left="113"/>
            </w:pPr>
            <w:r>
              <w:rPr>
                <w:b w:val="0"/>
                <w:color w:val="5E5A52"/>
                <w:sz w:val="20"/>
              </w:rPr>
              <w:t>£564,480</w:t>
            </w:r>
          </w:p>
        </w:tc>
      </w:tr>
      <w:tr>
        <w:trPr>
          <w:trHeight w:val="440"/>
        </w:trPr>
        <w:tc>
          <w:tcPr>
            <w:tcW w:type="dxa" w:w="3135"/>
            <w:vAlign w:val="center"/>
            <w:tcW w:w="1980000" w:type="dxa"/>
          </w:tcPr>
          <w:p>
            <w:pPr>
              <w:spacing w:before="60" w:after="60"/>
              <w:ind w:left="113"/>
            </w:pPr>
            <w:r>
              <w:rPr>
                <w:b w:val="0"/>
                <w:color w:val="1A1917"/>
                <w:sz w:val="20"/>
              </w:rPr>
              <w:t>Services GMV</w:t>
            </w:r>
          </w:p>
        </w:tc>
        <w:tc>
          <w:tcPr>
            <w:tcW w:type="dxa" w:w="3135"/>
            <w:vAlign w:val="center"/>
            <w:tcW w:w="1800000" w:type="dxa"/>
          </w:tcPr>
          <w:p>
            <w:pPr>
              <w:spacing w:before="60" w:after="60"/>
              <w:ind w:left="113"/>
            </w:pPr>
            <w:r>
              <w:rPr>
                <w:b w:val="0"/>
                <w:color w:val="5E5A52"/>
                <w:sz w:val="20"/>
              </w:rPr>
              <w:t>£240,000</w:t>
            </w:r>
          </w:p>
        </w:tc>
        <w:tc>
          <w:tcPr>
            <w:tcW w:type="dxa" w:w="3135"/>
            <w:vAlign w:val="center"/>
            <w:tcW w:w="2160000" w:type="dxa"/>
          </w:tcPr>
          <w:p>
            <w:pPr>
              <w:spacing w:before="60" w:after="60"/>
              <w:ind w:left="113"/>
            </w:pPr>
            <w:r>
              <w:rPr>
                <w:b w:val="0"/>
                <w:color w:val="5E5A52"/>
                <w:sz w:val="20"/>
              </w:rPr>
              <w:t>£900,000</w:t>
            </w:r>
          </w:p>
        </w:tc>
      </w:tr>
      <w:tr>
        <w:trPr>
          <w:trHeight w:val="440"/>
        </w:trPr>
        <w:tc>
          <w:tcPr>
            <w:tcW w:type="dxa" w:w="3135"/>
            <w:vAlign w:val="center"/>
            <w:tcW w:w="1980000" w:type="dxa"/>
          </w:tcPr>
          <w:p>
            <w:pPr>
              <w:spacing w:before="60" w:after="60"/>
              <w:ind w:left="113"/>
            </w:pPr>
            <w:r>
              <w:rPr>
                <w:b w:val="0"/>
                <w:color w:val="1A1917"/>
                <w:sz w:val="20"/>
              </w:rPr>
              <w:t>Services revenue (12%)</w:t>
            </w:r>
          </w:p>
        </w:tc>
        <w:tc>
          <w:tcPr>
            <w:tcW w:type="dxa" w:w="3135"/>
            <w:vAlign w:val="center"/>
            <w:tcW w:w="1800000" w:type="dxa"/>
          </w:tcPr>
          <w:p>
            <w:pPr>
              <w:spacing w:before="60" w:after="60"/>
              <w:ind w:left="113"/>
            </w:pPr>
            <w:r>
              <w:rPr>
                <w:b w:val="0"/>
                <w:color w:val="5E5A52"/>
                <w:sz w:val="20"/>
              </w:rPr>
              <w:t>£28,800</w:t>
            </w:r>
          </w:p>
        </w:tc>
        <w:tc>
          <w:tcPr>
            <w:tcW w:type="dxa" w:w="3135"/>
            <w:vAlign w:val="center"/>
            <w:tcW w:w="2160000" w:type="dxa"/>
          </w:tcPr>
          <w:p>
            <w:pPr>
              <w:spacing w:before="60" w:after="60"/>
              <w:ind w:left="113"/>
            </w:pPr>
            <w:r>
              <w:rPr>
                <w:b w:val="0"/>
                <w:color w:val="5E5A52"/>
                <w:sz w:val="20"/>
              </w:rPr>
              <w:t>£108,000</w:t>
            </w:r>
          </w:p>
        </w:tc>
      </w:tr>
      <w:tr>
        <w:trPr>
          <w:trHeight w:val="440"/>
        </w:trPr>
        <w:tc>
          <w:tcPr>
            <w:tcW w:type="dxa" w:w="3135"/>
            <w:vAlign w:val="center"/>
            <w:tcW w:w="1980000" w:type="dxa"/>
          </w:tcPr>
          <w:p>
            <w:pPr>
              <w:spacing w:before="60" w:after="60"/>
              <w:ind w:left="113"/>
            </w:pPr>
            <w:r>
              <w:rPr>
                <w:b w:val="0"/>
                <w:color w:val="1A1917"/>
                <w:sz w:val="20"/>
              </w:rPr>
              <w:t>Total Revenue</w:t>
            </w:r>
          </w:p>
        </w:tc>
        <w:tc>
          <w:tcPr>
            <w:tcW w:type="dxa" w:w="3135"/>
            <w:vAlign w:val="center"/>
            <w:tcW w:w="1800000" w:type="dxa"/>
          </w:tcPr>
          <w:p>
            <w:pPr>
              <w:spacing w:before="60" w:after="60"/>
              <w:ind w:left="113"/>
            </w:pPr>
            <w:r>
              <w:rPr>
                <w:b w:val="0"/>
                <w:color w:val="5E5A52"/>
                <w:sz w:val="20"/>
              </w:rPr>
              <w:t>£144,000</w:t>
            </w:r>
          </w:p>
        </w:tc>
        <w:tc>
          <w:tcPr>
            <w:tcW w:type="dxa" w:w="3135"/>
            <w:vAlign w:val="center"/>
            <w:tcW w:w="2160000" w:type="dxa"/>
          </w:tcPr>
          <w:p>
            <w:pPr>
              <w:spacing w:before="60" w:after="60"/>
              <w:ind w:left="113"/>
            </w:pPr>
            <w:r>
              <w:rPr>
                <w:b w:val="0"/>
                <w:color w:val="5E5A52"/>
                <w:sz w:val="20"/>
              </w:rPr>
              <w:t>£672,480</w:t>
            </w:r>
          </w:p>
        </w:tc>
      </w:tr>
      <w:tr>
        <w:trPr>
          <w:trHeight w:val="440"/>
        </w:trPr>
        <w:tc>
          <w:tcPr>
            <w:tcW w:type="dxa" w:w="3135"/>
            <w:vAlign w:val="center"/>
            <w:tcW w:w="1980000" w:type="dxa"/>
          </w:tcPr>
          <w:p>
            <w:pPr>
              <w:spacing w:before="60" w:after="60"/>
              <w:ind w:left="113"/>
            </w:pPr>
            <w:r>
              <w:rPr>
                <w:b w:val="0"/>
                <w:color w:val="1A1917"/>
                <w:sz w:val="20"/>
              </w:rPr>
              <w:t>Gross Margin</w:t>
            </w:r>
          </w:p>
        </w:tc>
        <w:tc>
          <w:tcPr>
            <w:tcW w:type="dxa" w:w="3135"/>
            <w:vAlign w:val="center"/>
            <w:tcW w:w="1800000" w:type="dxa"/>
          </w:tcPr>
          <w:p>
            <w:pPr>
              <w:spacing w:before="60" w:after="60"/>
              <w:ind w:left="113"/>
            </w:pPr>
            <w:r>
              <w:rPr>
                <w:b w:val="0"/>
                <w:color w:val="5E5A52"/>
                <w:sz w:val="20"/>
              </w:rPr>
              <w:t>72%</w:t>
            </w:r>
          </w:p>
        </w:tc>
        <w:tc>
          <w:tcPr>
            <w:tcW w:type="dxa" w:w="3135"/>
            <w:vAlign w:val="center"/>
            <w:tcW w:w="2160000" w:type="dxa"/>
          </w:tcPr>
          <w:p>
            <w:pPr>
              <w:spacing w:before="60" w:after="60"/>
              <w:ind w:left="113"/>
            </w:pPr>
            <w:r>
              <w:rPr>
                <w:b w:val="0"/>
                <w:color w:val="5E5A52"/>
                <w:sz w:val="20"/>
              </w:rPr>
              <w:t>78%</w:t>
            </w:r>
          </w:p>
        </w:tc>
      </w:tr>
      <w:tr>
        <w:trPr>
          <w:trHeight w:val="440"/>
        </w:trPr>
        <w:tc>
          <w:tcPr>
            <w:tcW w:type="dxa" w:w="3135"/>
            <w:vAlign w:val="center"/>
            <w:tcW w:w="1980000" w:type="dxa"/>
          </w:tcPr>
          <w:p>
            <w:pPr>
              <w:spacing w:before="60" w:after="60"/>
              <w:ind w:left="113"/>
            </w:pPr>
            <w:r>
              <w:rPr>
                <w:b w:val="0"/>
                <w:color w:val="1A1917"/>
                <w:sz w:val="20"/>
              </w:rPr>
              <w:t>Headcount (YE)</w:t>
            </w:r>
          </w:p>
        </w:tc>
        <w:tc>
          <w:tcPr>
            <w:tcW w:type="dxa" w:w="3135"/>
            <w:vAlign w:val="center"/>
            <w:tcW w:w="1800000" w:type="dxa"/>
          </w:tcPr>
          <w:p>
            <w:pPr>
              <w:spacing w:before="60" w:after="60"/>
              <w:ind w:left="113"/>
            </w:pPr>
            <w:r>
              <w:rPr>
                <w:b w:val="0"/>
                <w:color w:val="5E5A52"/>
                <w:sz w:val="20"/>
              </w:rPr>
              <w:t>4</w:t>
            </w:r>
          </w:p>
        </w:tc>
        <w:tc>
          <w:tcPr>
            <w:tcW w:type="dxa" w:w="3135"/>
            <w:vAlign w:val="center"/>
            <w:tcW w:w="2160000" w:type="dxa"/>
          </w:tcPr>
          <w:p>
            <w:pPr>
              <w:spacing w:before="60" w:after="60"/>
              <w:ind w:left="113"/>
            </w:pPr>
            <w:r>
              <w:rPr>
                <w:b w:val="0"/>
                <w:color w:val="5E5A52"/>
                <w:sz w:val="20"/>
              </w:rPr>
              <w:t>9</w:t>
            </w:r>
          </w:p>
        </w:tc>
      </w:tr>
    </w:tbl>
    <w:p/>
    <w:p>
      <w:pPr>
        <w:spacing w:after="120"/>
      </w:pPr>
      <w:r>
        <w:rPr>
          <w:b w:val="0"/>
          <w:color w:val="9E998F"/>
          <w:sz w:val="22"/>
        </w:rPr>
        <w:t>Year 3 projections are contingent on Series A funding (target: £1.5M) to unlock Horizon 3 features (estate agent API, landlord suite, insurance marketplace) and are available in the full financial model on request.</w:t>
      </w:r>
    </w:p>
    <w:p>
      <w:pPr>
        <w:spacing w:before="160" w:after="160"/>
        <w:pBdr>
          <w:bottom w:val="single" w:sz="4" w:space="1" w:color="E2DDD6"/>
        </w:pBdr>
      </w:pPr>
    </w:p>
    <w:p>
      <w:pPr>
        <w:pStyle w:val="Heading1"/>
        <w:spacing w:before="360" w:after="120"/>
      </w:pPr>
      <w:r>
        <w:rPr>
          <w:color w:val="1A1917"/>
        </w:rPr>
        <w:t>13. The Ask</w:t>
      </w:r>
    </w:p>
    <w:tbl>
      <w:tblPr>
        <w:tblStyle w:val="TableGrid"/>
        <w:tblW w:type="auto" w:w="0"/>
        <w:tblLook w:firstColumn="1" w:firstRow="1" w:lastColumn="0" w:lastRow="0" w:noHBand="0" w:noVBand="1" w:val="04A0"/>
      </w:tblPr>
      <w:tblGrid>
        <w:gridCol w:w="9406"/>
      </w:tblGrid>
      <w:tr>
        <w:tc>
          <w:tcPr>
            <w:tcW w:type="dxa" w:w="9406"/>
            <w:shd w:val="clear" w:color="auto" w:fill="F0FDF4"/>
            <w:tcW w:w="6120000" w:type="dxa"/>
          </w:tcPr>
          <w:p>
            <w:pPr>
              <w:spacing w:before="80" w:after="40"/>
              <w:ind w:left="170"/>
            </w:pPr>
            <w:r>
              <w:rPr>
                <w:b/>
                <w:color w:val="1D9E75"/>
                <w:sz w:val="22"/>
              </w:rPr>
              <w:t>Seed Round: £400,000</w:t>
            </w:r>
          </w:p>
          <w:p>
            <w:pPr>
              <w:spacing w:after="60"/>
              <w:ind w:left="170"/>
            </w:pPr>
            <w:r>
              <w:rPr>
                <w:color w:val="5E5A52"/>
                <w:sz w:val="20"/>
              </w:rPr>
              <w:t>Engineering (50%):   £200,000 — full-stack engineer + mobile, Stripe/DB integration, API depth.</w:t>
            </w:r>
          </w:p>
          <w:p>
            <w:pPr>
              <w:spacing w:after="60"/>
              <w:ind w:left="170"/>
            </w:pPr>
            <w:r>
              <w:rPr>
                <w:color w:val="5E5A52"/>
                <w:sz w:val="20"/>
              </w:rPr>
              <w:t>Marketing (25%):     £100,000 — SEO content, paid acquisition, partnership development.</w:t>
            </w:r>
          </w:p>
          <w:p>
            <w:pPr>
              <w:spacing w:after="60"/>
              <w:ind w:left="170"/>
            </w:pPr>
            <w:r>
              <w:rPr>
                <w:color w:val="5E5A52"/>
                <w:sz w:val="20"/>
              </w:rPr>
              <w:t>Operations (15%):    £60,000  — professional services network build, legal, compliance.</w:t>
            </w:r>
          </w:p>
          <w:p>
            <w:pPr>
              <w:spacing w:after="60"/>
              <w:ind w:left="170"/>
            </w:pPr>
            <w:r>
              <w:rPr>
                <w:color w:val="5E5A52"/>
                <w:sz w:val="20"/>
              </w:rPr>
              <w:t>Contingency (10%):   £40,000  — runway buffer and opportunistic hires.</w:t>
            </w:r>
          </w:p>
        </w:tc>
      </w:tr>
    </w:tbl>
    <w:p/>
    <w:p>
      <w:pPr>
        <w:spacing w:after="120"/>
      </w:pPr>
      <w:r>
        <w:rPr>
          <w:b w:val="0"/>
          <w:color w:val="5E5A52"/>
          <w:sz w:val="22"/>
        </w:rPr>
        <w:t>Use of funds will deliver: real database and auth, Stripe payment integration, professional services booking flow, and the first 5,000 paying users by end of Year 1.</w:t>
      </w:r>
    </w:p>
    <w:p>
      <w:pPr>
        <w:spacing w:before="160" w:after="160"/>
        <w:pBdr>
          <w:bottom w:val="single" w:sz="4" w:space="1" w:color="E2DDD6"/>
        </w:pBdr>
      </w:pPr>
    </w:p>
    <w:p/>
    <w:p>
      <w:pPr>
        <w:jc w:val="center"/>
      </w:pPr>
      <w:r>
        <w:rPr>
          <w:color w:val="9E998F"/>
          <w:sz w:val="18"/>
        </w:rPr>
        <w:t>This document is confidential and intended solely for the recipient. PropPilot © 2026. All rights reserved.  |  hello@proppilot.co.uk</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91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91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91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