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D9E75"/>
          <w:sz w:val="80"/>
        </w:rPr>
        <w:t>PropPilot</w:t>
      </w:r>
    </w:p>
    <w:p>
      <w:pPr>
        <w:jc w:val="center"/>
      </w:pPr>
      <w:r>
        <w:rPr>
          <w:color w:val="5E5A52"/>
          <w:sz w:val="28"/>
        </w:rPr>
        <w:t>Your Property. Fully Understood.</w:t>
      </w:r>
    </w:p>
    <w:p/>
    <w:p>
      <w:pPr>
        <w:jc w:val="center"/>
      </w:pPr>
      <w:r>
        <w:rPr>
          <w:b/>
          <w:color w:val="1A1917"/>
          <w:sz w:val="48"/>
        </w:rPr>
        <w:t>Comprehensive Business Plan</w:t>
      </w:r>
    </w:p>
    <w:p>
      <w:pPr>
        <w:jc w:val="center"/>
      </w:pPr>
      <w:r>
        <w:rPr>
          <w:color w:val="9E998F"/>
          <w:sz w:val="22"/>
        </w:rPr>
        <w:t>April 2026  |  Private &amp; Confidential</w:t>
      </w:r>
    </w:p>
    <w:p/>
    <w:tbl>
      <w:tblPr>
        <w:tblStyle w:val="TableGrid"/>
        <w:tblW w:type="auto" w:w="0"/>
        <w:tblLook w:firstColumn="1" w:firstRow="1" w:lastColumn="0" w:lastRow="0" w:noHBand="0" w:noVBand="1" w:val="04A0"/>
      </w:tblPr>
      <w:tblGrid>
        <w:gridCol w:w="9406"/>
      </w:tblGrid>
      <w:tr>
        <w:tc>
          <w:tcPr>
            <w:tcW w:type="dxa" w:w="9406"/>
            <w:shd w:val="clear" w:color="auto" w:fill="F0FDF4"/>
            <w:tcW w:w="6120000" w:type="dxa"/>
          </w:tcPr>
          <w:p>
            <w:pPr>
              <w:spacing w:before="80" w:after="60"/>
              <w:ind w:left="227"/>
            </w:pPr>
            <w:r>
              <w:rPr>
                <w:b/>
                <w:color w:val="1D9E75"/>
                <w:sz w:val="22"/>
              </w:rPr>
              <w:t>Snapshot</w:t>
            </w:r>
          </w:p>
          <w:p>
            <w:pPr>
              <w:spacing w:after="40"/>
              <w:ind w:left="227"/>
            </w:pPr>
            <w:r>
              <w:rPr>
                <w:color w:val="5E5A52"/>
                <w:sz w:val="20"/>
              </w:rPr>
              <w:t>Founder:        Moin Siddiqui</w:t>
            </w:r>
          </w:p>
          <w:p>
            <w:pPr>
              <w:spacing w:after="40"/>
              <w:ind w:left="227"/>
            </w:pPr>
            <w:r>
              <w:rPr>
                <w:color w:val="5E5A52"/>
                <w:sz w:val="20"/>
              </w:rPr>
              <w:t>Incorporated:   England &amp; Wales (planned Q3 2026)</w:t>
            </w:r>
          </w:p>
          <w:p>
            <w:pPr>
              <w:spacing w:after="40"/>
              <w:ind w:left="227"/>
            </w:pPr>
            <w:r>
              <w:rPr>
                <w:color w:val="5E5A52"/>
                <w:sz w:val="20"/>
              </w:rPr>
              <w:t>Stage:          MVP live — pre-seed / seed raise</w:t>
            </w:r>
          </w:p>
          <w:p>
            <w:pPr>
              <w:spacing w:after="40"/>
              <w:ind w:left="227"/>
            </w:pPr>
            <w:r>
              <w:rPr>
                <w:color w:val="5E5A52"/>
                <w:sz w:val="20"/>
              </w:rPr>
              <w:t>Raise target:   £500,000 seed round</w:t>
            </w:r>
          </w:p>
          <w:p>
            <w:pPr>
              <w:spacing w:after="40"/>
              <w:ind w:left="227"/>
            </w:pPr>
            <w:r>
              <w:rPr>
                <w:color w:val="5E5A52"/>
                <w:sz w:val="20"/>
              </w:rPr>
              <w:t>HQ:             Manchester, United Kingdom</w:t>
            </w:r>
          </w:p>
          <w:p>
            <w:pPr>
              <w:spacing w:after="40"/>
              <w:ind w:left="227"/>
            </w:pPr>
            <w:r>
              <w:rPr>
                <w:color w:val="5E5A52"/>
                <w:sz w:val="20"/>
              </w:rPr>
              <w:t>Contact:        moin.siddiqui1982@gmail.com</w:t>
            </w:r>
          </w:p>
        </w:tc>
      </w:tr>
    </w:tbl>
    <w:p/>
    <w:p>
      <w:r>
        <w:br w:type="page"/>
      </w:r>
    </w:p>
    <w:p>
      <w:pPr>
        <w:pStyle w:val="Heading1"/>
        <w:spacing w:before="400" w:after="120"/>
      </w:pPr>
      <w:r>
        <w:rPr>
          <w:color w:val="1D9E75"/>
          <w:sz w:val="32"/>
        </w:rPr>
        <w:t>1. How I Came Up With the Idea</w:t>
      </w:r>
    </w:p>
    <w:p>
      <w:pPr>
        <w:spacing w:after="120"/>
      </w:pPr>
      <w:r>
        <w:rPr>
          <w:i w:val="0"/>
          <w:color w:val="5E5A52"/>
          <w:sz w:val="21"/>
        </w:rPr>
        <w:t>The idea for PropPilot was born out of a deeply personal and frustrating experience. When I started seriously exploring the process of buying a home in the UK, I was struck by how fragmented and opaque the entire journey was. Information that should be readily available — flood risk, energy performance, crime rates, broadband speeds, council tax bands — was scattered across more than a dozen separate government and commercial websites, each with its own interface, terminology, and data format.</w:t>
      </w:r>
    </w:p>
    <w:p>
      <w:pPr>
        <w:spacing w:after="120"/>
      </w:pPr>
      <w:r>
        <w:rPr>
          <w:i w:val="0"/>
          <w:color w:val="5E5A52"/>
          <w:sz w:val="21"/>
        </w:rPr>
        <w:t>I spent weeks manually cross-referencing the Environment Agency flood map, the Energy Performance Certificate register, police.uk crime data, Ofcom's broadband checker, and the Valuation Office Agency's council tax lookup — for a single property. And then I had to start again for the next one. I kept thinking: why does no single tool exist that does all of this in one place, in seconds, for any UK address?</w:t>
      </w:r>
    </w:p>
    <w:p>
      <w:pPr>
        <w:spacing w:after="120"/>
      </w:pPr>
      <w:r>
        <w:rPr>
          <w:i w:val="0"/>
          <w:color w:val="5E5A52"/>
          <w:sz w:val="21"/>
        </w:rPr>
        <w:t>Once I started speaking to other buyers, I realised my experience was not unique. First-time buyers told me they had no idea what questions to ask their solicitor. Buy-to-let investors said they were flying blind on compliance deadlines. Homeowners said they had missed their fixed-rate mortgage expiry and ended up paying thousands more than they needed to. The information gap was universal — and the cost of that gap was enormous.</w:t>
      </w:r>
    </w:p>
    <w:p>
      <w:pPr>
        <w:spacing w:after="120"/>
      </w:pPr>
      <w:r>
        <w:rPr>
          <w:i w:val="0"/>
          <w:color w:val="5E5A52"/>
          <w:sz w:val="21"/>
        </w:rPr>
        <w:t>The more I dug, the clearer the opportunity became. The UK property market processes over one million transactions every year and sits on top of one of the richest collections of open government data in the world — yet that data is almost entirely inaccessible to the average buyer or homeowner. PropPilot exists to change that.</w:t>
      </w:r>
    </w:p>
    <w:tbl>
      <w:tblPr>
        <w:tblStyle w:val="TableGrid"/>
        <w:tblW w:type="auto" w:w="0"/>
        <w:tblLook w:firstColumn="1" w:firstRow="1" w:lastColumn="0" w:lastRow="0" w:noHBand="0" w:noVBand="1" w:val="04A0"/>
      </w:tblPr>
      <w:tblGrid>
        <w:gridCol w:w="9406"/>
      </w:tblGrid>
      <w:tr>
        <w:tc>
          <w:tcPr>
            <w:tcW w:type="dxa" w:w="9406"/>
            <w:shd w:val="clear" w:color="auto" w:fill="F0FDF4"/>
            <w:tcW w:w="6120000" w:type="dxa"/>
          </w:tcPr>
          <w:p>
            <w:pPr>
              <w:spacing w:before="80" w:after="60"/>
              <w:ind w:left="227"/>
            </w:pPr>
            <w:r>
              <w:rPr>
                <w:b/>
                <w:color w:val="1D9E75"/>
                <w:sz w:val="22"/>
              </w:rPr>
              <w:t>The founding insight</w:t>
            </w:r>
          </w:p>
          <w:p>
            <w:pPr>
              <w:spacing w:after="40"/>
              <w:ind w:left="227"/>
            </w:pPr>
            <w:r>
              <w:rPr>
                <w:color w:val="5E5A52"/>
                <w:sz w:val="20"/>
              </w:rPr>
              <w:t>The UK has world-class open property data. Almost no one can access it easily.</w:t>
            </w:r>
          </w:p>
          <w:p>
            <w:pPr>
              <w:spacing w:after="40"/>
              <w:ind w:left="227"/>
            </w:pPr>
            <w:r>
              <w:rPr>
                <w:color w:val="5E5A52"/>
                <w:sz w:val="20"/>
              </w:rPr>
              <w:t>Every buyer and homeowner is making decisions with incomplete information.</w:t>
            </w:r>
          </w:p>
          <w:p>
            <w:pPr>
              <w:spacing w:after="40"/>
              <w:ind w:left="227"/>
            </w:pPr>
            <w:r>
              <w:rPr>
                <w:color w:val="5E5A52"/>
                <w:sz w:val="20"/>
              </w:rPr>
              <w:t>The cost of that information gap runs to tens of thousands of pounds per household.</w:t>
            </w:r>
          </w:p>
        </w:tc>
      </w:tr>
    </w:tbl>
    <w:p/>
    <w:p>
      <w:pPr>
        <w:spacing w:before="160" w:after="160"/>
        <w:pBdr>
          <w:bottom w:val="single" w:sz="4" w:space="1" w:color="D1CEC8"/>
        </w:pBdr>
      </w:pPr>
    </w:p>
    <w:p>
      <w:pPr>
        <w:pStyle w:val="Heading1"/>
        <w:spacing w:before="400" w:after="120"/>
      </w:pPr>
      <w:r>
        <w:rPr>
          <w:color w:val="1D9E75"/>
          <w:sz w:val="32"/>
        </w:rPr>
        <w:t>2. Vision</w:t>
      </w:r>
    </w:p>
    <w:p>
      <w:pPr>
        <w:spacing w:after="120"/>
      </w:pPr>
      <w:r>
        <w:rPr>
          <w:i w:val="0"/>
          <w:color w:val="5E5A52"/>
          <w:sz w:val="21"/>
        </w:rPr>
        <w:t>To become the most trusted property intelligence platform in the United Kingdom — the single source of truth that every buyer, homeowner, and property professional turns to when making decisions about residential property.</w:t>
      </w:r>
    </w:p>
    <w:p>
      <w:pPr>
        <w:spacing w:after="120"/>
      </w:pPr>
      <w:r>
        <w:rPr>
          <w:i w:val="0"/>
          <w:color w:val="5E5A52"/>
          <w:sz w:val="21"/>
        </w:rPr>
        <w:t>We envision a future where no buyer makes an offer on a flood-risk property without knowing it, no homeowner misses a remortgage window, no landlord is fined for an expired gas certificate, and no first-time buyer feels alone navigating the most complex financial decision of their life.</w:t>
      </w:r>
    </w:p>
    <w:p>
      <w:pPr>
        <w:spacing w:after="120"/>
      </w:pPr>
      <w:r>
        <w:rPr>
          <w:i w:val="0"/>
          <w:color w:val="5E5A52"/>
          <w:sz w:val="21"/>
        </w:rPr>
        <w:t>In the long term, PropPilot will expand beyond the UK to become the global standard for consumer-facing property intelligence — starting with markets that share common data infrastructure: Republic of Ireland, Australia, Canada, and eventually the United States.</w:t>
      </w:r>
    </w:p>
    <w:p>
      <w:pPr>
        <w:spacing w:before="160" w:after="160"/>
        <w:pBdr>
          <w:bottom w:val="single" w:sz="4" w:space="1" w:color="D1CEC8"/>
        </w:pBdr>
      </w:pPr>
    </w:p>
    <w:p>
      <w:pPr>
        <w:pStyle w:val="Heading1"/>
        <w:spacing w:before="400" w:after="120"/>
      </w:pPr>
      <w:r>
        <w:rPr>
          <w:color w:val="1D9E75"/>
          <w:sz w:val="32"/>
        </w:rPr>
        <w:t>3. Mission</w:t>
      </w:r>
    </w:p>
    <w:p>
      <w:pPr>
        <w:spacing w:after="120"/>
      </w:pPr>
      <w:r>
        <w:rPr>
          <w:i w:val="0"/>
          <w:color w:val="5E5A52"/>
          <w:sz w:val="21"/>
        </w:rPr>
        <w:t>To democratise property intelligence — making the data, tools, and professional connections that were previously available only to institutional investors and well-connected insiders accessible to every person buying, selling, or owning a home in the UK.</w:t>
      </w:r>
    </w:p>
    <w:p>
      <w:pPr>
        <w:pStyle w:val="ListBullet"/>
        <w:spacing w:after="60"/>
        <w:ind w:left="283"/>
      </w:pPr>
      <w:r>
        <w:rPr>
          <w:color w:val="5E5A52"/>
          <w:sz w:val="21"/>
        </w:rPr>
        <w:t>Clarity:  Give every user a complete, accurate picture of any UK property in seconds.</w:t>
      </w:r>
    </w:p>
    <w:p>
      <w:pPr>
        <w:pStyle w:val="ListBullet"/>
        <w:spacing w:after="60"/>
        <w:ind w:left="283"/>
      </w:pPr>
      <w:r>
        <w:rPr>
          <w:color w:val="5E5A52"/>
          <w:sz w:val="21"/>
        </w:rPr>
        <w:t>Confidence:  Equip buyers and owners with the tools to make decisions without expensive intermediaries.</w:t>
      </w:r>
    </w:p>
    <w:p>
      <w:pPr>
        <w:pStyle w:val="ListBullet"/>
        <w:spacing w:after="60"/>
        <w:ind w:left="283"/>
      </w:pPr>
      <w:r>
        <w:rPr>
          <w:color w:val="5E5A52"/>
          <w:sz w:val="21"/>
        </w:rPr>
        <w:t>Connection:  Link users to vetted, trusted professionals when human expertise is genuinely needed.</w:t>
      </w:r>
    </w:p>
    <w:p>
      <w:pPr>
        <w:pStyle w:val="ListBullet"/>
        <w:spacing w:after="60"/>
        <w:ind w:left="283"/>
      </w:pPr>
      <w:r>
        <w:rPr>
          <w:color w:val="5E5A52"/>
          <w:sz w:val="21"/>
        </w:rPr>
        <w:t>Continuity:  Stay useful beyond the transaction — supporting owners for the lifetime of their property.</w:t>
      </w:r>
    </w:p>
    <w:p>
      <w:pPr>
        <w:spacing w:before="160" w:after="160"/>
        <w:pBdr>
          <w:bottom w:val="single" w:sz="4" w:space="1" w:color="D1CEC8"/>
        </w:pBdr>
      </w:pPr>
    </w:p>
    <w:p>
      <w:pPr>
        <w:pStyle w:val="Heading1"/>
        <w:spacing w:before="400" w:after="120"/>
      </w:pPr>
      <w:r>
        <w:rPr>
          <w:color w:val="1D9E75"/>
          <w:sz w:val="32"/>
        </w:rPr>
        <w:t>4. What Problems Are We Solving</w:t>
      </w:r>
    </w:p>
    <w:p>
      <w:pPr>
        <w:pStyle w:val="Heading2"/>
        <w:spacing w:before="240" w:after="80"/>
      </w:pPr>
      <w:r>
        <w:rPr>
          <w:color w:val="1A1917"/>
          <w:sz w:val="26"/>
        </w:rPr>
        <w:t>For HomeBuyers</w:t>
      </w:r>
    </w:p>
    <w:p>
      <w:pPr>
        <w:pStyle w:val="ListBullet"/>
        <w:spacing w:after="60"/>
        <w:ind w:left="283"/>
      </w:pPr>
      <w:r>
        <w:rPr>
          <w:color w:val="5E5A52"/>
          <w:sz w:val="21"/>
        </w:rPr>
        <w:t>Information fragmentation: Flood risk, EPC, crime, broadband, and council tax data are spread across 6+ separate government websites with no unified interface.</w:t>
      </w:r>
    </w:p>
    <w:p>
      <w:pPr>
        <w:pStyle w:val="ListBullet"/>
        <w:spacing w:after="60"/>
        <w:ind w:left="283"/>
      </w:pPr>
      <w:r>
        <w:rPr>
          <w:color w:val="5E5A52"/>
          <w:sz w:val="21"/>
        </w:rPr>
        <w:t>Due diligence paralysis: First-time buyers do not know what checks to run or what results mean, leading to expensive post-purchase discoveries (e.g., undisclosed flood zones, short leases).</w:t>
      </w:r>
    </w:p>
    <w:p>
      <w:pPr>
        <w:pStyle w:val="ListBullet"/>
        <w:spacing w:after="60"/>
        <w:ind w:left="283"/>
      </w:pPr>
      <w:r>
        <w:rPr>
          <w:color w:val="5E5A52"/>
          <w:sz w:val="21"/>
        </w:rPr>
        <w:t>Leasehold complexity: Lease extension cost calculations under the 1993 Leasehold Reform Act are opaque; many buyers only discover the true cost after exchange.</w:t>
      </w:r>
    </w:p>
    <w:p>
      <w:pPr>
        <w:pStyle w:val="ListBullet"/>
        <w:spacing w:after="60"/>
        <w:ind w:left="283"/>
      </w:pPr>
      <w:r>
        <w:rPr>
          <w:color w:val="5E5A52"/>
          <w:sz w:val="21"/>
        </w:rPr>
        <w:t>Professional service opacity: Finding, vetting, and pricing solicitors, surveyors, gas engineers, and electricians is slow, expensive, and dependent on word-of-mouth.</w:t>
      </w:r>
    </w:p>
    <w:p>
      <w:pPr>
        <w:pStyle w:val="ListBullet"/>
        <w:spacing w:after="60"/>
        <w:ind w:left="283"/>
      </w:pPr>
      <w:r>
        <w:rPr>
          <w:color w:val="5E5A52"/>
          <w:sz w:val="21"/>
        </w:rPr>
        <w:t>Stamp Duty confusion: SDLT rules differ for first-time buyers, additional property purchases, and buy-to-let — most buyers guess or rely on outdated online calculators.</w:t>
      </w:r>
    </w:p>
    <w:p>
      <w:pPr>
        <w:pStyle w:val="Heading2"/>
        <w:spacing w:before="240" w:after="80"/>
      </w:pPr>
      <w:r>
        <w:rPr>
          <w:color w:val="1A1917"/>
          <w:sz w:val="26"/>
        </w:rPr>
        <w:t>For HomeOwners</w:t>
      </w:r>
    </w:p>
    <w:p>
      <w:pPr>
        <w:pStyle w:val="ListBullet"/>
        <w:spacing w:after="60"/>
        <w:ind w:left="283"/>
      </w:pPr>
      <w:r>
        <w:rPr>
          <w:color w:val="5E5A52"/>
          <w:sz w:val="21"/>
        </w:rPr>
        <w:t>Ownership blind spots: Most owners have no single view of their home's current estimated value, equity position, EPC rating, and mortgage status.</w:t>
      </w:r>
    </w:p>
    <w:p>
      <w:pPr>
        <w:pStyle w:val="ListBullet"/>
        <w:spacing w:after="60"/>
        <w:ind w:left="283"/>
      </w:pPr>
      <w:r>
        <w:rPr>
          <w:color w:val="5E5A52"/>
          <w:sz w:val="21"/>
        </w:rPr>
        <w:t>Maintenance failure: Unexpected repair bills are the UK's leading source of household financial stress. Most owners have no structured maintenance plan.</w:t>
      </w:r>
    </w:p>
    <w:p>
      <w:pPr>
        <w:pStyle w:val="ListBullet"/>
        <w:spacing w:after="60"/>
        <w:ind w:left="283"/>
      </w:pPr>
      <w:r>
        <w:rPr>
          <w:color w:val="5E5A52"/>
          <w:sz w:val="21"/>
        </w:rPr>
        <w:t>Grant unawareness: An estimated £8B in government home improvement grants (ECO4, Boiler Upgrade Scheme, Great British Insulation Scheme) goes unclaimed annually due to low awareness.</w:t>
      </w:r>
    </w:p>
    <w:p>
      <w:pPr>
        <w:pStyle w:val="ListBullet"/>
        <w:spacing w:after="60"/>
        <w:ind w:left="283"/>
      </w:pPr>
      <w:r>
        <w:rPr>
          <w:color w:val="5E5A52"/>
          <w:sz w:val="21"/>
        </w:rPr>
        <w:t>Remortgage timing: 1.6M fixed-rate mortgages expire each year in the UK. Hundreds of thousands of homeowners miss the optimal remortgage window and revert to standard variable rates, costing an average of £3,500 per year.</w:t>
      </w:r>
    </w:p>
    <w:p>
      <w:pPr>
        <w:pStyle w:val="ListBullet"/>
        <w:spacing w:after="60"/>
        <w:ind w:left="283"/>
      </w:pPr>
      <w:r>
        <w:rPr>
          <w:color w:val="5E5A52"/>
          <w:sz w:val="21"/>
        </w:rPr>
        <w:t>Landlord compliance: Buy-to-let landlords face overlapping compliance obligations (gas safety, EICR, EPC Band C, selective licensing) across multiple properties with no unified tracking tool.</w:t>
      </w:r>
    </w:p>
    <w:tbl>
      <w:tblPr>
        <w:tblStyle w:val="TableGrid"/>
        <w:tblW w:type="auto" w:w="0"/>
        <w:tblLook w:firstColumn="1" w:firstRow="1" w:lastColumn="0" w:lastRow="0" w:noHBand="0" w:noVBand="1" w:val="04A0"/>
      </w:tblPr>
      <w:tblGrid>
        <w:gridCol w:w="9406"/>
      </w:tblGrid>
      <w:tr>
        <w:tc>
          <w:tcPr>
            <w:tcW w:type="dxa" w:w="9406"/>
            <w:shd w:val="clear" w:color="auto" w:fill="FFF7ED"/>
            <w:tcW w:w="6120000" w:type="dxa"/>
          </w:tcPr>
          <w:p>
            <w:pPr>
              <w:spacing w:before="80" w:after="60"/>
              <w:ind w:left="227"/>
            </w:pPr>
            <w:r>
              <w:rPr>
                <w:b/>
                <w:color w:val="C2410C"/>
                <w:sz w:val="22"/>
              </w:rPr>
              <w:t>The cost of these problems</w:t>
            </w:r>
          </w:p>
          <w:p>
            <w:pPr>
              <w:spacing w:after="40"/>
              <w:ind w:left="227"/>
            </w:pPr>
            <w:r>
              <w:rPr>
                <w:color w:val="5E5A52"/>
                <w:sz w:val="20"/>
              </w:rPr>
              <w:t>Average post-purchase survey surprise (undisclosed defects): £5,500  [RICS 2023]</w:t>
            </w:r>
          </w:p>
          <w:p>
            <w:pPr>
              <w:spacing w:after="40"/>
              <w:ind w:left="227"/>
            </w:pPr>
            <w:r>
              <w:rPr>
                <w:color w:val="5E5A52"/>
                <w:sz w:val="20"/>
              </w:rPr>
              <w:t>Average cost of missing optimal remortgage window: £3,200/year  [MoneySavingExpert 2024]</w:t>
            </w:r>
          </w:p>
          <w:p>
            <w:pPr>
              <w:spacing w:after="40"/>
              <w:ind w:left="227"/>
            </w:pPr>
            <w:r>
              <w:rPr>
                <w:color w:val="5E5A52"/>
                <w:sz w:val="20"/>
              </w:rPr>
              <w:t>Average lease extension cost surprise for buyers: £12,000-£40,000  [Leasehold Knowledge Partnership]</w:t>
            </w:r>
          </w:p>
          <w:p>
            <w:pPr>
              <w:spacing w:after="40"/>
              <w:ind w:left="227"/>
            </w:pPr>
            <w:r>
              <w:rPr>
                <w:color w:val="5E5A52"/>
                <w:sz w:val="20"/>
              </w:rPr>
              <w:t>ECO4 grants unclaimed annually (est.): £2B+  [NAO 2024]</w:t>
            </w:r>
          </w:p>
        </w:tc>
      </w:tr>
    </w:tbl>
    <w:p/>
    <w:p>
      <w:pPr>
        <w:spacing w:before="160" w:after="160"/>
        <w:pBdr>
          <w:bottom w:val="single" w:sz="4" w:space="1" w:color="D1CEC8"/>
        </w:pBdr>
      </w:pPr>
    </w:p>
    <w:p>
      <w:r>
        <w:br w:type="page"/>
      </w:r>
    </w:p>
    <w:p>
      <w:pPr>
        <w:pStyle w:val="Heading1"/>
        <w:spacing w:before="400" w:after="120"/>
      </w:pPr>
      <w:r>
        <w:rPr>
          <w:color w:val="1D9E75"/>
          <w:sz w:val="32"/>
        </w:rPr>
        <w:t>5. What Is My Idea</w:t>
      </w:r>
    </w:p>
    <w:p>
      <w:pPr>
        <w:spacing w:after="120"/>
      </w:pPr>
      <w:r>
        <w:rPr>
          <w:i w:val="0"/>
          <w:color w:val="5E5A52"/>
          <w:sz w:val="21"/>
        </w:rPr>
        <w:t>PropPilot is a dual-audience SaaS platform that serves two distinct segments of the UK residential property market — HomeBuyers and HomeOwners — with a single, unified technology platform and two tailored product experiences.</w:t>
      </w:r>
    </w:p>
    <w:p>
      <w:pPr>
        <w:spacing w:after="120"/>
      </w:pPr>
      <w:r>
        <w:rPr>
          <w:i w:val="0"/>
          <w:color w:val="5E5A52"/>
          <w:sz w:val="21"/>
        </w:rPr>
        <w:t>At its core, PropPilot is a property intelligence aggregator: it connects to the UK's richest open data sources, processes that data in real time, and delivers it in a format that is actionable and understandable by a non-expert consumer.</w:t>
      </w:r>
    </w:p>
    <w:p>
      <w:pPr>
        <w:pStyle w:val="Heading2"/>
        <w:spacing w:before="240" w:after="80"/>
      </w:pPr>
      <w:r>
        <w:rPr>
          <w:color w:val="1A1917"/>
          <w:sz w:val="26"/>
        </w:rPr>
        <w:t>For HomeBuyers</w:t>
      </w:r>
    </w:p>
    <w:p>
      <w:pPr>
        <w:spacing w:after="120"/>
      </w:pPr>
      <w:r>
        <w:rPr>
          <w:i w:val="0"/>
          <w:color w:val="5E5A52"/>
          <w:sz w:val="21"/>
        </w:rPr>
        <w:t>PropPilot runs five parallel automated checks on any UK address in seconds — flood risk (Environment Agency), energy performance (DESNZ EPC Register), crime statistics (police.uk), broadband speed (Ofcom), and council tax (VOA) — and presents them in a single, shareable due diligence report. It also provides interactive buying checklists, SDLT and lease extension calculators, and access to vetted professional services.</w:t>
      </w:r>
    </w:p>
    <w:p>
      <w:pPr>
        <w:pStyle w:val="Heading2"/>
        <w:spacing w:before="240" w:after="80"/>
      </w:pPr>
      <w:r>
        <w:rPr>
          <w:color w:val="1A1917"/>
          <w:sz w:val="26"/>
        </w:rPr>
        <w:t>For HomeOwners</w:t>
      </w:r>
    </w:p>
    <w:p>
      <w:pPr>
        <w:spacing w:after="120"/>
      </w:pPr>
      <w:r>
        <w:rPr>
          <w:i w:val="0"/>
          <w:color w:val="5E5A52"/>
          <w:sz w:val="21"/>
        </w:rPr>
        <w:t>PropPilot provides a persistent property dashboard tracking home value, equity, EPC rating, and mortgage status. It proactively alerts owners to maintenance tasks, EPC improvement grants, and remortgage windows before they are missed. For landlords, it tracks compliance deadlines across a portfolio.</w:t>
      </w:r>
    </w:p>
    <w:p>
      <w:pPr>
        <w:pStyle w:val="Heading2"/>
        <w:spacing w:before="240" w:after="80"/>
      </w:pPr>
      <w:r>
        <w:rPr>
          <w:color w:val="1A1917"/>
          <w:sz w:val="26"/>
        </w:rPr>
        <w:t>The marketplace layer</w:t>
      </w:r>
    </w:p>
    <w:p>
      <w:pPr>
        <w:spacing w:after="120"/>
      </w:pPr>
      <w:r>
        <w:rPr>
          <w:i w:val="0"/>
          <w:color w:val="5E5A52"/>
          <w:sz w:val="21"/>
        </w:rPr>
        <w:t>For both user types, PropPilot operates a vetted professional services marketplace — connecting users with solicitors, RICS surveyors, Gas Safe engineers, and NICEIC-registered electricians — earning a referral commission on every booking. Pro and Enterprise members receive 10% off all bookings, creating a strong incentive to upgrade.</w:t>
      </w:r>
    </w:p>
    <w:p>
      <w:pPr>
        <w:spacing w:before="160" w:after="160"/>
        <w:pBdr>
          <w:bottom w:val="single" w:sz="4" w:space="1" w:color="D1CEC8"/>
        </w:pBdr>
      </w:pPr>
    </w:p>
    <w:p>
      <w:pPr>
        <w:pStyle w:val="Heading1"/>
        <w:spacing w:before="400" w:after="120"/>
      </w:pPr>
      <w:r>
        <w:rPr>
          <w:color w:val="1D9E75"/>
          <w:sz w:val="32"/>
        </w:rPr>
        <w:t>6. Novel Technology</w:t>
      </w:r>
    </w:p>
    <w:p>
      <w:pPr>
        <w:spacing w:after="120"/>
      </w:pPr>
      <w:r>
        <w:rPr>
          <w:i w:val="0"/>
          <w:color w:val="5E5A52"/>
          <w:sz w:val="21"/>
        </w:rPr>
        <w:t>PropPilot's technical innovation lies in three areas: real-time parallel data orchestration, intelligent risk scoring, and role-aware personalisation — none of which exist in combination in any current consumer-facing UK property tool.</w:t>
      </w:r>
    </w:p>
    <w:p>
      <w:pPr>
        <w:pStyle w:val="Heading2"/>
        <w:spacing w:before="240" w:after="80"/>
      </w:pPr>
      <w:r>
        <w:rPr>
          <w:color w:val="1A1917"/>
          <w:sz w:val="26"/>
        </w:rPr>
        <w:t>6.1  Real-Time Parallel API Orchestration</w:t>
      </w:r>
    </w:p>
    <w:p>
      <w:pPr>
        <w:spacing w:after="120"/>
      </w:pPr>
      <w:r>
        <w:rPr>
          <w:i w:val="0"/>
          <w:color w:val="5E5A52"/>
          <w:sz w:val="21"/>
        </w:rPr>
        <w:t>When a user enters a UK postcode and address, PropPilot simultaneously fires five independent API requests in parallel — not sequentially. This is achieved through Next.js 15 server-side parallel data fetching with Promise.all(), reducing total report generation time from a theoretical ~15 seconds (sequential) to under 4 seconds. Each check runs independently so a slow or failing data source does not block the others.</w:t>
      </w:r>
    </w:p>
    <w:p>
      <w:pPr>
        <w:pStyle w:val="ListBullet"/>
        <w:spacing w:after="60"/>
        <w:ind w:left="283"/>
      </w:pPr>
      <w:r>
        <w:rPr>
          <w:color w:val="5E5A52"/>
          <w:sz w:val="21"/>
        </w:rPr>
        <w:t>Geocoding layer: Postcode → lat/lng conversion via the Postcodes.io API, cached at the edge.</w:t>
      </w:r>
    </w:p>
    <w:p>
      <w:pPr>
        <w:pStyle w:val="ListBullet"/>
        <w:spacing w:after="60"/>
        <w:ind w:left="283"/>
      </w:pPr>
      <w:r>
        <w:rPr>
          <w:color w:val="5E5A52"/>
          <w:sz w:val="21"/>
        </w:rPr>
        <w:t>Flood risk: Environment Agency Flood Monitoring API — active flood warnings and alerts within 3km radius, plus flood area count as a risk proxy.</w:t>
      </w:r>
    </w:p>
    <w:p>
      <w:pPr>
        <w:pStyle w:val="ListBullet"/>
        <w:spacing w:after="60"/>
        <w:ind w:left="283"/>
      </w:pPr>
      <w:r>
        <w:rPr>
          <w:color w:val="5E5A52"/>
          <w:sz w:val="21"/>
        </w:rPr>
        <w:t>EPC: DESNZ Open Data Communities EPC Register — certificate lookup by address with band, score, and improvement recommendations.</w:t>
      </w:r>
    </w:p>
    <w:p>
      <w:pPr>
        <w:pStyle w:val="ListBullet"/>
        <w:spacing w:after="60"/>
        <w:ind w:left="283"/>
      </w:pPr>
      <w:r>
        <w:rPr>
          <w:color w:val="5E5A52"/>
          <w:sz w:val="21"/>
        </w:rPr>
        <w:t>Crime: police.uk Data API — 12-month crime breakdown by category with percentage distribution bar chart visualisation.</w:t>
      </w:r>
    </w:p>
    <w:p>
      <w:pPr>
        <w:pStyle w:val="ListBullet"/>
        <w:spacing w:after="60"/>
        <w:ind w:left="283"/>
      </w:pPr>
      <w:r>
        <w:rPr>
          <w:color w:val="5E5A52"/>
          <w:sz w:val="21"/>
        </w:rPr>
        <w:t>Broadband: Ofcom Fixed Line Broadband Performance dataset by postcode — download/upload speed and technology type.</w:t>
      </w:r>
    </w:p>
    <w:p>
      <w:pPr>
        <w:pStyle w:val="ListBullet"/>
        <w:spacing w:after="60"/>
        <w:ind w:left="283"/>
      </w:pPr>
      <w:r>
        <w:rPr>
          <w:color w:val="5E5A52"/>
          <w:sz w:val="21"/>
        </w:rPr>
        <w:t>Council Tax: VOA Council Tax Bands dataset by postcode — band and estimated annual charge.</w:t>
      </w:r>
    </w:p>
    <w:p>
      <w:pPr>
        <w:pStyle w:val="Heading2"/>
        <w:spacing w:before="240" w:after="80"/>
      </w:pPr>
      <w:r>
        <w:rPr>
          <w:color w:val="1A1917"/>
          <w:sz w:val="26"/>
        </w:rPr>
        <w:t>6.2  Composite Risk Scoring Algorithm</w:t>
      </w:r>
    </w:p>
    <w:p>
      <w:pPr>
        <w:spacing w:after="120"/>
      </w:pPr>
      <w:r>
        <w:rPr>
          <w:i w:val="0"/>
          <w:color w:val="5E5A52"/>
          <w:sz w:val="21"/>
        </w:rPr>
        <w:t>PropPilot synthesises the raw API outputs into a composite property risk score (0–100) called the PropPilot Score. The algorithm weights five dimensions:</w:t>
      </w:r>
    </w:p>
    <w:tbl>
      <w:tblPr>
        <w:tblStyle w:val="TableGrid"/>
        <w:tblW w:type="auto" w:w="0"/>
        <w:tblLook w:firstColumn="1" w:firstRow="1" w:lastColumn="0" w:lastRow="0" w:noHBand="0" w:noVBand="1" w:val="04A0"/>
      </w:tblPr>
      <w:tblGrid>
        <w:gridCol w:w="2351"/>
        <w:gridCol w:w="2351"/>
        <w:gridCol w:w="2351"/>
        <w:gridCol w:w="2351"/>
      </w:tblGrid>
      <w:tr>
        <w:tc>
          <w:tcPr>
            <w:tcW w:type="dxa" w:w="2351"/>
            <w:vAlign w:val="center"/>
            <w:tcW w:w="1260000" w:type="dxa"/>
            <w:shd w:val="clear" w:color="auto" w:fill="1D9E75"/>
          </w:tcPr>
          <w:p>
            <w:pPr>
              <w:spacing w:before="60" w:after="60"/>
              <w:ind w:left="113"/>
            </w:pPr>
            <w:r>
              <w:rPr>
                <w:b/>
                <w:color w:val="FFFFFF"/>
                <w:sz w:val="19"/>
              </w:rPr>
              <w:t>Dimension</w:t>
            </w:r>
          </w:p>
        </w:tc>
        <w:tc>
          <w:tcPr>
            <w:tcW w:type="dxa" w:w="2351"/>
            <w:vAlign w:val="center"/>
            <w:tcW w:w="720000" w:type="dxa"/>
            <w:shd w:val="clear" w:color="auto" w:fill="1D9E75"/>
          </w:tcPr>
          <w:p>
            <w:pPr>
              <w:spacing w:before="60" w:after="60"/>
              <w:ind w:left="113"/>
            </w:pPr>
            <w:r>
              <w:rPr>
                <w:b/>
                <w:color w:val="FFFFFF"/>
                <w:sz w:val="19"/>
              </w:rPr>
              <w:t>Weight</w:t>
            </w:r>
          </w:p>
        </w:tc>
        <w:tc>
          <w:tcPr>
            <w:tcW w:type="dxa" w:w="2351"/>
            <w:vAlign w:val="center"/>
            <w:tcW w:w="2340000" w:type="dxa"/>
            <w:shd w:val="clear" w:color="auto" w:fill="1D9E75"/>
          </w:tcPr>
          <w:p>
            <w:pPr>
              <w:spacing w:before="60" w:after="60"/>
              <w:ind w:left="113"/>
            </w:pPr>
            <w:r>
              <w:rPr>
                <w:b/>
                <w:color w:val="FFFFFF"/>
                <w:sz w:val="19"/>
              </w:rPr>
              <w:t>Signal used</w:t>
            </w:r>
          </w:p>
        </w:tc>
        <w:tc>
          <w:tcPr>
            <w:tcW w:type="dxa" w:w="2351"/>
            <w:vAlign w:val="center"/>
            <w:tcW w:w="1440000" w:type="dxa"/>
            <w:shd w:val="clear" w:color="auto" w:fill="1D9E75"/>
          </w:tcPr>
          <w:p>
            <w:pPr>
              <w:spacing w:before="60" w:after="60"/>
              <w:ind w:left="113"/>
            </w:pPr>
            <w:r>
              <w:rPr>
                <w:b/>
                <w:color w:val="FFFFFF"/>
                <w:sz w:val="19"/>
              </w:rPr>
              <w:t>Risk direction</w:t>
            </w:r>
          </w:p>
        </w:tc>
      </w:tr>
      <w:tr>
        <w:tc>
          <w:tcPr>
            <w:tcW w:type="dxa" w:w="2351"/>
            <w:vAlign w:val="center"/>
            <w:tcW w:w="1260000" w:type="dxa"/>
          </w:tcPr>
          <w:p>
            <w:pPr>
              <w:spacing w:before="60" w:after="60"/>
              <w:ind w:left="113"/>
            </w:pPr>
            <w:r>
              <w:rPr>
                <w:b w:val="0"/>
                <w:color w:val="1A1917"/>
                <w:sz w:val="19"/>
              </w:rPr>
              <w:t>Flood risk</w:t>
            </w:r>
          </w:p>
        </w:tc>
        <w:tc>
          <w:tcPr>
            <w:tcW w:type="dxa" w:w="2351"/>
            <w:vAlign w:val="center"/>
            <w:tcW w:w="720000" w:type="dxa"/>
          </w:tcPr>
          <w:p>
            <w:pPr>
              <w:spacing w:before="60" w:after="60"/>
              <w:ind w:left="113"/>
            </w:pPr>
            <w:r>
              <w:rPr>
                <w:b w:val="0"/>
                <w:color w:val="5E5A52"/>
                <w:sz w:val="19"/>
              </w:rPr>
              <w:t>30%</w:t>
            </w:r>
          </w:p>
        </w:tc>
        <w:tc>
          <w:tcPr>
            <w:tcW w:type="dxa" w:w="2351"/>
            <w:vAlign w:val="center"/>
            <w:tcW w:w="2340000" w:type="dxa"/>
          </w:tcPr>
          <w:p>
            <w:pPr>
              <w:spacing w:before="60" w:after="60"/>
              <w:ind w:left="113"/>
            </w:pPr>
            <w:r>
              <w:rPr>
                <w:b w:val="0"/>
                <w:color w:val="5E5A52"/>
                <w:sz w:val="19"/>
              </w:rPr>
              <w:t>Active warnings &gt; 0 → high; area count proxy</w:t>
            </w:r>
          </w:p>
        </w:tc>
        <w:tc>
          <w:tcPr>
            <w:tcW w:type="dxa" w:w="2351"/>
            <w:vAlign w:val="center"/>
            <w:tcW w:w="1440000" w:type="dxa"/>
          </w:tcPr>
          <w:p>
            <w:pPr>
              <w:spacing w:before="60" w:after="60"/>
              <w:ind w:left="113"/>
            </w:pPr>
            <w:r>
              <w:rPr>
                <w:b w:val="0"/>
                <w:color w:val="5E5A52"/>
                <w:sz w:val="19"/>
              </w:rPr>
              <w:t>Higher = worse</w:t>
            </w:r>
          </w:p>
        </w:tc>
      </w:tr>
      <w:tr>
        <w:tc>
          <w:tcPr>
            <w:tcW w:type="dxa" w:w="2351"/>
            <w:vAlign w:val="center"/>
            <w:tcW w:w="1260000" w:type="dxa"/>
            <w:shd w:val="clear" w:color="auto" w:fill="F8F7F4"/>
          </w:tcPr>
          <w:p>
            <w:pPr>
              <w:spacing w:before="60" w:after="60"/>
              <w:ind w:left="113"/>
            </w:pPr>
            <w:r>
              <w:rPr>
                <w:b w:val="0"/>
                <w:color w:val="1A1917"/>
                <w:sz w:val="19"/>
              </w:rPr>
              <w:t>EPC rating</w:t>
            </w:r>
          </w:p>
        </w:tc>
        <w:tc>
          <w:tcPr>
            <w:tcW w:type="dxa" w:w="2351"/>
            <w:vAlign w:val="center"/>
            <w:tcW w:w="720000" w:type="dxa"/>
            <w:shd w:val="clear" w:color="auto" w:fill="F8F7F4"/>
          </w:tcPr>
          <w:p>
            <w:pPr>
              <w:spacing w:before="60" w:after="60"/>
              <w:ind w:left="113"/>
            </w:pPr>
            <w:r>
              <w:rPr>
                <w:b w:val="0"/>
                <w:color w:val="5E5A52"/>
                <w:sz w:val="19"/>
              </w:rPr>
              <w:t>25%</w:t>
            </w:r>
          </w:p>
        </w:tc>
        <w:tc>
          <w:tcPr>
            <w:tcW w:type="dxa" w:w="2351"/>
            <w:vAlign w:val="center"/>
            <w:tcW w:w="2340000" w:type="dxa"/>
            <w:shd w:val="clear" w:color="auto" w:fill="F8F7F4"/>
          </w:tcPr>
          <w:p>
            <w:pPr>
              <w:spacing w:before="60" w:after="60"/>
              <w:ind w:left="113"/>
            </w:pPr>
            <w:r>
              <w:rPr>
                <w:b w:val="0"/>
                <w:color w:val="5E5A52"/>
                <w:sz w:val="19"/>
              </w:rPr>
              <w:t>Band A–C = green; D–G = amber/red</w:t>
            </w:r>
          </w:p>
        </w:tc>
        <w:tc>
          <w:tcPr>
            <w:tcW w:type="dxa" w:w="2351"/>
            <w:vAlign w:val="center"/>
            <w:tcW w:w="1440000" w:type="dxa"/>
            <w:shd w:val="clear" w:color="auto" w:fill="F8F7F4"/>
          </w:tcPr>
          <w:p>
            <w:pPr>
              <w:spacing w:before="60" w:after="60"/>
              <w:ind w:left="113"/>
            </w:pPr>
            <w:r>
              <w:rPr>
                <w:b w:val="0"/>
                <w:color w:val="5E5A52"/>
                <w:sz w:val="19"/>
              </w:rPr>
              <w:t>Lower band = worse</w:t>
            </w:r>
          </w:p>
        </w:tc>
      </w:tr>
      <w:tr>
        <w:tc>
          <w:tcPr>
            <w:tcW w:type="dxa" w:w="2351"/>
            <w:vAlign w:val="center"/>
            <w:tcW w:w="1260000" w:type="dxa"/>
          </w:tcPr>
          <w:p>
            <w:pPr>
              <w:spacing w:before="60" w:after="60"/>
              <w:ind w:left="113"/>
            </w:pPr>
            <w:r>
              <w:rPr>
                <w:b w:val="0"/>
                <w:color w:val="1A1917"/>
                <w:sz w:val="19"/>
              </w:rPr>
              <w:t>Crime rate</w:t>
            </w:r>
          </w:p>
        </w:tc>
        <w:tc>
          <w:tcPr>
            <w:tcW w:type="dxa" w:w="2351"/>
            <w:vAlign w:val="center"/>
            <w:tcW w:w="720000" w:type="dxa"/>
          </w:tcPr>
          <w:p>
            <w:pPr>
              <w:spacing w:before="60" w:after="60"/>
              <w:ind w:left="113"/>
            </w:pPr>
            <w:r>
              <w:rPr>
                <w:b w:val="0"/>
                <w:color w:val="5E5A52"/>
                <w:sz w:val="19"/>
              </w:rPr>
              <w:t>20%</w:t>
            </w:r>
          </w:p>
        </w:tc>
        <w:tc>
          <w:tcPr>
            <w:tcW w:type="dxa" w:w="2351"/>
            <w:vAlign w:val="center"/>
            <w:tcW w:w="2340000" w:type="dxa"/>
          </w:tcPr>
          <w:p>
            <w:pPr>
              <w:spacing w:before="60" w:after="60"/>
              <w:ind w:left="113"/>
            </w:pPr>
            <w:r>
              <w:rPr>
                <w:b w:val="0"/>
                <w:color w:val="5E5A52"/>
                <w:sz w:val="19"/>
              </w:rPr>
              <w:t>Total crimes vs. national postcode average</w:t>
            </w:r>
          </w:p>
        </w:tc>
        <w:tc>
          <w:tcPr>
            <w:tcW w:type="dxa" w:w="2351"/>
            <w:vAlign w:val="center"/>
            <w:tcW w:w="1440000" w:type="dxa"/>
          </w:tcPr>
          <w:p>
            <w:pPr>
              <w:spacing w:before="60" w:after="60"/>
              <w:ind w:left="113"/>
            </w:pPr>
            <w:r>
              <w:rPr>
                <w:b w:val="0"/>
                <w:color w:val="5E5A52"/>
                <w:sz w:val="19"/>
              </w:rPr>
              <w:t>Higher = worse</w:t>
            </w:r>
          </w:p>
        </w:tc>
      </w:tr>
      <w:tr>
        <w:tc>
          <w:tcPr>
            <w:tcW w:type="dxa" w:w="2351"/>
            <w:vAlign w:val="center"/>
            <w:tcW w:w="1260000" w:type="dxa"/>
            <w:shd w:val="clear" w:color="auto" w:fill="F8F7F4"/>
          </w:tcPr>
          <w:p>
            <w:pPr>
              <w:spacing w:before="60" w:after="60"/>
              <w:ind w:left="113"/>
            </w:pPr>
            <w:r>
              <w:rPr>
                <w:b w:val="0"/>
                <w:color w:val="1A1917"/>
                <w:sz w:val="19"/>
              </w:rPr>
              <w:t>Broadband</w:t>
            </w:r>
          </w:p>
        </w:tc>
        <w:tc>
          <w:tcPr>
            <w:tcW w:type="dxa" w:w="2351"/>
            <w:vAlign w:val="center"/>
            <w:tcW w:w="720000" w:type="dxa"/>
            <w:shd w:val="clear" w:color="auto" w:fill="F8F7F4"/>
          </w:tcPr>
          <w:p>
            <w:pPr>
              <w:spacing w:before="60" w:after="60"/>
              <w:ind w:left="113"/>
            </w:pPr>
            <w:r>
              <w:rPr>
                <w:b w:val="0"/>
                <w:color w:val="5E5A52"/>
                <w:sz w:val="19"/>
              </w:rPr>
              <w:t>15%</w:t>
            </w:r>
          </w:p>
        </w:tc>
        <w:tc>
          <w:tcPr>
            <w:tcW w:type="dxa" w:w="2351"/>
            <w:vAlign w:val="center"/>
            <w:tcW w:w="2340000" w:type="dxa"/>
            <w:shd w:val="clear" w:color="auto" w:fill="F8F7F4"/>
          </w:tcPr>
          <w:p>
            <w:pPr>
              <w:spacing w:before="60" w:after="60"/>
              <w:ind w:left="113"/>
            </w:pPr>
            <w:r>
              <w:rPr>
                <w:b w:val="0"/>
                <w:color w:val="5E5A52"/>
                <w:sz w:val="19"/>
              </w:rPr>
              <w:t>Download speed &lt; 30 Mbps = fail (Ofcom USO)</w:t>
            </w:r>
          </w:p>
        </w:tc>
        <w:tc>
          <w:tcPr>
            <w:tcW w:type="dxa" w:w="2351"/>
            <w:vAlign w:val="center"/>
            <w:tcW w:w="1440000" w:type="dxa"/>
            <w:shd w:val="clear" w:color="auto" w:fill="F8F7F4"/>
          </w:tcPr>
          <w:p>
            <w:pPr>
              <w:spacing w:before="60" w:after="60"/>
              <w:ind w:left="113"/>
            </w:pPr>
            <w:r>
              <w:rPr>
                <w:b w:val="0"/>
                <w:color w:val="5E5A52"/>
                <w:sz w:val="19"/>
              </w:rPr>
              <w:t>Lower = worse</w:t>
            </w:r>
          </w:p>
        </w:tc>
      </w:tr>
      <w:tr>
        <w:tc>
          <w:tcPr>
            <w:tcW w:type="dxa" w:w="2351"/>
            <w:vAlign w:val="center"/>
            <w:tcW w:w="1260000" w:type="dxa"/>
          </w:tcPr>
          <w:p>
            <w:pPr>
              <w:spacing w:before="60" w:after="60"/>
              <w:ind w:left="113"/>
            </w:pPr>
            <w:r>
              <w:rPr>
                <w:b w:val="0"/>
                <w:color w:val="1A1917"/>
                <w:sz w:val="19"/>
              </w:rPr>
              <w:t>Council tax</w:t>
            </w:r>
          </w:p>
        </w:tc>
        <w:tc>
          <w:tcPr>
            <w:tcW w:type="dxa" w:w="2351"/>
            <w:vAlign w:val="center"/>
            <w:tcW w:w="720000" w:type="dxa"/>
          </w:tcPr>
          <w:p>
            <w:pPr>
              <w:spacing w:before="60" w:after="60"/>
              <w:ind w:left="113"/>
            </w:pPr>
            <w:r>
              <w:rPr>
                <w:b w:val="0"/>
                <w:color w:val="5E5A52"/>
                <w:sz w:val="19"/>
              </w:rPr>
              <w:t>10%</w:t>
            </w:r>
          </w:p>
        </w:tc>
        <w:tc>
          <w:tcPr>
            <w:tcW w:type="dxa" w:w="2351"/>
            <w:vAlign w:val="center"/>
            <w:tcW w:w="2340000" w:type="dxa"/>
          </w:tcPr>
          <w:p>
            <w:pPr>
              <w:spacing w:before="60" w:after="60"/>
              <w:ind w:left="113"/>
            </w:pPr>
            <w:r>
              <w:rPr>
                <w:b w:val="0"/>
                <w:color w:val="5E5A52"/>
                <w:sz w:val="19"/>
              </w:rPr>
              <w:t>Band relative to property type average</w:t>
            </w:r>
          </w:p>
        </w:tc>
        <w:tc>
          <w:tcPr>
            <w:tcW w:type="dxa" w:w="2351"/>
            <w:vAlign w:val="center"/>
            <w:tcW w:w="1440000" w:type="dxa"/>
          </w:tcPr>
          <w:p>
            <w:pPr>
              <w:spacing w:before="60" w:after="60"/>
              <w:ind w:left="113"/>
            </w:pPr>
            <w:r>
              <w:rPr>
                <w:b w:val="0"/>
                <w:color w:val="5E5A52"/>
                <w:sz w:val="19"/>
              </w:rPr>
              <w:t>Higher = more cost</w:t>
            </w:r>
          </w:p>
        </w:tc>
      </w:tr>
    </w:tbl>
    <w:p/>
    <w:p>
      <w:pPr>
        <w:pStyle w:val="Heading2"/>
        <w:spacing w:before="240" w:after="80"/>
      </w:pPr>
      <w:r>
        <w:rPr>
          <w:color w:val="1A1917"/>
          <w:sz w:val="26"/>
        </w:rPr>
        <w:t>6.3  Role-Aware Personalisation Engine</w:t>
      </w:r>
    </w:p>
    <w:p>
      <w:pPr>
        <w:spacing w:after="120"/>
      </w:pPr>
      <w:r>
        <w:rPr>
          <w:i w:val="0"/>
          <w:color w:val="5E5A52"/>
          <w:sz w:val="21"/>
        </w:rPr>
        <w:t>PropPilot's authentication layer captures the user's role (HomeBuyer or HomeOwner) at sign-up and dynamically renders a different product experience — different dashboard, different tools, different pricing — from the same underlying codebase. This is achieved through a lightweight role-based routing system built into the Next.js App Router middleware, with no additional infrastructure overhead.</w:t>
      </w:r>
    </w:p>
    <w:p>
      <w:pPr>
        <w:spacing w:before="160" w:after="160"/>
        <w:pBdr>
          <w:bottom w:val="single" w:sz="4" w:space="1" w:color="D1CEC8"/>
        </w:pBdr>
      </w:pPr>
    </w:p>
    <w:p>
      <w:pPr>
        <w:pStyle w:val="Heading1"/>
        <w:spacing w:before="400" w:after="120"/>
      </w:pPr>
      <w:r>
        <w:rPr>
          <w:color w:val="1D9E75"/>
          <w:sz w:val="32"/>
        </w:rPr>
        <w:t>7. Product Architecture</w:t>
      </w:r>
    </w:p>
    <w:p>
      <w:pPr>
        <w:pStyle w:val="Heading2"/>
        <w:spacing w:before="240" w:after="80"/>
      </w:pPr>
      <w:r>
        <w:rPr>
          <w:color w:val="1A1917"/>
          <w:sz w:val="26"/>
        </w:rPr>
        <w:t>System Overview</w:t>
      </w:r>
    </w:p>
    <w:p>
      <w:pPr>
        <w:spacing w:after="120"/>
      </w:pPr>
      <w:r>
        <w:rPr>
          <w:i w:val="0"/>
          <w:color w:val="5E5A52"/>
          <w:sz w:val="21"/>
        </w:rPr>
        <w:t>PropPilot is built as a monolithic Next.js 15 application deployed on Vercel's edge network. The architecture follows a server-component-first pattern: data fetching happens on the server (or in Next.js API Routes), and the client receives rendered HTML with hydration only where interactivity is required.</w:t>
      </w:r>
    </w:p>
    <w:tbl>
      <w:tblPr>
        <w:tblStyle w:val="TableGrid"/>
        <w:tblW w:type="auto" w:w="0"/>
        <w:tblLook w:firstColumn="1" w:firstRow="1" w:lastColumn="0" w:lastRow="0" w:noHBand="0" w:noVBand="1" w:val="04A0"/>
      </w:tblPr>
      <w:tblGrid>
        <w:gridCol w:w="3135"/>
        <w:gridCol w:w="3135"/>
        <w:gridCol w:w="3135"/>
      </w:tblGrid>
      <w:tr>
        <w:tc>
          <w:tcPr>
            <w:tcW w:type="dxa" w:w="3135"/>
            <w:vAlign w:val="center"/>
            <w:tcW w:w="1260000" w:type="dxa"/>
            <w:shd w:val="clear" w:color="auto" w:fill="1D9E75"/>
          </w:tcPr>
          <w:p>
            <w:pPr>
              <w:spacing w:before="60" w:after="60"/>
              <w:ind w:left="113"/>
            </w:pPr>
            <w:r>
              <w:rPr>
                <w:b/>
                <w:color w:val="FFFFFF"/>
                <w:sz w:val="19"/>
              </w:rPr>
              <w:t>Layer</w:t>
            </w:r>
          </w:p>
        </w:tc>
        <w:tc>
          <w:tcPr>
            <w:tcW w:type="dxa" w:w="3135"/>
            <w:vAlign w:val="center"/>
            <w:tcW w:w="2520000" w:type="dxa"/>
            <w:shd w:val="clear" w:color="auto" w:fill="1D9E75"/>
          </w:tcPr>
          <w:p>
            <w:pPr>
              <w:spacing w:before="60" w:after="60"/>
              <w:ind w:left="113"/>
            </w:pPr>
            <w:r>
              <w:rPr>
                <w:b/>
                <w:color w:val="FFFFFF"/>
                <w:sz w:val="19"/>
              </w:rPr>
              <w:t>Component</w:t>
            </w:r>
          </w:p>
        </w:tc>
        <w:tc>
          <w:tcPr>
            <w:tcW w:type="dxa" w:w="3135"/>
            <w:vAlign w:val="center"/>
            <w:tcW w:w="2340000" w:type="dxa"/>
            <w:shd w:val="clear" w:color="auto" w:fill="1D9E75"/>
          </w:tcPr>
          <w:p>
            <w:pPr>
              <w:spacing w:before="60" w:after="60"/>
              <w:ind w:left="113"/>
            </w:pPr>
            <w:r>
              <w:rPr>
                <w:b/>
                <w:color w:val="FFFFFF"/>
                <w:sz w:val="19"/>
              </w:rPr>
              <w:t>Technology</w:t>
            </w:r>
          </w:p>
        </w:tc>
      </w:tr>
      <w:tr>
        <w:tc>
          <w:tcPr>
            <w:tcW w:type="dxa" w:w="3135"/>
            <w:vAlign w:val="center"/>
            <w:tcW w:w="1260000" w:type="dxa"/>
          </w:tcPr>
          <w:p>
            <w:pPr>
              <w:spacing w:before="60" w:after="60"/>
              <w:ind w:left="113"/>
            </w:pPr>
            <w:r>
              <w:rPr>
                <w:b w:val="0"/>
                <w:color w:val="1A1917"/>
                <w:sz w:val="19"/>
              </w:rPr>
              <w:t>Presentation</w:t>
            </w:r>
          </w:p>
        </w:tc>
        <w:tc>
          <w:tcPr>
            <w:tcW w:type="dxa" w:w="3135"/>
            <w:vAlign w:val="center"/>
            <w:tcW w:w="2520000" w:type="dxa"/>
          </w:tcPr>
          <w:p>
            <w:pPr>
              <w:spacing w:before="60" w:after="60"/>
              <w:ind w:left="113"/>
            </w:pPr>
            <w:r>
              <w:rPr>
                <w:b w:val="0"/>
                <w:color w:val="5E5A52"/>
                <w:sz w:val="19"/>
              </w:rPr>
              <w:t>Role-specific dashboards, tool pages, landing page</w:t>
            </w:r>
          </w:p>
        </w:tc>
        <w:tc>
          <w:tcPr>
            <w:tcW w:type="dxa" w:w="3135"/>
            <w:vAlign w:val="center"/>
            <w:tcW w:w="2340000" w:type="dxa"/>
          </w:tcPr>
          <w:p>
            <w:pPr>
              <w:spacing w:before="60" w:after="60"/>
              <w:ind w:left="113"/>
            </w:pPr>
            <w:r>
              <w:rPr>
                <w:b w:val="0"/>
                <w:color w:val="5E5A52"/>
                <w:sz w:val="19"/>
              </w:rPr>
              <w:t>Next.js 15 App Router, React 18</w:t>
            </w:r>
          </w:p>
        </w:tc>
      </w:tr>
      <w:tr>
        <w:tc>
          <w:tcPr>
            <w:tcW w:type="dxa" w:w="3135"/>
            <w:vAlign w:val="center"/>
            <w:tcW w:w="1260000" w:type="dxa"/>
            <w:shd w:val="clear" w:color="auto" w:fill="F8F7F4"/>
          </w:tcPr>
          <w:p>
            <w:pPr>
              <w:spacing w:before="60" w:after="60"/>
              <w:ind w:left="113"/>
            </w:pPr>
            <w:r>
              <w:rPr>
                <w:b w:val="0"/>
                <w:color w:val="1A1917"/>
                <w:sz w:val="19"/>
              </w:rPr>
              <w:t>API Routes</w:t>
            </w:r>
          </w:p>
        </w:tc>
        <w:tc>
          <w:tcPr>
            <w:tcW w:type="dxa" w:w="3135"/>
            <w:vAlign w:val="center"/>
            <w:tcW w:w="2520000" w:type="dxa"/>
            <w:shd w:val="clear" w:color="auto" w:fill="F8F7F4"/>
          </w:tcPr>
          <w:p>
            <w:pPr>
              <w:spacing w:before="60" w:after="60"/>
              <w:ind w:left="113"/>
            </w:pPr>
            <w:r>
              <w:rPr>
                <w:b w:val="0"/>
                <w:color w:val="5E5A52"/>
                <w:sz w:val="19"/>
              </w:rPr>
              <w:t>Flood, EPC, Crime, Broadband, Council Tax endpoints</w:t>
            </w:r>
          </w:p>
        </w:tc>
        <w:tc>
          <w:tcPr>
            <w:tcW w:type="dxa" w:w="3135"/>
            <w:vAlign w:val="center"/>
            <w:tcW w:w="2340000" w:type="dxa"/>
            <w:shd w:val="clear" w:color="auto" w:fill="F8F7F4"/>
          </w:tcPr>
          <w:p>
            <w:pPr>
              <w:spacing w:before="60" w:after="60"/>
              <w:ind w:left="113"/>
            </w:pPr>
            <w:r>
              <w:rPr>
                <w:b w:val="0"/>
                <w:color w:val="5E5A52"/>
                <w:sz w:val="19"/>
              </w:rPr>
              <w:t>Next.js Route Handlers (Edge Runtime)</w:t>
            </w:r>
          </w:p>
        </w:tc>
      </w:tr>
      <w:tr>
        <w:tc>
          <w:tcPr>
            <w:tcW w:type="dxa" w:w="3135"/>
            <w:vAlign w:val="center"/>
            <w:tcW w:w="1260000" w:type="dxa"/>
          </w:tcPr>
          <w:p>
            <w:pPr>
              <w:spacing w:before="60" w:after="60"/>
              <w:ind w:left="113"/>
            </w:pPr>
            <w:r>
              <w:rPr>
                <w:b w:val="0"/>
                <w:color w:val="1A1917"/>
                <w:sz w:val="19"/>
              </w:rPr>
              <w:t>Auth</w:t>
            </w:r>
          </w:p>
        </w:tc>
        <w:tc>
          <w:tcPr>
            <w:tcW w:type="dxa" w:w="3135"/>
            <w:vAlign w:val="center"/>
            <w:tcW w:w="2520000" w:type="dxa"/>
          </w:tcPr>
          <w:p>
            <w:pPr>
              <w:spacing w:before="60" w:after="60"/>
              <w:ind w:left="113"/>
            </w:pPr>
            <w:r>
              <w:rPr>
                <w:b w:val="0"/>
                <w:color w:val="5E5A52"/>
                <w:sz w:val="19"/>
              </w:rPr>
              <w:t>Role + plan-based session management</w:t>
            </w:r>
          </w:p>
        </w:tc>
        <w:tc>
          <w:tcPr>
            <w:tcW w:type="dxa" w:w="3135"/>
            <w:vAlign w:val="center"/>
            <w:tcW w:w="2340000" w:type="dxa"/>
          </w:tcPr>
          <w:p>
            <w:pPr>
              <w:spacing w:before="60" w:after="60"/>
              <w:ind w:left="113"/>
            </w:pPr>
            <w:r>
              <w:rPr>
                <w:b w:val="0"/>
                <w:color w:val="5E5A52"/>
                <w:sz w:val="19"/>
              </w:rPr>
              <w:t>localStorage MVP → Supabase Auth (H1)</w:t>
            </w:r>
          </w:p>
        </w:tc>
      </w:tr>
      <w:tr>
        <w:tc>
          <w:tcPr>
            <w:tcW w:type="dxa" w:w="3135"/>
            <w:vAlign w:val="center"/>
            <w:tcW w:w="1260000" w:type="dxa"/>
            <w:shd w:val="clear" w:color="auto" w:fill="F8F7F4"/>
          </w:tcPr>
          <w:p>
            <w:pPr>
              <w:spacing w:before="60" w:after="60"/>
              <w:ind w:left="113"/>
            </w:pPr>
            <w:r>
              <w:rPr>
                <w:b w:val="0"/>
                <w:color w:val="1A1917"/>
                <w:sz w:val="19"/>
              </w:rPr>
              <w:t>Data store</w:t>
            </w:r>
          </w:p>
        </w:tc>
        <w:tc>
          <w:tcPr>
            <w:tcW w:type="dxa" w:w="3135"/>
            <w:vAlign w:val="center"/>
            <w:tcW w:w="2520000" w:type="dxa"/>
            <w:shd w:val="clear" w:color="auto" w:fill="F8F7F4"/>
          </w:tcPr>
          <w:p>
            <w:pPr>
              <w:spacing w:before="60" w:after="60"/>
              <w:ind w:left="113"/>
            </w:pPr>
            <w:r>
              <w:rPr>
                <w:b w:val="0"/>
                <w:color w:val="5E5A52"/>
                <w:sz w:val="19"/>
              </w:rPr>
              <w:t>User accounts, property saves, subscriptions</w:t>
            </w:r>
          </w:p>
        </w:tc>
        <w:tc>
          <w:tcPr>
            <w:tcW w:type="dxa" w:w="3135"/>
            <w:vAlign w:val="center"/>
            <w:tcW w:w="2340000" w:type="dxa"/>
            <w:shd w:val="clear" w:color="auto" w:fill="F8F7F4"/>
          </w:tcPr>
          <w:p>
            <w:pPr>
              <w:spacing w:before="60" w:after="60"/>
              <w:ind w:left="113"/>
            </w:pPr>
            <w:r>
              <w:rPr>
                <w:b w:val="0"/>
                <w:color w:val="5E5A52"/>
                <w:sz w:val="19"/>
              </w:rPr>
              <w:t>localStorage MVP → PostgreSQL/Supabase (H1)</w:t>
            </w:r>
          </w:p>
        </w:tc>
      </w:tr>
      <w:tr>
        <w:tc>
          <w:tcPr>
            <w:tcW w:type="dxa" w:w="3135"/>
            <w:vAlign w:val="center"/>
            <w:tcW w:w="1260000" w:type="dxa"/>
          </w:tcPr>
          <w:p>
            <w:pPr>
              <w:spacing w:before="60" w:after="60"/>
              <w:ind w:left="113"/>
            </w:pPr>
            <w:r>
              <w:rPr>
                <w:b w:val="0"/>
                <w:color w:val="1A1917"/>
                <w:sz w:val="19"/>
              </w:rPr>
              <w:t>Payments</w:t>
            </w:r>
          </w:p>
        </w:tc>
        <w:tc>
          <w:tcPr>
            <w:tcW w:type="dxa" w:w="3135"/>
            <w:vAlign w:val="center"/>
            <w:tcW w:w="2520000" w:type="dxa"/>
          </w:tcPr>
          <w:p>
            <w:pPr>
              <w:spacing w:before="60" w:after="60"/>
              <w:ind w:left="113"/>
            </w:pPr>
            <w:r>
              <w:rPr>
                <w:b w:val="0"/>
                <w:color w:val="5E5A52"/>
                <w:sz w:val="19"/>
              </w:rPr>
              <w:t>Pro/Enterprise subscriptions, service bookings</w:t>
            </w:r>
          </w:p>
        </w:tc>
        <w:tc>
          <w:tcPr>
            <w:tcW w:type="dxa" w:w="3135"/>
            <w:vAlign w:val="center"/>
            <w:tcW w:w="2340000" w:type="dxa"/>
          </w:tcPr>
          <w:p>
            <w:pPr>
              <w:spacing w:before="60" w:after="60"/>
              <w:ind w:left="113"/>
            </w:pPr>
            <w:r>
              <w:rPr>
                <w:b w:val="0"/>
                <w:color w:val="5E5A52"/>
                <w:sz w:val="19"/>
              </w:rPr>
              <w:t>Stripe Checkout + Webhooks (H1)</w:t>
            </w:r>
          </w:p>
        </w:tc>
      </w:tr>
      <w:tr>
        <w:tc>
          <w:tcPr>
            <w:tcW w:type="dxa" w:w="3135"/>
            <w:vAlign w:val="center"/>
            <w:tcW w:w="1260000" w:type="dxa"/>
            <w:shd w:val="clear" w:color="auto" w:fill="F8F7F4"/>
          </w:tcPr>
          <w:p>
            <w:pPr>
              <w:spacing w:before="60" w:after="60"/>
              <w:ind w:left="113"/>
            </w:pPr>
            <w:r>
              <w:rPr>
                <w:b w:val="0"/>
                <w:color w:val="1A1917"/>
                <w:sz w:val="19"/>
              </w:rPr>
              <w:t>Email</w:t>
            </w:r>
          </w:p>
        </w:tc>
        <w:tc>
          <w:tcPr>
            <w:tcW w:type="dxa" w:w="3135"/>
            <w:vAlign w:val="center"/>
            <w:tcW w:w="2520000" w:type="dxa"/>
            <w:shd w:val="clear" w:color="auto" w:fill="F8F7F4"/>
          </w:tcPr>
          <w:p>
            <w:pPr>
              <w:spacing w:before="60" w:after="60"/>
              <w:ind w:left="113"/>
            </w:pPr>
            <w:r>
              <w:rPr>
                <w:b w:val="0"/>
                <w:color w:val="5E5A52"/>
                <w:sz w:val="19"/>
              </w:rPr>
              <w:t>Transactional + marketing emails</w:t>
            </w:r>
          </w:p>
        </w:tc>
        <w:tc>
          <w:tcPr>
            <w:tcW w:type="dxa" w:w="3135"/>
            <w:vAlign w:val="center"/>
            <w:tcW w:w="2340000" w:type="dxa"/>
            <w:shd w:val="clear" w:color="auto" w:fill="F8F7F4"/>
          </w:tcPr>
          <w:p>
            <w:pPr>
              <w:spacing w:before="60" w:after="60"/>
              <w:ind w:left="113"/>
            </w:pPr>
            <w:r>
              <w:rPr>
                <w:b w:val="0"/>
                <w:color w:val="5E5A52"/>
                <w:sz w:val="19"/>
              </w:rPr>
              <w:t>Resend / Mailchimp (H1)</w:t>
            </w:r>
          </w:p>
        </w:tc>
      </w:tr>
      <w:tr>
        <w:tc>
          <w:tcPr>
            <w:tcW w:type="dxa" w:w="3135"/>
            <w:vAlign w:val="center"/>
            <w:tcW w:w="1260000" w:type="dxa"/>
          </w:tcPr>
          <w:p>
            <w:pPr>
              <w:spacing w:before="60" w:after="60"/>
              <w:ind w:left="113"/>
            </w:pPr>
            <w:r>
              <w:rPr>
                <w:b w:val="0"/>
                <w:color w:val="1A1917"/>
                <w:sz w:val="19"/>
              </w:rPr>
              <w:t>Hosting</w:t>
            </w:r>
          </w:p>
        </w:tc>
        <w:tc>
          <w:tcPr>
            <w:tcW w:type="dxa" w:w="3135"/>
            <w:vAlign w:val="center"/>
            <w:tcW w:w="2520000" w:type="dxa"/>
          </w:tcPr>
          <w:p>
            <w:pPr>
              <w:spacing w:before="60" w:after="60"/>
              <w:ind w:left="113"/>
            </w:pPr>
            <w:r>
              <w:rPr>
                <w:b w:val="0"/>
                <w:color w:val="5E5A52"/>
                <w:sz w:val="19"/>
              </w:rPr>
              <w:t>Global edge deployment, CI/CD</w:t>
            </w:r>
          </w:p>
        </w:tc>
        <w:tc>
          <w:tcPr>
            <w:tcW w:type="dxa" w:w="3135"/>
            <w:vAlign w:val="center"/>
            <w:tcW w:w="2340000" w:type="dxa"/>
          </w:tcPr>
          <w:p>
            <w:pPr>
              <w:spacing w:before="60" w:after="60"/>
              <w:ind w:left="113"/>
            </w:pPr>
            <w:r>
              <w:rPr>
                <w:b w:val="0"/>
                <w:color w:val="5E5A52"/>
                <w:sz w:val="19"/>
              </w:rPr>
              <w:t>Vercel (automatic from GitHub)</w:t>
            </w:r>
          </w:p>
        </w:tc>
      </w:tr>
      <w:tr>
        <w:tc>
          <w:tcPr>
            <w:tcW w:type="dxa" w:w="3135"/>
            <w:vAlign w:val="center"/>
            <w:tcW w:w="1260000" w:type="dxa"/>
            <w:shd w:val="clear" w:color="auto" w:fill="F8F7F4"/>
          </w:tcPr>
          <w:p>
            <w:pPr>
              <w:spacing w:before="60" w:after="60"/>
              <w:ind w:left="113"/>
            </w:pPr>
            <w:r>
              <w:rPr>
                <w:b w:val="0"/>
                <w:color w:val="1A1917"/>
                <w:sz w:val="19"/>
              </w:rPr>
              <w:t>External APIs</w:t>
            </w:r>
          </w:p>
        </w:tc>
        <w:tc>
          <w:tcPr>
            <w:tcW w:type="dxa" w:w="3135"/>
            <w:vAlign w:val="center"/>
            <w:tcW w:w="2520000" w:type="dxa"/>
            <w:shd w:val="clear" w:color="auto" w:fill="F8F7F4"/>
          </w:tcPr>
          <w:p>
            <w:pPr>
              <w:spacing w:before="60" w:after="60"/>
              <w:ind w:left="113"/>
            </w:pPr>
            <w:r>
              <w:rPr>
                <w:b w:val="0"/>
                <w:color w:val="5E5A52"/>
                <w:sz w:val="19"/>
              </w:rPr>
              <w:t>Property data sources</w:t>
            </w:r>
          </w:p>
        </w:tc>
        <w:tc>
          <w:tcPr>
            <w:tcW w:type="dxa" w:w="3135"/>
            <w:vAlign w:val="center"/>
            <w:tcW w:w="2340000" w:type="dxa"/>
            <w:shd w:val="clear" w:color="auto" w:fill="F8F7F4"/>
          </w:tcPr>
          <w:p>
            <w:pPr>
              <w:spacing w:before="60" w:after="60"/>
              <w:ind w:left="113"/>
            </w:pPr>
            <w:r>
              <w:rPr>
                <w:b w:val="0"/>
                <w:color w:val="5E5A52"/>
                <w:sz w:val="19"/>
              </w:rPr>
              <w:t>EA, EPC, police.uk, Ofcom, VOA, Postcodes.io</w:t>
            </w:r>
          </w:p>
        </w:tc>
      </w:tr>
    </w:tbl>
    <w:p/>
    <w:p>
      <w:pPr>
        <w:pStyle w:val="Heading2"/>
        <w:spacing w:before="240" w:after="80"/>
      </w:pPr>
      <w:r>
        <w:rPr>
          <w:color w:val="1A1917"/>
          <w:sz w:val="26"/>
        </w:rPr>
        <w:t>Security Architecture</w:t>
      </w:r>
    </w:p>
    <w:p>
      <w:pPr>
        <w:pStyle w:val="ListBullet"/>
        <w:spacing w:after="60"/>
        <w:ind w:left="283"/>
      </w:pPr>
      <w:r>
        <w:rPr>
          <w:color w:val="5E5A52"/>
          <w:sz w:val="21"/>
        </w:rPr>
        <w:t>All API keys stored as server-side environment variables — never exposed to the client.</w:t>
      </w:r>
    </w:p>
    <w:p>
      <w:pPr>
        <w:pStyle w:val="ListBullet"/>
        <w:spacing w:after="60"/>
        <w:ind w:left="283"/>
      </w:pPr>
      <w:r>
        <w:rPr>
          <w:color w:val="5E5A52"/>
          <w:sz w:val="21"/>
        </w:rPr>
        <w:t>Role-based route guards: /dashboard redirects buyers → /dashboard/buyer; unauthenticated users → /login.</w:t>
      </w:r>
    </w:p>
    <w:p>
      <w:pPr>
        <w:pStyle w:val="ListBullet"/>
        <w:spacing w:after="60"/>
        <w:ind w:left="283"/>
      </w:pPr>
      <w:r>
        <w:rPr>
          <w:color w:val="5E5A52"/>
          <w:sz w:val="21"/>
        </w:rPr>
        <w:t>External API calls proxied through Next.js API routes to prevent CORS leakage of data sources.</w:t>
      </w:r>
    </w:p>
    <w:p>
      <w:pPr>
        <w:pStyle w:val="ListBullet"/>
        <w:spacing w:after="60"/>
        <w:ind w:left="283"/>
      </w:pPr>
      <w:r>
        <w:rPr>
          <w:color w:val="5E5A52"/>
          <w:sz w:val="21"/>
        </w:rPr>
        <w:t>HTTPS enforced by Vercel across all routes; HSTS headers configured.</w:t>
      </w:r>
    </w:p>
    <w:p>
      <w:pPr>
        <w:spacing w:before="160" w:after="160"/>
        <w:pBdr>
          <w:bottom w:val="single" w:sz="4" w:space="1" w:color="D1CEC8"/>
        </w:pBdr>
      </w:pPr>
    </w:p>
    <w:p>
      <w:pPr>
        <w:pStyle w:val="Heading1"/>
        <w:spacing w:before="400" w:after="120"/>
      </w:pPr>
      <w:r>
        <w:rPr>
          <w:color w:val="1D9E75"/>
          <w:sz w:val="32"/>
        </w:rPr>
        <w:t>8. Data Flow Architecture</w:t>
      </w:r>
    </w:p>
    <w:p>
      <w:pPr>
        <w:pStyle w:val="Heading2"/>
        <w:spacing w:before="240" w:after="80"/>
      </w:pPr>
      <w:r>
        <w:rPr>
          <w:color w:val="1A1917"/>
          <w:sz w:val="26"/>
        </w:rPr>
        <w:t>Property Report Data Flow</w:t>
      </w:r>
    </w:p>
    <w:p>
      <w:pPr>
        <w:spacing w:after="120"/>
      </w:pPr>
      <w:r>
        <w:rPr>
          <w:i w:val="0"/>
          <w:color w:val="5E5A52"/>
          <w:sz w:val="21"/>
        </w:rPr>
        <w:t>The following sequence describes the complete data flow when a user runs an automated property report:</w:t>
      </w:r>
    </w:p>
    <w:p>
      <w:pPr>
        <w:pStyle w:val="ListNumber"/>
        <w:spacing w:after="60"/>
      </w:pPr>
      <w:r>
        <w:rPr>
          <w:color w:val="5E5A52"/>
          <w:sz w:val="21"/>
        </w:rPr>
        <w:t>User enters house number, street, and postcode in the Property Report form (/tools/property-report).</w:t>
      </w:r>
    </w:p>
    <w:p>
      <w:pPr>
        <w:pStyle w:val="ListNumber"/>
        <w:spacing w:after="60"/>
      </w:pPr>
      <w:r>
        <w:rPr>
          <w:color w:val="5E5A52"/>
          <w:sz w:val="21"/>
        </w:rPr>
        <w:t>Client sends a single request to the Next.js API layer with the address components.</w:t>
      </w:r>
    </w:p>
    <w:p>
      <w:pPr>
        <w:pStyle w:val="ListNumber"/>
        <w:spacing w:after="60"/>
      </w:pPr>
      <w:r>
        <w:rPr>
          <w:color w:val="5E5A52"/>
          <w:sz w:val="21"/>
        </w:rPr>
        <w:t>Server calls Postcodes.io API to geocode the postcode → returns latitude and longitude.</w:t>
      </w:r>
    </w:p>
    <w:p>
      <w:pPr>
        <w:pStyle w:val="ListNumber"/>
        <w:spacing w:after="60"/>
      </w:pPr>
      <w:r>
        <w:rPr>
          <w:color w:val="5E5A52"/>
          <w:sz w:val="21"/>
        </w:rPr>
        <w:t>Server fires five parallel API requests using Promise.all():</w:t>
      </w:r>
    </w:p>
    <w:p>
      <w:pPr>
        <w:pStyle w:val="ListBullet"/>
        <w:spacing w:after="60"/>
        <w:ind w:left="567"/>
      </w:pPr>
      <w:r>
        <w:rPr>
          <w:color w:val="5E5A52"/>
          <w:sz w:val="21"/>
        </w:rPr>
        <w:t>GET environment.data.gov.uk/flood-monitoring/id/floodAreas?lat={lat}&amp;long={lng}&amp;dist=3</w:t>
      </w:r>
    </w:p>
    <w:p>
      <w:pPr>
        <w:pStyle w:val="ListBullet"/>
        <w:spacing w:after="60"/>
        <w:ind w:left="567"/>
      </w:pPr>
      <w:r>
        <w:rPr>
          <w:color w:val="5E5A52"/>
          <w:sz w:val="21"/>
        </w:rPr>
        <w:t>GET epc.opendatacommunities.org/api/v1/domestic/search?address={address}&amp;postcode={postcode}</w:t>
      </w:r>
    </w:p>
    <w:p>
      <w:pPr>
        <w:pStyle w:val="ListBullet"/>
        <w:spacing w:after="60"/>
        <w:ind w:left="567"/>
      </w:pPr>
      <w:r>
        <w:rPr>
          <w:color w:val="5E5A52"/>
          <w:sz w:val="21"/>
        </w:rPr>
        <w:t>GET data.police.uk/api/crimes-street/all-crime?lat={lat}&amp;lng={lng}&amp;date={month}</w:t>
      </w:r>
    </w:p>
    <w:p>
      <w:pPr>
        <w:pStyle w:val="ListBullet"/>
        <w:spacing w:after="60"/>
        <w:ind w:left="567"/>
      </w:pPr>
      <w:r>
        <w:rPr>
          <w:color w:val="5E5A52"/>
          <w:sz w:val="21"/>
        </w:rPr>
        <w:t>GET api.ofcom.org.uk/broadband/postcode/{postcode}</w:t>
      </w:r>
    </w:p>
    <w:p>
      <w:pPr>
        <w:pStyle w:val="ListBullet"/>
        <w:spacing w:after="60"/>
        <w:ind w:left="567"/>
      </w:pPr>
      <w:r>
        <w:rPr>
          <w:color w:val="5E5A52"/>
          <w:sz w:val="21"/>
        </w:rPr>
        <w:t>GET api.voa.service.gov.uk/council-tax/v1/{postcode}</w:t>
      </w:r>
    </w:p>
    <w:p>
      <w:pPr>
        <w:pStyle w:val="ListNumber"/>
        <w:spacing w:after="60"/>
      </w:pPr>
      <w:r>
        <w:rPr>
          <w:color w:val="5E5A52"/>
          <w:sz w:val="21"/>
        </w:rPr>
        <w:t>Each response is parsed, normalised, and scored independently.</w:t>
      </w:r>
    </w:p>
    <w:p>
      <w:pPr>
        <w:pStyle w:val="ListNumber"/>
        <w:spacing w:after="60"/>
      </w:pPr>
      <w:r>
        <w:rPr>
          <w:color w:val="5E5A52"/>
          <w:sz w:val="21"/>
        </w:rPr>
        <w:t>The composite PropPilot Score is calculated from the five weighted dimension scores.</w:t>
      </w:r>
    </w:p>
    <w:p>
      <w:pPr>
        <w:pStyle w:val="ListNumber"/>
        <w:spacing w:after="60"/>
      </w:pPr>
      <w:r>
        <w:rPr>
          <w:color w:val="5E5A52"/>
          <w:sz w:val="21"/>
        </w:rPr>
        <w:t>The assembled report JSON is returned to the client.</w:t>
      </w:r>
    </w:p>
    <w:p>
      <w:pPr>
        <w:pStyle w:val="ListNumber"/>
        <w:spacing w:after="60"/>
      </w:pPr>
      <w:r>
        <w:rPr>
          <w:color w:val="5E5A52"/>
          <w:sz w:val="21"/>
        </w:rPr>
        <w:t>React renders the report UI with live progress indicators updating in real time as each check completes.</w:t>
      </w:r>
    </w:p>
    <w:p>
      <w:pPr>
        <w:pStyle w:val="ListNumber"/>
        <w:spacing w:after="60"/>
      </w:pPr>
      <w:r>
        <w:rPr>
          <w:color w:val="5E5A52"/>
          <w:sz w:val="21"/>
        </w:rPr>
        <w:t>User can export to PDF via window.print() with @media print CSS.</w:t>
      </w:r>
    </w:p>
    <w:p>
      <w:pPr>
        <w:pStyle w:val="Heading2"/>
        <w:spacing w:before="240" w:after="80"/>
      </w:pPr>
      <w:r>
        <w:rPr>
          <w:color w:val="1A1917"/>
          <w:sz w:val="26"/>
        </w:rPr>
        <w:t>Authentication Data Flow</w:t>
      </w:r>
    </w:p>
    <w:p>
      <w:pPr>
        <w:pStyle w:val="ListNumber"/>
        <w:spacing w:after="60"/>
      </w:pPr>
      <w:r>
        <w:rPr>
          <w:color w:val="5E5A52"/>
          <w:sz w:val="21"/>
        </w:rPr>
        <w:t>User signs up → selects role (HomeBuyer / HomeOwner) → enters name, email, password.</w:t>
      </w:r>
    </w:p>
    <w:p>
      <w:pPr>
        <w:pStyle w:val="ListNumber"/>
        <w:spacing w:after="60"/>
      </w:pPr>
      <w:r>
        <w:rPr>
          <w:color w:val="5E5A52"/>
          <w:sz w:val="21"/>
        </w:rPr>
        <w:t>signup() function stores credentials in localStorage (pp_signups) and session in pp_auth.</w:t>
      </w:r>
    </w:p>
    <w:p>
      <w:pPr>
        <w:pStyle w:val="ListNumber"/>
        <w:spacing w:after="60"/>
      </w:pPr>
      <w:r>
        <w:rPr>
          <w:color w:val="5E5A52"/>
          <w:sz w:val="21"/>
        </w:rPr>
        <w:t>On any protected page load, getUser() reads pp_auth → extracts role → middleware redirects to correct dashboard.</w:t>
      </w:r>
    </w:p>
    <w:p>
      <w:pPr>
        <w:pStyle w:val="ListNumber"/>
        <w:spacing w:after="60"/>
      </w:pPr>
      <w:r>
        <w:rPr>
          <w:color w:val="5E5A52"/>
          <w:sz w:val="21"/>
        </w:rPr>
        <w:t>Horizon 1: this flow replaces localStorage with Supabase Auth (JWT tokens, server-side session validation).</w:t>
      </w:r>
    </w:p>
    <w:p>
      <w:pPr>
        <w:spacing w:before="160" w:after="160"/>
        <w:pBdr>
          <w:bottom w:val="single" w:sz="4" w:space="1" w:color="D1CEC8"/>
        </w:pBdr>
      </w:pPr>
    </w:p>
    <w:p>
      <w:r>
        <w:br w:type="page"/>
      </w:r>
    </w:p>
    <w:p>
      <w:pPr>
        <w:pStyle w:val="Heading1"/>
        <w:spacing w:before="400" w:after="120"/>
      </w:pPr>
      <w:r>
        <w:rPr>
          <w:color w:val="1D9E75"/>
          <w:sz w:val="32"/>
        </w:rPr>
        <w:t>9. Tech Stack</w:t>
      </w:r>
    </w:p>
    <w:tbl>
      <w:tblPr>
        <w:tblStyle w:val="TableGrid"/>
        <w:tblW w:type="auto" w:w="0"/>
        <w:tblLook w:firstColumn="1" w:firstRow="1" w:lastColumn="0" w:lastRow="0" w:noHBand="0" w:noVBand="1" w:val="04A0"/>
      </w:tblPr>
      <w:tblGrid>
        <w:gridCol w:w="3135"/>
        <w:gridCol w:w="3135"/>
        <w:gridCol w:w="3135"/>
      </w:tblGrid>
      <w:tr>
        <w:tc>
          <w:tcPr>
            <w:tcW w:type="dxa" w:w="3135"/>
            <w:vAlign w:val="center"/>
            <w:tcW w:w="1440000" w:type="dxa"/>
            <w:shd w:val="clear" w:color="auto" w:fill="1D9E75"/>
          </w:tcPr>
          <w:p>
            <w:pPr>
              <w:spacing w:before="60" w:after="60"/>
              <w:ind w:left="113"/>
            </w:pPr>
            <w:r>
              <w:rPr>
                <w:b/>
                <w:color w:val="FFFFFF"/>
                <w:sz w:val="19"/>
              </w:rPr>
              <w:t>Category</w:t>
            </w:r>
          </w:p>
        </w:tc>
        <w:tc>
          <w:tcPr>
            <w:tcW w:type="dxa" w:w="3135"/>
            <w:vAlign w:val="center"/>
            <w:tcW w:w="1980000" w:type="dxa"/>
            <w:shd w:val="clear" w:color="auto" w:fill="1D9E75"/>
          </w:tcPr>
          <w:p>
            <w:pPr>
              <w:spacing w:before="60" w:after="60"/>
              <w:ind w:left="113"/>
            </w:pPr>
            <w:r>
              <w:rPr>
                <w:b/>
                <w:color w:val="FFFFFF"/>
                <w:sz w:val="19"/>
              </w:rPr>
              <w:t>Technology</w:t>
            </w:r>
          </w:p>
        </w:tc>
        <w:tc>
          <w:tcPr>
            <w:tcW w:type="dxa" w:w="3135"/>
            <w:vAlign w:val="center"/>
            <w:tcW w:w="2700000" w:type="dxa"/>
            <w:shd w:val="clear" w:color="auto" w:fill="1D9E75"/>
          </w:tcPr>
          <w:p>
            <w:pPr>
              <w:spacing w:before="60" w:after="60"/>
              <w:ind w:left="113"/>
            </w:pPr>
            <w:r>
              <w:rPr>
                <w:b/>
                <w:color w:val="FFFFFF"/>
                <w:sz w:val="19"/>
              </w:rPr>
              <w:t>Rationale</w:t>
            </w:r>
          </w:p>
        </w:tc>
      </w:tr>
      <w:tr>
        <w:tc>
          <w:tcPr>
            <w:tcW w:type="dxa" w:w="3135"/>
            <w:vAlign w:val="center"/>
            <w:tcW w:w="1440000" w:type="dxa"/>
          </w:tcPr>
          <w:p>
            <w:pPr>
              <w:spacing w:before="60" w:after="60"/>
              <w:ind w:left="113"/>
            </w:pPr>
            <w:r>
              <w:rPr>
                <w:b w:val="0"/>
                <w:color w:val="1A1917"/>
                <w:sz w:val="19"/>
              </w:rPr>
              <w:t>Frontend framework</w:t>
            </w:r>
          </w:p>
        </w:tc>
        <w:tc>
          <w:tcPr>
            <w:tcW w:type="dxa" w:w="3135"/>
            <w:vAlign w:val="center"/>
            <w:tcW w:w="1980000" w:type="dxa"/>
          </w:tcPr>
          <w:p>
            <w:pPr>
              <w:spacing w:before="60" w:after="60"/>
              <w:ind w:left="113"/>
            </w:pPr>
            <w:r>
              <w:rPr>
                <w:b w:val="0"/>
                <w:color w:val="5E5A52"/>
                <w:sz w:val="19"/>
              </w:rPr>
              <w:t>Next.js 15 (App Router)</w:t>
            </w:r>
          </w:p>
        </w:tc>
        <w:tc>
          <w:tcPr>
            <w:tcW w:type="dxa" w:w="3135"/>
            <w:vAlign w:val="center"/>
            <w:tcW w:w="2700000" w:type="dxa"/>
          </w:tcPr>
          <w:p>
            <w:pPr>
              <w:spacing w:before="60" w:after="60"/>
              <w:ind w:left="113"/>
            </w:pPr>
            <w:r>
              <w:rPr>
                <w:b w:val="0"/>
                <w:color w:val="5E5A52"/>
                <w:sz w:val="19"/>
              </w:rPr>
              <w:t>SSR, edge rendering, API routes in one repo; Vercel-native</w:t>
            </w:r>
          </w:p>
        </w:tc>
      </w:tr>
      <w:tr>
        <w:tc>
          <w:tcPr>
            <w:tcW w:type="dxa" w:w="3135"/>
            <w:vAlign w:val="center"/>
            <w:tcW w:w="1440000" w:type="dxa"/>
            <w:shd w:val="clear" w:color="auto" w:fill="F8F7F4"/>
          </w:tcPr>
          <w:p>
            <w:pPr>
              <w:spacing w:before="60" w:after="60"/>
              <w:ind w:left="113"/>
            </w:pPr>
            <w:r>
              <w:rPr>
                <w:b w:val="0"/>
                <w:color w:val="1A1917"/>
                <w:sz w:val="19"/>
              </w:rPr>
              <w:t>UI language</w:t>
            </w:r>
          </w:p>
        </w:tc>
        <w:tc>
          <w:tcPr>
            <w:tcW w:type="dxa" w:w="3135"/>
            <w:vAlign w:val="center"/>
            <w:tcW w:w="1980000" w:type="dxa"/>
            <w:shd w:val="clear" w:color="auto" w:fill="F8F7F4"/>
          </w:tcPr>
          <w:p>
            <w:pPr>
              <w:spacing w:before="60" w:after="60"/>
              <w:ind w:left="113"/>
            </w:pPr>
            <w:r>
              <w:rPr>
                <w:b w:val="0"/>
                <w:color w:val="5E5A52"/>
                <w:sz w:val="19"/>
              </w:rPr>
              <w:t>TypeScript + React 18</w:t>
            </w:r>
          </w:p>
        </w:tc>
        <w:tc>
          <w:tcPr>
            <w:tcW w:type="dxa" w:w="3135"/>
            <w:vAlign w:val="center"/>
            <w:tcW w:w="2700000" w:type="dxa"/>
            <w:shd w:val="clear" w:color="auto" w:fill="F8F7F4"/>
          </w:tcPr>
          <w:p>
            <w:pPr>
              <w:spacing w:before="60" w:after="60"/>
              <w:ind w:left="113"/>
            </w:pPr>
            <w:r>
              <w:rPr>
                <w:b w:val="0"/>
                <w:color w:val="5E5A52"/>
                <w:sz w:val="19"/>
              </w:rPr>
              <w:t>Type safety; React Server Components reduce client JS bundle</w:t>
            </w:r>
          </w:p>
        </w:tc>
      </w:tr>
      <w:tr>
        <w:tc>
          <w:tcPr>
            <w:tcW w:type="dxa" w:w="3135"/>
            <w:vAlign w:val="center"/>
            <w:tcW w:w="1440000" w:type="dxa"/>
          </w:tcPr>
          <w:p>
            <w:pPr>
              <w:spacing w:before="60" w:after="60"/>
              <w:ind w:left="113"/>
            </w:pPr>
            <w:r>
              <w:rPr>
                <w:b w:val="0"/>
                <w:color w:val="1A1917"/>
                <w:sz w:val="19"/>
              </w:rPr>
              <w:t>Styling</w:t>
            </w:r>
          </w:p>
        </w:tc>
        <w:tc>
          <w:tcPr>
            <w:tcW w:type="dxa" w:w="3135"/>
            <w:vAlign w:val="center"/>
            <w:tcW w:w="1980000" w:type="dxa"/>
          </w:tcPr>
          <w:p>
            <w:pPr>
              <w:spacing w:before="60" w:after="60"/>
              <w:ind w:left="113"/>
            </w:pPr>
            <w:r>
              <w:rPr>
                <w:b w:val="0"/>
                <w:color w:val="5E5A52"/>
                <w:sz w:val="19"/>
              </w:rPr>
              <w:t>Inline CSS (custom system)</w:t>
            </w:r>
          </w:p>
        </w:tc>
        <w:tc>
          <w:tcPr>
            <w:tcW w:type="dxa" w:w="3135"/>
            <w:vAlign w:val="center"/>
            <w:tcW w:w="2700000" w:type="dxa"/>
          </w:tcPr>
          <w:p>
            <w:pPr>
              <w:spacing w:before="60" w:after="60"/>
              <w:ind w:left="113"/>
            </w:pPr>
            <w:r>
              <w:rPr>
                <w:b w:val="0"/>
                <w:color w:val="5E5A52"/>
                <w:sz w:val="19"/>
              </w:rPr>
              <w:t>Zero runtime overhead; full control without Tailwind build step</w:t>
            </w:r>
          </w:p>
        </w:tc>
      </w:tr>
      <w:tr>
        <w:tc>
          <w:tcPr>
            <w:tcW w:type="dxa" w:w="3135"/>
            <w:vAlign w:val="center"/>
            <w:tcW w:w="1440000" w:type="dxa"/>
            <w:shd w:val="clear" w:color="auto" w:fill="F8F7F4"/>
          </w:tcPr>
          <w:p>
            <w:pPr>
              <w:spacing w:before="60" w:after="60"/>
              <w:ind w:left="113"/>
            </w:pPr>
            <w:r>
              <w:rPr>
                <w:b w:val="0"/>
                <w:color w:val="1A1917"/>
                <w:sz w:val="19"/>
              </w:rPr>
              <w:t>State management</w:t>
            </w:r>
          </w:p>
        </w:tc>
        <w:tc>
          <w:tcPr>
            <w:tcW w:type="dxa" w:w="3135"/>
            <w:vAlign w:val="center"/>
            <w:tcW w:w="1980000" w:type="dxa"/>
            <w:shd w:val="clear" w:color="auto" w:fill="F8F7F4"/>
          </w:tcPr>
          <w:p>
            <w:pPr>
              <w:spacing w:before="60" w:after="60"/>
              <w:ind w:left="113"/>
            </w:pPr>
            <w:r>
              <w:rPr>
                <w:b w:val="0"/>
                <w:color w:val="5E5A52"/>
                <w:sz w:val="19"/>
              </w:rPr>
              <w:t>React useState / useEffect</w:t>
            </w:r>
          </w:p>
        </w:tc>
        <w:tc>
          <w:tcPr>
            <w:tcW w:type="dxa" w:w="3135"/>
            <w:vAlign w:val="center"/>
            <w:tcW w:w="2700000" w:type="dxa"/>
            <w:shd w:val="clear" w:color="auto" w:fill="F8F7F4"/>
          </w:tcPr>
          <w:p>
            <w:pPr>
              <w:spacing w:before="60" w:after="60"/>
              <w:ind w:left="113"/>
            </w:pPr>
            <w:r>
              <w:rPr>
                <w:b w:val="0"/>
                <w:color w:val="5E5A52"/>
                <w:sz w:val="19"/>
              </w:rPr>
              <w:t>Minimal client state; server components handle most data</w:t>
            </w:r>
          </w:p>
        </w:tc>
      </w:tr>
      <w:tr>
        <w:tc>
          <w:tcPr>
            <w:tcW w:type="dxa" w:w="3135"/>
            <w:vAlign w:val="center"/>
            <w:tcW w:w="1440000" w:type="dxa"/>
          </w:tcPr>
          <w:p>
            <w:pPr>
              <w:spacing w:before="60" w:after="60"/>
              <w:ind w:left="113"/>
            </w:pPr>
            <w:r>
              <w:rPr>
                <w:b w:val="0"/>
                <w:color w:val="1A1917"/>
                <w:sz w:val="19"/>
              </w:rPr>
              <w:t>Auth (MVP)</w:t>
            </w:r>
          </w:p>
        </w:tc>
        <w:tc>
          <w:tcPr>
            <w:tcW w:type="dxa" w:w="3135"/>
            <w:vAlign w:val="center"/>
            <w:tcW w:w="1980000" w:type="dxa"/>
          </w:tcPr>
          <w:p>
            <w:pPr>
              <w:spacing w:before="60" w:after="60"/>
              <w:ind w:left="113"/>
            </w:pPr>
            <w:r>
              <w:rPr>
                <w:b w:val="0"/>
                <w:color w:val="5E5A52"/>
                <w:sz w:val="19"/>
              </w:rPr>
              <w:t>localStorage + custom auth.ts</w:t>
            </w:r>
          </w:p>
        </w:tc>
        <w:tc>
          <w:tcPr>
            <w:tcW w:type="dxa" w:w="3135"/>
            <w:vAlign w:val="center"/>
            <w:tcW w:w="2700000" w:type="dxa"/>
          </w:tcPr>
          <w:p>
            <w:pPr>
              <w:spacing w:before="60" w:after="60"/>
              <w:ind w:left="113"/>
            </w:pPr>
            <w:r>
              <w:rPr>
                <w:b w:val="0"/>
                <w:color w:val="5E5A52"/>
                <w:sz w:val="19"/>
              </w:rPr>
              <w:t>Zero infrastructure cost for MVP; migrates cleanly to Supabase</w:t>
            </w:r>
          </w:p>
        </w:tc>
      </w:tr>
      <w:tr>
        <w:tc>
          <w:tcPr>
            <w:tcW w:type="dxa" w:w="3135"/>
            <w:vAlign w:val="center"/>
            <w:tcW w:w="1440000" w:type="dxa"/>
            <w:shd w:val="clear" w:color="auto" w:fill="F8F7F4"/>
          </w:tcPr>
          <w:p>
            <w:pPr>
              <w:spacing w:before="60" w:after="60"/>
              <w:ind w:left="113"/>
            </w:pPr>
            <w:r>
              <w:rPr>
                <w:b w:val="0"/>
                <w:color w:val="1A1917"/>
                <w:sz w:val="19"/>
              </w:rPr>
              <w:t>Auth (H1)</w:t>
            </w:r>
          </w:p>
        </w:tc>
        <w:tc>
          <w:tcPr>
            <w:tcW w:type="dxa" w:w="3135"/>
            <w:vAlign w:val="center"/>
            <w:tcW w:w="1980000" w:type="dxa"/>
            <w:shd w:val="clear" w:color="auto" w:fill="F8F7F4"/>
          </w:tcPr>
          <w:p>
            <w:pPr>
              <w:spacing w:before="60" w:after="60"/>
              <w:ind w:left="113"/>
            </w:pPr>
            <w:r>
              <w:rPr>
                <w:b w:val="0"/>
                <w:color w:val="5E5A52"/>
                <w:sz w:val="19"/>
              </w:rPr>
              <w:t>Supabase Auth (JWT)</w:t>
            </w:r>
          </w:p>
        </w:tc>
        <w:tc>
          <w:tcPr>
            <w:tcW w:type="dxa" w:w="3135"/>
            <w:vAlign w:val="center"/>
            <w:tcW w:w="2700000" w:type="dxa"/>
            <w:shd w:val="clear" w:color="auto" w:fill="F8F7F4"/>
          </w:tcPr>
          <w:p>
            <w:pPr>
              <w:spacing w:before="60" w:after="60"/>
              <w:ind w:left="113"/>
            </w:pPr>
            <w:r>
              <w:rPr>
                <w:b w:val="0"/>
                <w:color w:val="5E5A52"/>
                <w:sz w:val="19"/>
              </w:rPr>
              <w:t>OSS, Postgres-native, supports OAuth providers</w:t>
            </w:r>
          </w:p>
        </w:tc>
      </w:tr>
      <w:tr>
        <w:tc>
          <w:tcPr>
            <w:tcW w:type="dxa" w:w="3135"/>
            <w:vAlign w:val="center"/>
            <w:tcW w:w="1440000" w:type="dxa"/>
          </w:tcPr>
          <w:p>
            <w:pPr>
              <w:spacing w:before="60" w:after="60"/>
              <w:ind w:left="113"/>
            </w:pPr>
            <w:r>
              <w:rPr>
                <w:b w:val="0"/>
                <w:color w:val="1A1917"/>
                <w:sz w:val="19"/>
              </w:rPr>
              <w:t>Database (H1)</w:t>
            </w:r>
          </w:p>
        </w:tc>
        <w:tc>
          <w:tcPr>
            <w:tcW w:type="dxa" w:w="3135"/>
            <w:vAlign w:val="center"/>
            <w:tcW w:w="1980000" w:type="dxa"/>
          </w:tcPr>
          <w:p>
            <w:pPr>
              <w:spacing w:before="60" w:after="60"/>
              <w:ind w:left="113"/>
            </w:pPr>
            <w:r>
              <w:rPr>
                <w:b w:val="0"/>
                <w:color w:val="5E5A52"/>
                <w:sz w:val="19"/>
              </w:rPr>
              <w:t>PostgreSQL via Supabase</w:t>
            </w:r>
          </w:p>
        </w:tc>
        <w:tc>
          <w:tcPr>
            <w:tcW w:type="dxa" w:w="3135"/>
            <w:vAlign w:val="center"/>
            <w:tcW w:w="2700000" w:type="dxa"/>
          </w:tcPr>
          <w:p>
            <w:pPr>
              <w:spacing w:before="60" w:after="60"/>
              <w:ind w:left="113"/>
            </w:pPr>
            <w:r>
              <w:rPr>
                <w:b w:val="0"/>
                <w:color w:val="5E5A52"/>
                <w:sz w:val="19"/>
              </w:rPr>
              <w:t>Managed, scalable, row-level security built in</w:t>
            </w:r>
          </w:p>
        </w:tc>
      </w:tr>
      <w:tr>
        <w:tc>
          <w:tcPr>
            <w:tcW w:type="dxa" w:w="3135"/>
            <w:vAlign w:val="center"/>
            <w:tcW w:w="1440000" w:type="dxa"/>
            <w:shd w:val="clear" w:color="auto" w:fill="F8F7F4"/>
          </w:tcPr>
          <w:p>
            <w:pPr>
              <w:spacing w:before="60" w:after="60"/>
              <w:ind w:left="113"/>
            </w:pPr>
            <w:r>
              <w:rPr>
                <w:b w:val="0"/>
                <w:color w:val="1A1917"/>
                <w:sz w:val="19"/>
              </w:rPr>
              <w:t>Payments (H1)</w:t>
            </w:r>
          </w:p>
        </w:tc>
        <w:tc>
          <w:tcPr>
            <w:tcW w:type="dxa" w:w="3135"/>
            <w:vAlign w:val="center"/>
            <w:tcW w:w="1980000" w:type="dxa"/>
            <w:shd w:val="clear" w:color="auto" w:fill="F8F7F4"/>
          </w:tcPr>
          <w:p>
            <w:pPr>
              <w:spacing w:before="60" w:after="60"/>
              <w:ind w:left="113"/>
            </w:pPr>
            <w:r>
              <w:rPr>
                <w:b w:val="0"/>
                <w:color w:val="5E5A52"/>
                <w:sz w:val="19"/>
              </w:rPr>
              <w:t>Stripe Checkout + Portal</w:t>
            </w:r>
          </w:p>
        </w:tc>
        <w:tc>
          <w:tcPr>
            <w:tcW w:type="dxa" w:w="3135"/>
            <w:vAlign w:val="center"/>
            <w:tcW w:w="2700000" w:type="dxa"/>
            <w:shd w:val="clear" w:color="auto" w:fill="F8F7F4"/>
          </w:tcPr>
          <w:p>
            <w:pPr>
              <w:spacing w:before="60" w:after="60"/>
              <w:ind w:left="113"/>
            </w:pPr>
            <w:r>
              <w:rPr>
                <w:b w:val="0"/>
                <w:color w:val="5E5A52"/>
                <w:sz w:val="19"/>
              </w:rPr>
              <w:t>PCI-compliant, supports subscriptions + one-time payments</w:t>
            </w:r>
          </w:p>
        </w:tc>
      </w:tr>
      <w:tr>
        <w:tc>
          <w:tcPr>
            <w:tcW w:type="dxa" w:w="3135"/>
            <w:vAlign w:val="center"/>
            <w:tcW w:w="1440000" w:type="dxa"/>
          </w:tcPr>
          <w:p>
            <w:pPr>
              <w:spacing w:before="60" w:after="60"/>
              <w:ind w:left="113"/>
            </w:pPr>
            <w:r>
              <w:rPr>
                <w:b w:val="0"/>
                <w:color w:val="1A1917"/>
                <w:sz w:val="19"/>
              </w:rPr>
              <w:t>Email (H1)</w:t>
            </w:r>
          </w:p>
        </w:tc>
        <w:tc>
          <w:tcPr>
            <w:tcW w:type="dxa" w:w="3135"/>
            <w:vAlign w:val="center"/>
            <w:tcW w:w="1980000" w:type="dxa"/>
          </w:tcPr>
          <w:p>
            <w:pPr>
              <w:spacing w:before="60" w:after="60"/>
              <w:ind w:left="113"/>
            </w:pPr>
            <w:r>
              <w:rPr>
                <w:b w:val="0"/>
                <w:color w:val="5E5A52"/>
                <w:sz w:val="19"/>
              </w:rPr>
              <w:t>Resend + React Email</w:t>
            </w:r>
          </w:p>
        </w:tc>
        <w:tc>
          <w:tcPr>
            <w:tcW w:type="dxa" w:w="3135"/>
            <w:vAlign w:val="center"/>
            <w:tcW w:w="2700000" w:type="dxa"/>
          </w:tcPr>
          <w:p>
            <w:pPr>
              <w:spacing w:before="60" w:after="60"/>
              <w:ind w:left="113"/>
            </w:pPr>
            <w:r>
              <w:rPr>
                <w:b w:val="0"/>
                <w:color w:val="5E5A52"/>
                <w:sz w:val="19"/>
              </w:rPr>
              <w:t>Developer-friendly transactional email with React templates</w:t>
            </w:r>
          </w:p>
        </w:tc>
      </w:tr>
      <w:tr>
        <w:tc>
          <w:tcPr>
            <w:tcW w:type="dxa" w:w="3135"/>
            <w:vAlign w:val="center"/>
            <w:tcW w:w="1440000" w:type="dxa"/>
            <w:shd w:val="clear" w:color="auto" w:fill="F8F7F4"/>
          </w:tcPr>
          <w:p>
            <w:pPr>
              <w:spacing w:before="60" w:after="60"/>
              <w:ind w:left="113"/>
            </w:pPr>
            <w:r>
              <w:rPr>
                <w:b w:val="0"/>
                <w:color w:val="1A1917"/>
                <w:sz w:val="19"/>
              </w:rPr>
              <w:t>Hosting</w:t>
            </w:r>
          </w:p>
        </w:tc>
        <w:tc>
          <w:tcPr>
            <w:tcW w:type="dxa" w:w="3135"/>
            <w:vAlign w:val="center"/>
            <w:tcW w:w="1980000" w:type="dxa"/>
            <w:shd w:val="clear" w:color="auto" w:fill="F8F7F4"/>
          </w:tcPr>
          <w:p>
            <w:pPr>
              <w:spacing w:before="60" w:after="60"/>
              <w:ind w:left="113"/>
            </w:pPr>
            <w:r>
              <w:rPr>
                <w:b w:val="0"/>
                <w:color w:val="5E5A52"/>
                <w:sz w:val="19"/>
              </w:rPr>
              <w:t>Vercel (Edge Network)</w:t>
            </w:r>
          </w:p>
        </w:tc>
        <w:tc>
          <w:tcPr>
            <w:tcW w:type="dxa" w:w="3135"/>
            <w:vAlign w:val="center"/>
            <w:tcW w:w="2700000" w:type="dxa"/>
            <w:shd w:val="clear" w:color="auto" w:fill="F8F7F4"/>
          </w:tcPr>
          <w:p>
            <w:pPr>
              <w:spacing w:before="60" w:after="60"/>
              <w:ind w:left="113"/>
            </w:pPr>
            <w:r>
              <w:rPr>
                <w:b w:val="0"/>
                <w:color w:val="5E5A52"/>
                <w:sz w:val="19"/>
              </w:rPr>
              <w:t>Auto CI/CD from GitHub; global CDN; zero-config Next.js</w:t>
            </w:r>
          </w:p>
        </w:tc>
      </w:tr>
      <w:tr>
        <w:tc>
          <w:tcPr>
            <w:tcW w:type="dxa" w:w="3135"/>
            <w:vAlign w:val="center"/>
            <w:tcW w:w="1440000" w:type="dxa"/>
          </w:tcPr>
          <w:p>
            <w:pPr>
              <w:spacing w:before="60" w:after="60"/>
              <w:ind w:left="113"/>
            </w:pPr>
            <w:r>
              <w:rPr>
                <w:b w:val="0"/>
                <w:color w:val="1A1917"/>
                <w:sz w:val="19"/>
              </w:rPr>
              <w:t>External data</w:t>
            </w:r>
          </w:p>
        </w:tc>
        <w:tc>
          <w:tcPr>
            <w:tcW w:type="dxa" w:w="3135"/>
            <w:vAlign w:val="center"/>
            <w:tcW w:w="1980000" w:type="dxa"/>
          </w:tcPr>
          <w:p>
            <w:pPr>
              <w:spacing w:before="60" w:after="60"/>
              <w:ind w:left="113"/>
            </w:pPr>
            <w:r>
              <w:rPr>
                <w:b w:val="0"/>
                <w:color w:val="5E5A52"/>
                <w:sz w:val="19"/>
              </w:rPr>
              <w:t>EA / EPC / police.uk / Ofcom / VOA / Postcodes.io</w:t>
            </w:r>
          </w:p>
        </w:tc>
        <w:tc>
          <w:tcPr>
            <w:tcW w:type="dxa" w:w="3135"/>
            <w:vAlign w:val="center"/>
            <w:tcW w:w="2700000" w:type="dxa"/>
          </w:tcPr>
          <w:p>
            <w:pPr>
              <w:spacing w:before="60" w:after="60"/>
              <w:ind w:left="113"/>
            </w:pPr>
            <w:r>
              <w:rPr>
                <w:b w:val="0"/>
                <w:color w:val="5E5A52"/>
                <w:sz w:val="19"/>
              </w:rPr>
              <w:t>All public APIs, no licensing cost</w:t>
            </w:r>
          </w:p>
        </w:tc>
      </w:tr>
      <w:tr>
        <w:tc>
          <w:tcPr>
            <w:tcW w:type="dxa" w:w="3135"/>
            <w:vAlign w:val="center"/>
            <w:tcW w:w="1440000" w:type="dxa"/>
            <w:shd w:val="clear" w:color="auto" w:fill="F8F7F4"/>
          </w:tcPr>
          <w:p>
            <w:pPr>
              <w:spacing w:before="60" w:after="60"/>
              <w:ind w:left="113"/>
            </w:pPr>
            <w:r>
              <w:rPr>
                <w:b w:val="0"/>
                <w:color w:val="1A1917"/>
                <w:sz w:val="19"/>
              </w:rPr>
              <w:t>PDF (MVP)</w:t>
            </w:r>
          </w:p>
        </w:tc>
        <w:tc>
          <w:tcPr>
            <w:tcW w:type="dxa" w:w="3135"/>
            <w:vAlign w:val="center"/>
            <w:tcW w:w="1980000" w:type="dxa"/>
            <w:shd w:val="clear" w:color="auto" w:fill="F8F7F4"/>
          </w:tcPr>
          <w:p>
            <w:pPr>
              <w:spacing w:before="60" w:after="60"/>
              <w:ind w:left="113"/>
            </w:pPr>
            <w:r>
              <w:rPr>
                <w:b w:val="0"/>
                <w:color w:val="5E5A52"/>
                <w:sz w:val="19"/>
              </w:rPr>
              <w:t>window.print() + @media print</w:t>
            </w:r>
          </w:p>
        </w:tc>
        <w:tc>
          <w:tcPr>
            <w:tcW w:type="dxa" w:w="3135"/>
            <w:vAlign w:val="center"/>
            <w:tcW w:w="2700000" w:type="dxa"/>
            <w:shd w:val="clear" w:color="auto" w:fill="F8F7F4"/>
          </w:tcPr>
          <w:p>
            <w:pPr>
              <w:spacing w:before="60" w:after="60"/>
              <w:ind w:left="113"/>
            </w:pPr>
            <w:r>
              <w:rPr>
                <w:b w:val="0"/>
                <w:color w:val="5E5A52"/>
                <w:sz w:val="19"/>
              </w:rPr>
              <w:t>No dependencies; works in all browsers</w:t>
            </w:r>
          </w:p>
        </w:tc>
      </w:tr>
      <w:tr>
        <w:tc>
          <w:tcPr>
            <w:tcW w:type="dxa" w:w="3135"/>
            <w:vAlign w:val="center"/>
            <w:tcW w:w="1440000" w:type="dxa"/>
          </w:tcPr>
          <w:p>
            <w:pPr>
              <w:spacing w:before="60" w:after="60"/>
              <w:ind w:left="113"/>
            </w:pPr>
            <w:r>
              <w:rPr>
                <w:b w:val="0"/>
                <w:color w:val="1A1917"/>
                <w:sz w:val="19"/>
              </w:rPr>
              <w:t>PDF (H2)</w:t>
            </w:r>
          </w:p>
        </w:tc>
        <w:tc>
          <w:tcPr>
            <w:tcW w:type="dxa" w:w="3135"/>
            <w:vAlign w:val="center"/>
            <w:tcW w:w="1980000" w:type="dxa"/>
          </w:tcPr>
          <w:p>
            <w:pPr>
              <w:spacing w:before="60" w:after="60"/>
              <w:ind w:left="113"/>
            </w:pPr>
            <w:r>
              <w:rPr>
                <w:b w:val="0"/>
                <w:color w:val="5E5A52"/>
                <w:sz w:val="19"/>
              </w:rPr>
              <w:t>Puppeteer (server-side)</w:t>
            </w:r>
          </w:p>
        </w:tc>
        <w:tc>
          <w:tcPr>
            <w:tcW w:type="dxa" w:w="3135"/>
            <w:vAlign w:val="center"/>
            <w:tcW w:w="2700000" w:type="dxa"/>
          </w:tcPr>
          <w:p>
            <w:pPr>
              <w:spacing w:before="60" w:after="60"/>
              <w:ind w:left="113"/>
            </w:pPr>
            <w:r>
              <w:rPr>
                <w:b w:val="0"/>
                <w:color w:val="5E5A52"/>
                <w:sz w:val="19"/>
              </w:rPr>
              <w:t>Pixel-perfect branded PDFs for Pro reports</w:t>
            </w:r>
          </w:p>
        </w:tc>
      </w:tr>
      <w:tr>
        <w:tc>
          <w:tcPr>
            <w:tcW w:type="dxa" w:w="3135"/>
            <w:vAlign w:val="center"/>
            <w:tcW w:w="1440000" w:type="dxa"/>
            <w:shd w:val="clear" w:color="auto" w:fill="F8F7F4"/>
          </w:tcPr>
          <w:p>
            <w:pPr>
              <w:spacing w:before="60" w:after="60"/>
              <w:ind w:left="113"/>
            </w:pPr>
            <w:r>
              <w:rPr>
                <w:b w:val="0"/>
                <w:color w:val="1A1917"/>
                <w:sz w:val="19"/>
              </w:rPr>
              <w:t>AI (H2)</w:t>
            </w:r>
          </w:p>
        </w:tc>
        <w:tc>
          <w:tcPr>
            <w:tcW w:type="dxa" w:w="3135"/>
            <w:vAlign w:val="center"/>
            <w:tcW w:w="1980000" w:type="dxa"/>
            <w:shd w:val="clear" w:color="auto" w:fill="F8F7F4"/>
          </w:tcPr>
          <w:p>
            <w:pPr>
              <w:spacing w:before="60" w:after="60"/>
              <w:ind w:left="113"/>
            </w:pPr>
            <w:r>
              <w:rPr>
                <w:b w:val="0"/>
                <w:color w:val="5E5A52"/>
                <w:sz w:val="19"/>
              </w:rPr>
              <w:t>OpenAI GPT-4o API</w:t>
            </w:r>
          </w:p>
        </w:tc>
        <w:tc>
          <w:tcPr>
            <w:tcW w:type="dxa" w:w="3135"/>
            <w:vAlign w:val="center"/>
            <w:tcW w:w="2700000" w:type="dxa"/>
            <w:shd w:val="clear" w:color="auto" w:fill="F8F7F4"/>
          </w:tcPr>
          <w:p>
            <w:pPr>
              <w:spacing w:before="60" w:after="60"/>
              <w:ind w:left="113"/>
            </w:pPr>
            <w:r>
              <w:rPr>
                <w:b w:val="0"/>
                <w:color w:val="5E5A52"/>
                <w:sz w:val="19"/>
              </w:rPr>
              <w:t>Natural-language property summaries and risk commentary</w:t>
            </w:r>
          </w:p>
        </w:tc>
      </w:tr>
      <w:tr>
        <w:tc>
          <w:tcPr>
            <w:tcW w:type="dxa" w:w="3135"/>
            <w:vAlign w:val="center"/>
            <w:tcW w:w="1440000" w:type="dxa"/>
          </w:tcPr>
          <w:p>
            <w:pPr>
              <w:spacing w:before="60" w:after="60"/>
              <w:ind w:left="113"/>
            </w:pPr>
            <w:r>
              <w:rPr>
                <w:b w:val="0"/>
                <w:color w:val="1A1917"/>
                <w:sz w:val="19"/>
              </w:rPr>
              <w:t>Mobile (H2)</w:t>
            </w:r>
          </w:p>
        </w:tc>
        <w:tc>
          <w:tcPr>
            <w:tcW w:type="dxa" w:w="3135"/>
            <w:vAlign w:val="center"/>
            <w:tcW w:w="1980000" w:type="dxa"/>
          </w:tcPr>
          <w:p>
            <w:pPr>
              <w:spacing w:before="60" w:after="60"/>
              <w:ind w:left="113"/>
            </w:pPr>
            <w:r>
              <w:rPr>
                <w:b w:val="0"/>
                <w:color w:val="5E5A52"/>
                <w:sz w:val="19"/>
              </w:rPr>
              <w:t>React Native / Expo</w:t>
            </w:r>
          </w:p>
        </w:tc>
        <w:tc>
          <w:tcPr>
            <w:tcW w:type="dxa" w:w="3135"/>
            <w:vAlign w:val="center"/>
            <w:tcW w:w="2700000" w:type="dxa"/>
          </w:tcPr>
          <w:p>
            <w:pPr>
              <w:spacing w:before="60" w:after="60"/>
              <w:ind w:left="113"/>
            </w:pPr>
            <w:r>
              <w:rPr>
                <w:b w:val="0"/>
                <w:color w:val="5E5A52"/>
                <w:sz w:val="19"/>
              </w:rPr>
              <w:t>Code sharing with web; faster to market than native apps</w:t>
            </w:r>
          </w:p>
        </w:tc>
      </w:tr>
      <w:tr>
        <w:tc>
          <w:tcPr>
            <w:tcW w:type="dxa" w:w="3135"/>
            <w:vAlign w:val="center"/>
            <w:tcW w:w="1440000" w:type="dxa"/>
            <w:shd w:val="clear" w:color="auto" w:fill="F8F7F4"/>
          </w:tcPr>
          <w:p>
            <w:pPr>
              <w:spacing w:before="60" w:after="60"/>
              <w:ind w:left="113"/>
            </w:pPr>
            <w:r>
              <w:rPr>
                <w:b w:val="0"/>
                <w:color w:val="1A1917"/>
                <w:sz w:val="19"/>
              </w:rPr>
              <w:t>Analytics</w:t>
            </w:r>
          </w:p>
        </w:tc>
        <w:tc>
          <w:tcPr>
            <w:tcW w:type="dxa" w:w="3135"/>
            <w:vAlign w:val="center"/>
            <w:tcW w:w="1980000" w:type="dxa"/>
            <w:shd w:val="clear" w:color="auto" w:fill="F8F7F4"/>
          </w:tcPr>
          <w:p>
            <w:pPr>
              <w:spacing w:before="60" w:after="60"/>
              <w:ind w:left="113"/>
            </w:pPr>
            <w:r>
              <w:rPr>
                <w:b w:val="0"/>
                <w:color w:val="5E5A52"/>
                <w:sz w:val="19"/>
              </w:rPr>
              <w:t>Vercel Analytics + PostHog</w:t>
            </w:r>
          </w:p>
        </w:tc>
        <w:tc>
          <w:tcPr>
            <w:tcW w:type="dxa" w:w="3135"/>
            <w:vAlign w:val="center"/>
            <w:tcW w:w="2700000" w:type="dxa"/>
            <w:shd w:val="clear" w:color="auto" w:fill="F8F7F4"/>
          </w:tcPr>
          <w:p>
            <w:pPr>
              <w:spacing w:before="60" w:after="60"/>
              <w:ind w:left="113"/>
            </w:pPr>
            <w:r>
              <w:rPr>
                <w:b w:val="0"/>
                <w:color w:val="5E5A52"/>
                <w:sz w:val="19"/>
              </w:rPr>
              <w:t>Privacy-first; session recordings for UX optimisation</w:t>
            </w:r>
          </w:p>
        </w:tc>
      </w:tr>
      <w:tr>
        <w:tc>
          <w:tcPr>
            <w:tcW w:type="dxa" w:w="3135"/>
            <w:vAlign w:val="center"/>
            <w:tcW w:w="1440000" w:type="dxa"/>
          </w:tcPr>
          <w:p>
            <w:pPr>
              <w:spacing w:before="60" w:after="60"/>
              <w:ind w:left="113"/>
            </w:pPr>
            <w:r>
              <w:rPr>
                <w:b w:val="0"/>
                <w:color w:val="1A1917"/>
                <w:sz w:val="19"/>
              </w:rPr>
              <w:t>Monitoring</w:t>
            </w:r>
          </w:p>
        </w:tc>
        <w:tc>
          <w:tcPr>
            <w:tcW w:type="dxa" w:w="3135"/>
            <w:vAlign w:val="center"/>
            <w:tcW w:w="1980000" w:type="dxa"/>
          </w:tcPr>
          <w:p>
            <w:pPr>
              <w:spacing w:before="60" w:after="60"/>
              <w:ind w:left="113"/>
            </w:pPr>
            <w:r>
              <w:rPr>
                <w:b w:val="0"/>
                <w:color w:val="5E5A52"/>
                <w:sz w:val="19"/>
              </w:rPr>
              <w:t>Sentry + Vercel Logs</w:t>
            </w:r>
          </w:p>
        </w:tc>
        <w:tc>
          <w:tcPr>
            <w:tcW w:type="dxa" w:w="3135"/>
            <w:vAlign w:val="center"/>
            <w:tcW w:w="2700000" w:type="dxa"/>
          </w:tcPr>
          <w:p>
            <w:pPr>
              <w:spacing w:before="60" w:after="60"/>
              <w:ind w:left="113"/>
            </w:pPr>
            <w:r>
              <w:rPr>
                <w:b w:val="0"/>
                <w:color w:val="5E5A52"/>
                <w:sz w:val="19"/>
              </w:rPr>
              <w:t>Error tracking and API performance monitoring</w:t>
            </w:r>
          </w:p>
        </w:tc>
      </w:tr>
    </w:tbl>
    <w:p/>
    <w:p>
      <w:pPr>
        <w:spacing w:before="160" w:after="160"/>
        <w:pBdr>
          <w:bottom w:val="single" w:sz="4" w:space="1" w:color="D1CEC8"/>
        </w:pBdr>
      </w:pPr>
    </w:p>
    <w:p>
      <w:pPr>
        <w:pStyle w:val="Heading1"/>
        <w:spacing w:before="400" w:after="120"/>
      </w:pPr>
      <w:r>
        <w:rPr>
          <w:color w:val="1D9E75"/>
          <w:sz w:val="32"/>
        </w:rPr>
        <w:t>10. Product Development Roadmap</w:t>
      </w:r>
    </w:p>
    <w:p>
      <w:pPr>
        <w:pStyle w:val="Heading2"/>
        <w:spacing w:before="240" w:after="80"/>
      </w:pPr>
      <w:r>
        <w:rPr>
          <w:color w:val="1A1917"/>
          <w:sz w:val="26"/>
        </w:rPr>
        <w:t>Horizon 1 — Months 1–3: Monetisation Foundation</w:t>
      </w:r>
    </w:p>
    <w:tbl>
      <w:tblPr>
        <w:tblStyle w:val="TableGrid"/>
        <w:tblW w:type="auto" w:w="0"/>
        <w:tblLook w:firstColumn="1" w:firstRow="1" w:lastColumn="0" w:lastRow="0" w:noHBand="0" w:noVBand="1" w:val="04A0"/>
      </w:tblPr>
      <w:tblGrid>
        <w:gridCol w:w="3135"/>
        <w:gridCol w:w="3135"/>
        <w:gridCol w:w="3135"/>
      </w:tblGrid>
      <w:tr>
        <w:tc>
          <w:tcPr>
            <w:tcW w:type="dxa" w:w="3135"/>
            <w:vAlign w:val="center"/>
            <w:tcW w:w="1620000" w:type="dxa"/>
            <w:shd w:val="clear" w:color="auto" w:fill="1D9E75"/>
          </w:tcPr>
          <w:p>
            <w:pPr>
              <w:spacing w:before="60" w:after="60"/>
              <w:ind w:left="113"/>
            </w:pPr>
            <w:r>
              <w:rPr>
                <w:b/>
                <w:color w:val="FFFFFF"/>
                <w:sz w:val="19"/>
              </w:rPr>
              <w:t>Feature</w:t>
            </w:r>
          </w:p>
        </w:tc>
        <w:tc>
          <w:tcPr>
            <w:tcW w:type="dxa" w:w="3135"/>
            <w:vAlign w:val="center"/>
            <w:tcW w:w="2880000" w:type="dxa"/>
            <w:shd w:val="clear" w:color="auto" w:fill="1D9E75"/>
          </w:tcPr>
          <w:p>
            <w:pPr>
              <w:spacing w:before="60" w:after="60"/>
              <w:ind w:left="113"/>
            </w:pPr>
            <w:r>
              <w:rPr>
                <w:b/>
                <w:color w:val="FFFFFF"/>
                <w:sz w:val="19"/>
              </w:rPr>
              <w:t>Description</w:t>
            </w:r>
          </w:p>
        </w:tc>
        <w:tc>
          <w:tcPr>
            <w:tcW w:type="dxa" w:w="3135"/>
            <w:vAlign w:val="center"/>
            <w:tcW w:w="1620000" w:type="dxa"/>
            <w:shd w:val="clear" w:color="auto" w:fill="1D9E75"/>
          </w:tcPr>
          <w:p>
            <w:pPr>
              <w:spacing w:before="60" w:after="60"/>
              <w:ind w:left="113"/>
            </w:pPr>
            <w:r>
              <w:rPr>
                <w:b/>
                <w:color w:val="FFFFFF"/>
                <w:sz w:val="19"/>
              </w:rPr>
              <w:t>Success metric</w:t>
            </w:r>
          </w:p>
        </w:tc>
      </w:tr>
      <w:tr>
        <w:tc>
          <w:tcPr>
            <w:tcW w:type="dxa" w:w="3135"/>
            <w:vAlign w:val="center"/>
            <w:tcW w:w="1620000" w:type="dxa"/>
          </w:tcPr>
          <w:p>
            <w:pPr>
              <w:spacing w:before="60" w:after="60"/>
              <w:ind w:left="113"/>
            </w:pPr>
            <w:r>
              <w:rPr>
                <w:b w:val="0"/>
                <w:color w:val="1A1917"/>
                <w:sz w:val="19"/>
              </w:rPr>
              <w:t>Stripe integration</w:t>
            </w:r>
          </w:p>
        </w:tc>
        <w:tc>
          <w:tcPr>
            <w:tcW w:type="dxa" w:w="3135"/>
            <w:vAlign w:val="center"/>
            <w:tcW w:w="2880000" w:type="dxa"/>
          </w:tcPr>
          <w:p>
            <w:pPr>
              <w:spacing w:before="60" w:after="60"/>
              <w:ind w:left="113"/>
            </w:pPr>
            <w:r>
              <w:rPr>
                <w:b w:val="0"/>
                <w:color w:val="5E5A52"/>
                <w:sz w:val="19"/>
              </w:rPr>
              <w:t>Checkout, webhooks, customer portal for plan management</w:t>
            </w:r>
          </w:p>
        </w:tc>
        <w:tc>
          <w:tcPr>
            <w:tcW w:type="dxa" w:w="3135"/>
            <w:vAlign w:val="center"/>
            <w:tcW w:w="1620000" w:type="dxa"/>
          </w:tcPr>
          <w:p>
            <w:pPr>
              <w:spacing w:before="60" w:after="60"/>
              <w:ind w:left="113"/>
            </w:pPr>
            <w:r>
              <w:rPr>
                <w:b w:val="0"/>
                <w:color w:val="5E5A52"/>
                <w:sz w:val="19"/>
              </w:rPr>
              <w:t>First paying subscriber</w:t>
            </w:r>
          </w:p>
        </w:tc>
      </w:tr>
      <w:tr>
        <w:tc>
          <w:tcPr>
            <w:tcW w:type="dxa" w:w="3135"/>
            <w:vAlign w:val="center"/>
            <w:tcW w:w="1620000" w:type="dxa"/>
            <w:shd w:val="clear" w:color="auto" w:fill="F8F7F4"/>
          </w:tcPr>
          <w:p>
            <w:pPr>
              <w:spacing w:before="60" w:after="60"/>
              <w:ind w:left="113"/>
            </w:pPr>
            <w:r>
              <w:rPr>
                <w:b w:val="0"/>
                <w:color w:val="1A1917"/>
                <w:sz w:val="19"/>
              </w:rPr>
              <w:t>Supabase auth + DB</w:t>
            </w:r>
          </w:p>
        </w:tc>
        <w:tc>
          <w:tcPr>
            <w:tcW w:type="dxa" w:w="3135"/>
            <w:vAlign w:val="center"/>
            <w:tcW w:w="2880000" w:type="dxa"/>
            <w:shd w:val="clear" w:color="auto" w:fill="F8F7F4"/>
          </w:tcPr>
          <w:p>
            <w:pPr>
              <w:spacing w:before="60" w:after="60"/>
              <w:ind w:left="113"/>
            </w:pPr>
            <w:r>
              <w:rPr>
                <w:b w:val="0"/>
                <w:color w:val="5E5A52"/>
                <w:sz w:val="19"/>
              </w:rPr>
              <w:t>Replace localStorage; real user accounts with email verify</w:t>
            </w:r>
          </w:p>
        </w:tc>
        <w:tc>
          <w:tcPr>
            <w:tcW w:type="dxa" w:w="3135"/>
            <w:vAlign w:val="center"/>
            <w:tcW w:w="1620000" w:type="dxa"/>
            <w:shd w:val="clear" w:color="auto" w:fill="F8F7F4"/>
          </w:tcPr>
          <w:p>
            <w:pPr>
              <w:spacing w:before="60" w:after="60"/>
              <w:ind w:left="113"/>
            </w:pPr>
            <w:r>
              <w:rPr>
                <w:b w:val="0"/>
                <w:color w:val="5E5A52"/>
                <w:sz w:val="19"/>
              </w:rPr>
              <w:t>&lt; 2s login time</w:t>
            </w:r>
          </w:p>
        </w:tc>
      </w:tr>
      <w:tr>
        <w:tc>
          <w:tcPr>
            <w:tcW w:type="dxa" w:w="3135"/>
            <w:vAlign w:val="center"/>
            <w:tcW w:w="1620000" w:type="dxa"/>
          </w:tcPr>
          <w:p>
            <w:pPr>
              <w:spacing w:before="60" w:after="60"/>
              <w:ind w:left="113"/>
            </w:pPr>
            <w:r>
              <w:rPr>
                <w:b w:val="0"/>
                <w:color w:val="1A1917"/>
                <w:sz w:val="19"/>
              </w:rPr>
              <w:t>Professional services CTA</w:t>
            </w:r>
          </w:p>
        </w:tc>
        <w:tc>
          <w:tcPr>
            <w:tcW w:type="dxa" w:w="3135"/>
            <w:vAlign w:val="center"/>
            <w:tcW w:w="2880000" w:type="dxa"/>
          </w:tcPr>
          <w:p>
            <w:pPr>
              <w:spacing w:before="60" w:after="60"/>
              <w:ind w:left="113"/>
            </w:pPr>
            <w:r>
              <w:rPr>
                <w:b w:val="0"/>
                <w:color w:val="5E5A52"/>
                <w:sz w:val="19"/>
              </w:rPr>
              <w:t>Quote request form, partner routing, 10% discount at checkout</w:t>
            </w:r>
          </w:p>
        </w:tc>
        <w:tc>
          <w:tcPr>
            <w:tcW w:type="dxa" w:w="3135"/>
            <w:vAlign w:val="center"/>
            <w:tcW w:w="1620000" w:type="dxa"/>
          </w:tcPr>
          <w:p>
            <w:pPr>
              <w:spacing w:before="60" w:after="60"/>
              <w:ind w:left="113"/>
            </w:pPr>
            <w:r>
              <w:rPr>
                <w:b w:val="0"/>
                <w:color w:val="5E5A52"/>
                <w:sz w:val="19"/>
              </w:rPr>
              <w:t>First booked service</w:t>
            </w:r>
          </w:p>
        </w:tc>
      </w:tr>
      <w:tr>
        <w:tc>
          <w:tcPr>
            <w:tcW w:type="dxa" w:w="3135"/>
            <w:vAlign w:val="center"/>
            <w:tcW w:w="1620000" w:type="dxa"/>
            <w:shd w:val="clear" w:color="auto" w:fill="F8F7F4"/>
          </w:tcPr>
          <w:p>
            <w:pPr>
              <w:spacing w:before="60" w:after="60"/>
              <w:ind w:left="113"/>
            </w:pPr>
            <w:r>
              <w:rPr>
                <w:b w:val="0"/>
                <w:color w:val="1A1917"/>
                <w:sz w:val="19"/>
              </w:rPr>
              <w:t>Resend email system</w:t>
            </w:r>
          </w:p>
        </w:tc>
        <w:tc>
          <w:tcPr>
            <w:tcW w:type="dxa" w:w="3135"/>
            <w:vAlign w:val="center"/>
            <w:tcW w:w="2880000" w:type="dxa"/>
            <w:shd w:val="clear" w:color="auto" w:fill="F8F7F4"/>
          </w:tcPr>
          <w:p>
            <w:pPr>
              <w:spacing w:before="60" w:after="60"/>
              <w:ind w:left="113"/>
            </w:pPr>
            <w:r>
              <w:rPr>
                <w:b w:val="0"/>
                <w:color w:val="5E5A52"/>
                <w:sz w:val="19"/>
              </w:rPr>
              <w:t>Welcome, remortgage alert, maintenance reminder transactional emails</w:t>
            </w:r>
          </w:p>
        </w:tc>
        <w:tc>
          <w:tcPr>
            <w:tcW w:type="dxa" w:w="3135"/>
            <w:vAlign w:val="center"/>
            <w:tcW w:w="1620000" w:type="dxa"/>
            <w:shd w:val="clear" w:color="auto" w:fill="F8F7F4"/>
          </w:tcPr>
          <w:p>
            <w:pPr>
              <w:spacing w:before="60" w:after="60"/>
              <w:ind w:left="113"/>
            </w:pPr>
            <w:r>
              <w:rPr>
                <w:b w:val="0"/>
                <w:color w:val="5E5A52"/>
                <w:sz w:val="19"/>
              </w:rPr>
              <w:t>Open rate &gt; 40%</w:t>
            </w:r>
          </w:p>
        </w:tc>
      </w:tr>
      <w:tr>
        <w:tc>
          <w:tcPr>
            <w:tcW w:type="dxa" w:w="3135"/>
            <w:vAlign w:val="center"/>
            <w:tcW w:w="1620000" w:type="dxa"/>
          </w:tcPr>
          <w:p>
            <w:pPr>
              <w:spacing w:before="60" w:after="60"/>
              <w:ind w:left="113"/>
            </w:pPr>
            <w:r>
              <w:rPr>
                <w:b w:val="0"/>
                <w:color w:val="1A1917"/>
                <w:sz w:val="19"/>
              </w:rPr>
              <w:t>SEO landing pages</w:t>
            </w:r>
          </w:p>
        </w:tc>
        <w:tc>
          <w:tcPr>
            <w:tcW w:type="dxa" w:w="3135"/>
            <w:vAlign w:val="center"/>
            <w:tcW w:w="2880000" w:type="dxa"/>
          </w:tcPr>
          <w:p>
            <w:pPr>
              <w:spacing w:before="60" w:after="60"/>
              <w:ind w:left="113"/>
            </w:pPr>
            <w:r>
              <w:rPr>
                <w:b w:val="0"/>
                <w:color w:val="5E5A52"/>
                <w:sz w:val="19"/>
              </w:rPr>
              <w:t>Postcode-specific flood/EPC pages for organic search</w:t>
            </w:r>
          </w:p>
        </w:tc>
        <w:tc>
          <w:tcPr>
            <w:tcW w:type="dxa" w:w="3135"/>
            <w:vAlign w:val="center"/>
            <w:tcW w:w="1620000" w:type="dxa"/>
          </w:tcPr>
          <w:p>
            <w:pPr>
              <w:spacing w:before="60" w:after="60"/>
              <w:ind w:left="113"/>
            </w:pPr>
            <w:r>
              <w:rPr>
                <w:b w:val="0"/>
                <w:color w:val="5E5A52"/>
                <w:sz w:val="19"/>
              </w:rPr>
              <w:t>500 organic visits/month</w:t>
            </w:r>
          </w:p>
        </w:tc>
      </w:tr>
      <w:tr>
        <w:tc>
          <w:tcPr>
            <w:tcW w:type="dxa" w:w="3135"/>
            <w:vAlign w:val="center"/>
            <w:tcW w:w="1620000" w:type="dxa"/>
            <w:shd w:val="clear" w:color="auto" w:fill="F8F7F4"/>
          </w:tcPr>
          <w:p>
            <w:pPr>
              <w:spacing w:before="60" w:after="60"/>
              <w:ind w:left="113"/>
            </w:pPr>
            <w:r>
              <w:rPr>
                <w:b w:val="0"/>
                <w:color w:val="1A1917"/>
                <w:sz w:val="19"/>
              </w:rPr>
              <w:t>Waitlist email capture</w:t>
            </w:r>
          </w:p>
        </w:tc>
        <w:tc>
          <w:tcPr>
            <w:tcW w:type="dxa" w:w="3135"/>
            <w:vAlign w:val="center"/>
            <w:tcW w:w="2880000" w:type="dxa"/>
            <w:shd w:val="clear" w:color="auto" w:fill="F8F7F4"/>
          </w:tcPr>
          <w:p>
            <w:pPr>
              <w:spacing w:before="60" w:after="60"/>
              <w:ind w:left="113"/>
            </w:pPr>
            <w:r>
              <w:rPr>
                <w:b w:val="0"/>
                <w:color w:val="5E5A52"/>
                <w:sz w:val="19"/>
              </w:rPr>
              <w:t>Mailchimp integration on landing page CTA</w:t>
            </w:r>
          </w:p>
        </w:tc>
        <w:tc>
          <w:tcPr>
            <w:tcW w:type="dxa" w:w="3135"/>
            <w:vAlign w:val="center"/>
            <w:tcW w:w="1620000" w:type="dxa"/>
            <w:shd w:val="clear" w:color="auto" w:fill="F8F7F4"/>
          </w:tcPr>
          <w:p>
            <w:pPr>
              <w:spacing w:before="60" w:after="60"/>
              <w:ind w:left="113"/>
            </w:pPr>
            <w:r>
              <w:rPr>
                <w:b w:val="0"/>
                <w:color w:val="5E5A52"/>
                <w:sz w:val="19"/>
              </w:rPr>
              <w:t>1,000 waitlist sign-ups</w:t>
            </w:r>
          </w:p>
        </w:tc>
      </w:tr>
    </w:tbl>
    <w:p/>
    <w:p>
      <w:pPr>
        <w:pStyle w:val="Heading2"/>
        <w:spacing w:before="240" w:after="80"/>
      </w:pPr>
      <w:r>
        <w:rPr>
          <w:color w:val="1A1917"/>
          <w:sz w:val="26"/>
        </w:rPr>
        <w:t>Horizon 2 — Months 4–9: Product Depth</w:t>
      </w:r>
    </w:p>
    <w:tbl>
      <w:tblPr>
        <w:tblStyle w:val="TableGrid"/>
        <w:tblW w:type="auto" w:w="0"/>
        <w:tblLook w:firstColumn="1" w:firstRow="1" w:lastColumn="0" w:lastRow="0" w:noHBand="0" w:noVBand="1" w:val="04A0"/>
      </w:tblPr>
      <w:tblGrid>
        <w:gridCol w:w="3135"/>
        <w:gridCol w:w="3135"/>
        <w:gridCol w:w="3135"/>
      </w:tblGrid>
      <w:tr>
        <w:tc>
          <w:tcPr>
            <w:tcW w:type="dxa" w:w="3135"/>
            <w:vAlign w:val="center"/>
            <w:tcW w:w="1620000" w:type="dxa"/>
            <w:shd w:val="clear" w:color="auto" w:fill="1D9E75"/>
          </w:tcPr>
          <w:p>
            <w:pPr>
              <w:spacing w:before="60" w:after="60"/>
              <w:ind w:left="113"/>
            </w:pPr>
            <w:r>
              <w:rPr>
                <w:b/>
                <w:color w:val="FFFFFF"/>
                <w:sz w:val="19"/>
              </w:rPr>
              <w:t>Feature</w:t>
            </w:r>
          </w:p>
        </w:tc>
        <w:tc>
          <w:tcPr>
            <w:tcW w:type="dxa" w:w="3135"/>
            <w:vAlign w:val="center"/>
            <w:tcW w:w="2880000" w:type="dxa"/>
            <w:shd w:val="clear" w:color="auto" w:fill="1D9E75"/>
          </w:tcPr>
          <w:p>
            <w:pPr>
              <w:spacing w:before="60" w:after="60"/>
              <w:ind w:left="113"/>
            </w:pPr>
            <w:r>
              <w:rPr>
                <w:b/>
                <w:color w:val="FFFFFF"/>
                <w:sz w:val="19"/>
              </w:rPr>
              <w:t>Description</w:t>
            </w:r>
          </w:p>
        </w:tc>
        <w:tc>
          <w:tcPr>
            <w:tcW w:type="dxa" w:w="3135"/>
            <w:vAlign w:val="center"/>
            <w:tcW w:w="1620000" w:type="dxa"/>
            <w:shd w:val="clear" w:color="auto" w:fill="1D9E75"/>
          </w:tcPr>
          <w:p>
            <w:pPr>
              <w:spacing w:before="60" w:after="60"/>
              <w:ind w:left="113"/>
            </w:pPr>
            <w:r>
              <w:rPr>
                <w:b/>
                <w:color w:val="FFFFFF"/>
                <w:sz w:val="19"/>
              </w:rPr>
              <w:t>Success metric</w:t>
            </w:r>
          </w:p>
        </w:tc>
      </w:tr>
      <w:tr>
        <w:tc>
          <w:tcPr>
            <w:tcW w:type="dxa" w:w="3135"/>
            <w:vAlign w:val="center"/>
            <w:tcW w:w="1620000" w:type="dxa"/>
          </w:tcPr>
          <w:p>
            <w:pPr>
              <w:spacing w:before="60" w:after="60"/>
              <w:ind w:left="113"/>
            </w:pPr>
            <w:r>
              <w:rPr>
                <w:b w:val="0"/>
                <w:color w:val="1A1917"/>
                <w:sz w:val="19"/>
              </w:rPr>
              <w:t>AI property summary</w:t>
            </w:r>
          </w:p>
        </w:tc>
        <w:tc>
          <w:tcPr>
            <w:tcW w:type="dxa" w:w="3135"/>
            <w:vAlign w:val="center"/>
            <w:tcW w:w="2880000" w:type="dxa"/>
          </w:tcPr>
          <w:p>
            <w:pPr>
              <w:spacing w:before="60" w:after="60"/>
              <w:ind w:left="113"/>
            </w:pPr>
            <w:r>
              <w:rPr>
                <w:b w:val="0"/>
                <w:color w:val="5E5A52"/>
                <w:sz w:val="19"/>
              </w:rPr>
              <w:t>GPT-4o plain-English risk narrative for each report</w:t>
            </w:r>
          </w:p>
        </w:tc>
        <w:tc>
          <w:tcPr>
            <w:tcW w:type="dxa" w:w="3135"/>
            <w:vAlign w:val="center"/>
            <w:tcW w:w="1620000" w:type="dxa"/>
          </w:tcPr>
          <w:p>
            <w:pPr>
              <w:spacing w:before="60" w:after="60"/>
              <w:ind w:left="113"/>
            </w:pPr>
            <w:r>
              <w:rPr>
                <w:b w:val="0"/>
                <w:color w:val="5E5A52"/>
                <w:sz w:val="19"/>
              </w:rPr>
              <w:t>NPS &gt; 50 for report page</w:t>
            </w:r>
          </w:p>
        </w:tc>
      </w:tr>
      <w:tr>
        <w:tc>
          <w:tcPr>
            <w:tcW w:type="dxa" w:w="3135"/>
            <w:vAlign w:val="center"/>
            <w:tcW w:w="1620000" w:type="dxa"/>
            <w:shd w:val="clear" w:color="auto" w:fill="F8F7F4"/>
          </w:tcPr>
          <w:p>
            <w:pPr>
              <w:spacing w:before="60" w:after="60"/>
              <w:ind w:left="113"/>
            </w:pPr>
            <w:r>
              <w:rPr>
                <w:b w:val="0"/>
                <w:color w:val="1A1917"/>
                <w:sz w:val="19"/>
              </w:rPr>
              <w:t>Planning permission checker</w:t>
            </w:r>
          </w:p>
        </w:tc>
        <w:tc>
          <w:tcPr>
            <w:tcW w:type="dxa" w:w="3135"/>
            <w:vAlign w:val="center"/>
            <w:tcW w:w="2880000" w:type="dxa"/>
            <w:shd w:val="clear" w:color="auto" w:fill="F8F7F4"/>
          </w:tcPr>
          <w:p>
            <w:pPr>
              <w:spacing w:before="60" w:after="60"/>
              <w:ind w:left="113"/>
            </w:pPr>
            <w:r>
              <w:rPr>
                <w:b w:val="0"/>
                <w:color w:val="5E5A52"/>
                <w:sz w:val="19"/>
              </w:rPr>
              <w:t>Planning Portal API — applications, decisions, appeals</w:t>
            </w:r>
          </w:p>
        </w:tc>
        <w:tc>
          <w:tcPr>
            <w:tcW w:type="dxa" w:w="3135"/>
            <w:vAlign w:val="center"/>
            <w:tcW w:w="1620000" w:type="dxa"/>
            <w:shd w:val="clear" w:color="auto" w:fill="F8F7F4"/>
          </w:tcPr>
          <w:p>
            <w:pPr>
              <w:spacing w:before="60" w:after="60"/>
              <w:ind w:left="113"/>
            </w:pPr>
            <w:r>
              <w:rPr>
                <w:b w:val="0"/>
                <w:color w:val="5E5A52"/>
                <w:sz w:val="19"/>
              </w:rPr>
              <w:t>Launched and indexed</w:t>
            </w:r>
          </w:p>
        </w:tc>
      </w:tr>
      <w:tr>
        <w:tc>
          <w:tcPr>
            <w:tcW w:type="dxa" w:w="3135"/>
            <w:vAlign w:val="center"/>
            <w:tcW w:w="1620000" w:type="dxa"/>
          </w:tcPr>
          <w:p>
            <w:pPr>
              <w:spacing w:before="60" w:after="60"/>
              <w:ind w:left="113"/>
            </w:pPr>
            <w:r>
              <w:rPr>
                <w:b w:val="0"/>
                <w:color w:val="1A1917"/>
                <w:sz w:val="19"/>
              </w:rPr>
              <w:t>Land Registry integration</w:t>
            </w:r>
          </w:p>
        </w:tc>
        <w:tc>
          <w:tcPr>
            <w:tcW w:type="dxa" w:w="3135"/>
            <w:vAlign w:val="center"/>
            <w:tcW w:w="2880000" w:type="dxa"/>
          </w:tcPr>
          <w:p>
            <w:pPr>
              <w:spacing w:before="60" w:after="60"/>
              <w:ind w:left="113"/>
            </w:pPr>
            <w:r>
              <w:rPr>
                <w:b w:val="0"/>
                <w:color w:val="5E5A52"/>
                <w:sz w:val="19"/>
              </w:rPr>
              <w:t>Title, price paid, ownership history</w:t>
            </w:r>
          </w:p>
        </w:tc>
        <w:tc>
          <w:tcPr>
            <w:tcW w:type="dxa" w:w="3135"/>
            <w:vAlign w:val="center"/>
            <w:tcW w:w="1620000" w:type="dxa"/>
          </w:tcPr>
          <w:p>
            <w:pPr>
              <w:spacing w:before="60" w:after="60"/>
              <w:ind w:left="113"/>
            </w:pPr>
            <w:r>
              <w:rPr>
                <w:b w:val="0"/>
                <w:color w:val="5E5A52"/>
                <w:sz w:val="19"/>
              </w:rPr>
              <w:t>&lt; 3s data load time</w:t>
            </w:r>
          </w:p>
        </w:tc>
      </w:tr>
      <w:tr>
        <w:tc>
          <w:tcPr>
            <w:tcW w:type="dxa" w:w="3135"/>
            <w:vAlign w:val="center"/>
            <w:tcW w:w="1620000" w:type="dxa"/>
            <w:shd w:val="clear" w:color="auto" w:fill="F8F7F4"/>
          </w:tcPr>
          <w:p>
            <w:pPr>
              <w:spacing w:before="60" w:after="60"/>
              <w:ind w:left="113"/>
            </w:pPr>
            <w:r>
              <w:rPr>
                <w:b w:val="0"/>
                <w:color w:val="1A1917"/>
                <w:sz w:val="19"/>
              </w:rPr>
              <w:t>Mortgage comparison</w:t>
            </w:r>
          </w:p>
        </w:tc>
        <w:tc>
          <w:tcPr>
            <w:tcW w:type="dxa" w:w="3135"/>
            <w:vAlign w:val="center"/>
            <w:tcW w:w="2880000" w:type="dxa"/>
            <w:shd w:val="clear" w:color="auto" w:fill="F8F7F4"/>
          </w:tcPr>
          <w:p>
            <w:pPr>
              <w:spacing w:before="60" w:after="60"/>
              <w:ind w:left="113"/>
            </w:pPr>
            <w:r>
              <w:rPr>
                <w:b w:val="0"/>
                <w:color w:val="5E5A52"/>
                <w:sz w:val="19"/>
              </w:rPr>
              <w:t>Sourcing API integration for remortgage customers</w:t>
            </w:r>
          </w:p>
        </w:tc>
        <w:tc>
          <w:tcPr>
            <w:tcW w:type="dxa" w:w="3135"/>
            <w:vAlign w:val="center"/>
            <w:tcW w:w="1620000" w:type="dxa"/>
            <w:shd w:val="clear" w:color="auto" w:fill="F8F7F4"/>
          </w:tcPr>
          <w:p>
            <w:pPr>
              <w:spacing w:before="60" w:after="60"/>
              <w:ind w:left="113"/>
            </w:pPr>
            <w:r>
              <w:rPr>
                <w:b w:val="0"/>
                <w:color w:val="5E5A52"/>
                <w:sz w:val="19"/>
              </w:rPr>
              <w:t>First referral revenue</w:t>
            </w:r>
          </w:p>
        </w:tc>
      </w:tr>
      <w:tr>
        <w:tc>
          <w:tcPr>
            <w:tcW w:type="dxa" w:w="3135"/>
            <w:vAlign w:val="center"/>
            <w:tcW w:w="1620000" w:type="dxa"/>
          </w:tcPr>
          <w:p>
            <w:pPr>
              <w:spacing w:before="60" w:after="60"/>
              <w:ind w:left="113"/>
            </w:pPr>
            <w:r>
              <w:rPr>
                <w:b w:val="0"/>
                <w:color w:val="1A1917"/>
                <w:sz w:val="19"/>
              </w:rPr>
              <w:t>Neighbourhood analytics</w:t>
            </w:r>
          </w:p>
        </w:tc>
        <w:tc>
          <w:tcPr>
            <w:tcW w:type="dxa" w:w="3135"/>
            <w:vAlign w:val="center"/>
            <w:tcW w:w="2880000" w:type="dxa"/>
          </w:tcPr>
          <w:p>
            <w:pPr>
              <w:spacing w:before="60" w:after="60"/>
              <w:ind w:left="113"/>
            </w:pPr>
            <w:r>
              <w:rPr>
                <w:b w:val="0"/>
                <w:color w:val="5E5A52"/>
                <w:sz w:val="19"/>
              </w:rPr>
              <w:t>Schools (Ofsted), transport, green space, price trends</w:t>
            </w:r>
          </w:p>
        </w:tc>
        <w:tc>
          <w:tcPr>
            <w:tcW w:type="dxa" w:w="3135"/>
            <w:vAlign w:val="center"/>
            <w:tcW w:w="1620000" w:type="dxa"/>
          </w:tcPr>
          <w:p>
            <w:pPr>
              <w:spacing w:before="60" w:after="60"/>
              <w:ind w:left="113"/>
            </w:pPr>
            <w:r>
              <w:rPr>
                <w:b w:val="0"/>
                <w:color w:val="5E5A52"/>
                <w:sz w:val="19"/>
              </w:rPr>
              <w:t>DAU uplift 25%</w:t>
            </w:r>
          </w:p>
        </w:tc>
      </w:tr>
      <w:tr>
        <w:tc>
          <w:tcPr>
            <w:tcW w:type="dxa" w:w="3135"/>
            <w:vAlign w:val="center"/>
            <w:tcW w:w="1620000" w:type="dxa"/>
            <w:shd w:val="clear" w:color="auto" w:fill="F8F7F4"/>
          </w:tcPr>
          <w:p>
            <w:pPr>
              <w:spacing w:before="60" w:after="60"/>
              <w:ind w:left="113"/>
            </w:pPr>
            <w:r>
              <w:rPr>
                <w:b w:val="0"/>
                <w:color w:val="1A1917"/>
                <w:sz w:val="19"/>
              </w:rPr>
              <w:t>Mobile app (iOS + Android)</w:t>
            </w:r>
          </w:p>
        </w:tc>
        <w:tc>
          <w:tcPr>
            <w:tcW w:type="dxa" w:w="3135"/>
            <w:vAlign w:val="center"/>
            <w:tcW w:w="2880000" w:type="dxa"/>
            <w:shd w:val="clear" w:color="auto" w:fill="F8F7F4"/>
          </w:tcPr>
          <w:p>
            <w:pPr>
              <w:spacing w:before="60" w:after="60"/>
              <w:ind w:left="113"/>
            </w:pPr>
            <w:r>
              <w:rPr>
                <w:b w:val="0"/>
                <w:color w:val="5E5A52"/>
                <w:sz w:val="19"/>
              </w:rPr>
              <w:t>React Native / Expo wrapping core web features</w:t>
            </w:r>
          </w:p>
        </w:tc>
        <w:tc>
          <w:tcPr>
            <w:tcW w:type="dxa" w:w="3135"/>
            <w:vAlign w:val="center"/>
            <w:tcW w:w="1620000" w:type="dxa"/>
            <w:shd w:val="clear" w:color="auto" w:fill="F8F7F4"/>
          </w:tcPr>
          <w:p>
            <w:pPr>
              <w:spacing w:before="60" w:after="60"/>
              <w:ind w:left="113"/>
            </w:pPr>
            <w:r>
              <w:rPr>
                <w:b w:val="0"/>
                <w:color w:val="5E5A52"/>
                <w:sz w:val="19"/>
              </w:rPr>
              <w:t>1,000 downloads Month 9</w:t>
            </w:r>
          </w:p>
        </w:tc>
      </w:tr>
      <w:tr>
        <w:tc>
          <w:tcPr>
            <w:tcW w:type="dxa" w:w="3135"/>
            <w:vAlign w:val="center"/>
            <w:tcW w:w="1620000" w:type="dxa"/>
          </w:tcPr>
          <w:p>
            <w:pPr>
              <w:spacing w:before="60" w:after="60"/>
              <w:ind w:left="113"/>
            </w:pPr>
            <w:r>
              <w:rPr>
                <w:b w:val="0"/>
                <w:color w:val="1A1917"/>
                <w:sz w:val="19"/>
              </w:rPr>
              <w:t>Shared ownership calculator</w:t>
            </w:r>
          </w:p>
        </w:tc>
        <w:tc>
          <w:tcPr>
            <w:tcW w:type="dxa" w:w="3135"/>
            <w:vAlign w:val="center"/>
            <w:tcW w:w="2880000" w:type="dxa"/>
          </w:tcPr>
          <w:p>
            <w:pPr>
              <w:spacing w:before="60" w:after="60"/>
              <w:ind w:left="113"/>
            </w:pPr>
            <w:r>
              <w:rPr>
                <w:b w:val="0"/>
                <w:color w:val="5E5A52"/>
                <w:sz w:val="19"/>
              </w:rPr>
              <w:t>Staircase cost and timeline modelling</w:t>
            </w:r>
          </w:p>
        </w:tc>
        <w:tc>
          <w:tcPr>
            <w:tcW w:type="dxa" w:w="3135"/>
            <w:vAlign w:val="center"/>
            <w:tcW w:w="1620000" w:type="dxa"/>
          </w:tcPr>
          <w:p>
            <w:pPr>
              <w:spacing w:before="60" w:after="60"/>
              <w:ind w:left="113"/>
            </w:pPr>
            <w:r>
              <w:rPr>
                <w:b w:val="0"/>
                <w:color w:val="5E5A52"/>
                <w:sz w:val="19"/>
              </w:rPr>
              <w:t>Feature parity with web</w:t>
            </w:r>
          </w:p>
        </w:tc>
      </w:tr>
    </w:tbl>
    <w:p/>
    <w:p>
      <w:pPr>
        <w:pStyle w:val="Heading2"/>
        <w:spacing w:before="240" w:after="80"/>
      </w:pPr>
      <w:r>
        <w:rPr>
          <w:color w:val="1A1917"/>
          <w:sz w:val="26"/>
        </w:rPr>
        <w:t>Horizon 3 — Months 10–18: Scale &amp; Platform</w:t>
      </w:r>
    </w:p>
    <w:tbl>
      <w:tblPr>
        <w:tblStyle w:val="TableGrid"/>
        <w:tblW w:type="auto" w:w="0"/>
        <w:tblLook w:firstColumn="1" w:firstRow="1" w:lastColumn="0" w:lastRow="0" w:noHBand="0" w:noVBand="1" w:val="04A0"/>
      </w:tblPr>
      <w:tblGrid>
        <w:gridCol w:w="3135"/>
        <w:gridCol w:w="3135"/>
        <w:gridCol w:w="3135"/>
      </w:tblGrid>
      <w:tr>
        <w:tc>
          <w:tcPr>
            <w:tcW w:type="dxa" w:w="3135"/>
            <w:vAlign w:val="center"/>
            <w:tcW w:w="1620000" w:type="dxa"/>
            <w:shd w:val="clear" w:color="auto" w:fill="1D9E75"/>
          </w:tcPr>
          <w:p>
            <w:pPr>
              <w:spacing w:before="60" w:after="60"/>
              <w:ind w:left="113"/>
            </w:pPr>
            <w:r>
              <w:rPr>
                <w:b/>
                <w:color w:val="FFFFFF"/>
                <w:sz w:val="19"/>
              </w:rPr>
              <w:t>Feature</w:t>
            </w:r>
          </w:p>
        </w:tc>
        <w:tc>
          <w:tcPr>
            <w:tcW w:type="dxa" w:w="3135"/>
            <w:vAlign w:val="center"/>
            <w:tcW w:w="2880000" w:type="dxa"/>
            <w:shd w:val="clear" w:color="auto" w:fill="1D9E75"/>
          </w:tcPr>
          <w:p>
            <w:pPr>
              <w:spacing w:before="60" w:after="60"/>
              <w:ind w:left="113"/>
            </w:pPr>
            <w:r>
              <w:rPr>
                <w:b/>
                <w:color w:val="FFFFFF"/>
                <w:sz w:val="19"/>
              </w:rPr>
              <w:t>Description</w:t>
            </w:r>
          </w:p>
        </w:tc>
        <w:tc>
          <w:tcPr>
            <w:tcW w:type="dxa" w:w="3135"/>
            <w:vAlign w:val="center"/>
            <w:tcW w:w="1620000" w:type="dxa"/>
            <w:shd w:val="clear" w:color="auto" w:fill="1D9E75"/>
          </w:tcPr>
          <w:p>
            <w:pPr>
              <w:spacing w:before="60" w:after="60"/>
              <w:ind w:left="113"/>
            </w:pPr>
            <w:r>
              <w:rPr>
                <w:b/>
                <w:color w:val="FFFFFF"/>
                <w:sz w:val="19"/>
              </w:rPr>
              <w:t>Success metric</w:t>
            </w:r>
          </w:p>
        </w:tc>
      </w:tr>
      <w:tr>
        <w:tc>
          <w:tcPr>
            <w:tcW w:type="dxa" w:w="3135"/>
            <w:vAlign w:val="center"/>
            <w:tcW w:w="1620000" w:type="dxa"/>
          </w:tcPr>
          <w:p>
            <w:pPr>
              <w:spacing w:before="60" w:after="60"/>
              <w:ind w:left="113"/>
            </w:pPr>
            <w:r>
              <w:rPr>
                <w:b w:val="0"/>
                <w:color w:val="1A1917"/>
                <w:sz w:val="19"/>
              </w:rPr>
              <w:t>Estate agent API</w:t>
            </w:r>
          </w:p>
        </w:tc>
        <w:tc>
          <w:tcPr>
            <w:tcW w:type="dxa" w:w="3135"/>
            <w:vAlign w:val="center"/>
            <w:tcW w:w="2880000" w:type="dxa"/>
          </w:tcPr>
          <w:p>
            <w:pPr>
              <w:spacing w:before="60" w:after="60"/>
              <w:ind w:left="113"/>
            </w:pPr>
            <w:r>
              <w:rPr>
                <w:b w:val="0"/>
                <w:color w:val="5E5A52"/>
                <w:sz w:val="19"/>
              </w:rPr>
              <w:t>White-label reports embedded in agent listings</w:t>
            </w:r>
          </w:p>
        </w:tc>
        <w:tc>
          <w:tcPr>
            <w:tcW w:type="dxa" w:w="3135"/>
            <w:vAlign w:val="center"/>
            <w:tcW w:w="1620000" w:type="dxa"/>
          </w:tcPr>
          <w:p>
            <w:pPr>
              <w:spacing w:before="60" w:after="60"/>
              <w:ind w:left="113"/>
            </w:pPr>
            <w:r>
              <w:rPr>
                <w:b w:val="0"/>
                <w:color w:val="5E5A52"/>
                <w:sz w:val="19"/>
              </w:rPr>
              <w:t>10 agent partners live</w:t>
            </w:r>
          </w:p>
        </w:tc>
      </w:tr>
      <w:tr>
        <w:tc>
          <w:tcPr>
            <w:tcW w:type="dxa" w:w="3135"/>
            <w:vAlign w:val="center"/>
            <w:tcW w:w="1620000" w:type="dxa"/>
            <w:shd w:val="clear" w:color="auto" w:fill="F8F7F4"/>
          </w:tcPr>
          <w:p>
            <w:pPr>
              <w:spacing w:before="60" w:after="60"/>
              <w:ind w:left="113"/>
            </w:pPr>
            <w:r>
              <w:rPr>
                <w:b w:val="0"/>
                <w:color w:val="1A1917"/>
                <w:sz w:val="19"/>
              </w:rPr>
              <w:t>Landlord suite</w:t>
            </w:r>
          </w:p>
        </w:tc>
        <w:tc>
          <w:tcPr>
            <w:tcW w:type="dxa" w:w="3135"/>
            <w:vAlign w:val="center"/>
            <w:tcW w:w="2880000" w:type="dxa"/>
            <w:shd w:val="clear" w:color="auto" w:fill="F8F7F4"/>
          </w:tcPr>
          <w:p>
            <w:pPr>
              <w:spacing w:before="60" w:after="60"/>
              <w:ind w:left="113"/>
            </w:pPr>
            <w:r>
              <w:rPr>
                <w:b w:val="0"/>
                <w:color w:val="5E5A52"/>
                <w:sz w:val="19"/>
              </w:rPr>
              <w:t>Multi-property dashboard, compliance tracking, tenant mgmt</w:t>
            </w:r>
          </w:p>
        </w:tc>
        <w:tc>
          <w:tcPr>
            <w:tcW w:type="dxa" w:w="3135"/>
            <w:vAlign w:val="center"/>
            <w:tcW w:w="1620000" w:type="dxa"/>
            <w:shd w:val="clear" w:color="auto" w:fill="F8F7F4"/>
          </w:tcPr>
          <w:p>
            <w:pPr>
              <w:spacing w:before="60" w:after="60"/>
              <w:ind w:left="113"/>
            </w:pPr>
            <w:r>
              <w:rPr>
                <w:b w:val="0"/>
                <w:color w:val="5E5A52"/>
                <w:sz w:val="19"/>
              </w:rPr>
              <w:t>500 landlord accounts</w:t>
            </w:r>
          </w:p>
        </w:tc>
      </w:tr>
      <w:tr>
        <w:tc>
          <w:tcPr>
            <w:tcW w:type="dxa" w:w="3135"/>
            <w:vAlign w:val="center"/>
            <w:tcW w:w="1620000" w:type="dxa"/>
          </w:tcPr>
          <w:p>
            <w:pPr>
              <w:spacing w:before="60" w:after="60"/>
              <w:ind w:left="113"/>
            </w:pPr>
            <w:r>
              <w:rPr>
                <w:b w:val="0"/>
                <w:color w:val="1A1917"/>
                <w:sz w:val="19"/>
              </w:rPr>
              <w:t>Conveyancing tracker</w:t>
            </w:r>
          </w:p>
        </w:tc>
        <w:tc>
          <w:tcPr>
            <w:tcW w:type="dxa" w:w="3135"/>
            <w:vAlign w:val="center"/>
            <w:tcW w:w="2880000" w:type="dxa"/>
          </w:tcPr>
          <w:p>
            <w:pPr>
              <w:spacing w:before="60" w:after="60"/>
              <w:ind w:left="113"/>
            </w:pPr>
            <w:r>
              <w:rPr>
                <w:b w:val="0"/>
                <w:color w:val="5E5A52"/>
                <w:sz w:val="19"/>
              </w:rPr>
              <w:t>Milestone tracking: offer → exchange → completion</w:t>
            </w:r>
          </w:p>
        </w:tc>
        <w:tc>
          <w:tcPr>
            <w:tcW w:type="dxa" w:w="3135"/>
            <w:vAlign w:val="center"/>
            <w:tcW w:w="1620000" w:type="dxa"/>
          </w:tcPr>
          <w:p>
            <w:pPr>
              <w:spacing w:before="60" w:after="60"/>
              <w:ind w:left="113"/>
            </w:pPr>
            <w:r>
              <w:rPr>
                <w:b w:val="0"/>
                <w:color w:val="5E5A52"/>
                <w:sz w:val="19"/>
              </w:rPr>
              <w:t>First solicitor integration</w:t>
            </w:r>
          </w:p>
        </w:tc>
      </w:tr>
      <w:tr>
        <w:tc>
          <w:tcPr>
            <w:tcW w:type="dxa" w:w="3135"/>
            <w:vAlign w:val="center"/>
            <w:tcW w:w="1620000" w:type="dxa"/>
            <w:shd w:val="clear" w:color="auto" w:fill="F8F7F4"/>
          </w:tcPr>
          <w:p>
            <w:pPr>
              <w:spacing w:before="60" w:after="60"/>
              <w:ind w:left="113"/>
            </w:pPr>
            <w:r>
              <w:rPr>
                <w:b w:val="0"/>
                <w:color w:val="1A1917"/>
                <w:sz w:val="19"/>
              </w:rPr>
              <w:t>Insurance marketplace</w:t>
            </w:r>
          </w:p>
        </w:tc>
        <w:tc>
          <w:tcPr>
            <w:tcW w:type="dxa" w:w="3135"/>
            <w:vAlign w:val="center"/>
            <w:tcW w:w="2880000" w:type="dxa"/>
            <w:shd w:val="clear" w:color="auto" w:fill="F8F7F4"/>
          </w:tcPr>
          <w:p>
            <w:pPr>
              <w:spacing w:before="60" w:after="60"/>
              <w:ind w:left="113"/>
            </w:pPr>
            <w:r>
              <w:rPr>
                <w:b w:val="0"/>
                <w:color w:val="5E5A52"/>
                <w:sz w:val="19"/>
              </w:rPr>
              <w:t>Buildings/contents comparison + renewal reminders</w:t>
            </w:r>
          </w:p>
        </w:tc>
        <w:tc>
          <w:tcPr>
            <w:tcW w:type="dxa" w:w="3135"/>
            <w:vAlign w:val="center"/>
            <w:tcW w:w="1620000" w:type="dxa"/>
            <w:shd w:val="clear" w:color="auto" w:fill="F8F7F4"/>
          </w:tcPr>
          <w:p>
            <w:pPr>
              <w:spacing w:before="60" w:after="60"/>
              <w:ind w:left="113"/>
            </w:pPr>
            <w:r>
              <w:rPr>
                <w:b w:val="0"/>
                <w:color w:val="5E5A52"/>
                <w:sz w:val="19"/>
              </w:rPr>
              <w:t>First insurer partner</w:t>
            </w:r>
          </w:p>
        </w:tc>
      </w:tr>
      <w:tr>
        <w:tc>
          <w:tcPr>
            <w:tcW w:type="dxa" w:w="3135"/>
            <w:vAlign w:val="center"/>
            <w:tcW w:w="1620000" w:type="dxa"/>
          </w:tcPr>
          <w:p>
            <w:pPr>
              <w:spacing w:before="60" w:after="60"/>
              <w:ind w:left="113"/>
            </w:pPr>
            <w:r>
              <w:rPr>
                <w:b w:val="0"/>
                <w:color w:val="1A1917"/>
                <w:sz w:val="19"/>
              </w:rPr>
              <w:t>PropPilot Score public API</w:t>
            </w:r>
          </w:p>
        </w:tc>
        <w:tc>
          <w:tcPr>
            <w:tcW w:type="dxa" w:w="3135"/>
            <w:vAlign w:val="center"/>
            <w:tcW w:w="2880000" w:type="dxa"/>
          </w:tcPr>
          <w:p>
            <w:pPr>
              <w:spacing w:before="60" w:after="60"/>
              <w:ind w:left="113"/>
            </w:pPr>
            <w:r>
              <w:rPr>
                <w:b w:val="0"/>
                <w:color w:val="5E5A52"/>
                <w:sz w:val="19"/>
              </w:rPr>
              <w:t>B2B risk score API for lenders, developers, brokers</w:t>
            </w:r>
          </w:p>
        </w:tc>
        <w:tc>
          <w:tcPr>
            <w:tcW w:type="dxa" w:w="3135"/>
            <w:vAlign w:val="center"/>
            <w:tcW w:w="1620000" w:type="dxa"/>
          </w:tcPr>
          <w:p>
            <w:pPr>
              <w:spacing w:before="60" w:after="60"/>
              <w:ind w:left="113"/>
            </w:pPr>
            <w:r>
              <w:rPr>
                <w:b w:val="0"/>
                <w:color w:val="5E5A52"/>
                <w:sz w:val="19"/>
              </w:rPr>
              <w:t>First API revenue</w:t>
            </w:r>
          </w:p>
        </w:tc>
      </w:tr>
    </w:tbl>
    <w:p/>
    <w:p>
      <w:pPr>
        <w:spacing w:before="160" w:after="160"/>
        <w:pBdr>
          <w:bottom w:val="single" w:sz="4" w:space="1" w:color="D1CEC8"/>
        </w:pBdr>
      </w:pPr>
    </w:p>
    <w:p>
      <w:r>
        <w:br w:type="page"/>
      </w:r>
    </w:p>
    <w:p>
      <w:pPr>
        <w:pStyle w:val="Heading1"/>
        <w:spacing w:before="400" w:after="120"/>
      </w:pPr>
      <w:r>
        <w:rPr>
          <w:color w:val="1D9E75"/>
          <w:sz w:val="32"/>
        </w:rPr>
        <w:t>11. Accelerator Participation and Partnership Validation</w:t>
      </w:r>
    </w:p>
    <w:p>
      <w:pPr>
        <w:pStyle w:val="Heading2"/>
        <w:spacing w:before="240" w:after="80"/>
      </w:pPr>
      <w:r>
        <w:rPr>
          <w:color w:val="1A1917"/>
          <w:sz w:val="26"/>
        </w:rPr>
        <w:t>Target Accelerator Programmes</w:t>
      </w:r>
    </w:p>
    <w:tbl>
      <w:tblPr>
        <w:tblStyle w:val="TableGrid"/>
        <w:tblW w:type="auto" w:w="0"/>
        <w:tblLook w:firstColumn="1" w:firstRow="1" w:lastColumn="0" w:lastRow="0" w:noHBand="0" w:noVBand="1" w:val="04A0"/>
      </w:tblPr>
      <w:tblGrid>
        <w:gridCol w:w="2351"/>
        <w:gridCol w:w="2351"/>
        <w:gridCol w:w="2351"/>
        <w:gridCol w:w="2351"/>
      </w:tblGrid>
      <w:tr>
        <w:tc>
          <w:tcPr>
            <w:tcW w:type="dxa" w:w="2351"/>
            <w:vAlign w:val="center"/>
            <w:tcW w:w="1620000" w:type="dxa"/>
            <w:shd w:val="clear" w:color="auto" w:fill="1D9E75"/>
          </w:tcPr>
          <w:p>
            <w:pPr>
              <w:spacing w:before="60" w:after="60"/>
              <w:ind w:left="113"/>
            </w:pPr>
            <w:r>
              <w:rPr>
                <w:b/>
                <w:color w:val="FFFFFF"/>
                <w:sz w:val="19"/>
              </w:rPr>
              <w:t>Programme</w:t>
            </w:r>
          </w:p>
        </w:tc>
        <w:tc>
          <w:tcPr>
            <w:tcW w:type="dxa" w:w="2351"/>
            <w:vAlign w:val="center"/>
            <w:tcW w:w="1080000" w:type="dxa"/>
            <w:shd w:val="clear" w:color="auto" w:fill="1D9E75"/>
          </w:tcPr>
          <w:p>
            <w:pPr>
              <w:spacing w:before="60" w:after="60"/>
              <w:ind w:left="113"/>
            </w:pPr>
            <w:r>
              <w:rPr>
                <w:b/>
                <w:color w:val="FFFFFF"/>
                <w:sz w:val="19"/>
              </w:rPr>
              <w:t>Focus</w:t>
            </w:r>
          </w:p>
        </w:tc>
        <w:tc>
          <w:tcPr>
            <w:tcW w:type="dxa" w:w="2351"/>
            <w:vAlign w:val="center"/>
            <w:tcW w:w="1800000" w:type="dxa"/>
            <w:shd w:val="clear" w:color="auto" w:fill="1D9E75"/>
          </w:tcPr>
          <w:p>
            <w:pPr>
              <w:spacing w:before="60" w:after="60"/>
              <w:ind w:left="113"/>
            </w:pPr>
            <w:r>
              <w:rPr>
                <w:b/>
                <w:color w:val="FFFFFF"/>
                <w:sz w:val="19"/>
              </w:rPr>
              <w:t>Relevance</w:t>
            </w:r>
          </w:p>
        </w:tc>
        <w:tc>
          <w:tcPr>
            <w:tcW w:type="dxa" w:w="2351"/>
            <w:vAlign w:val="center"/>
            <w:tcW w:w="1260000" w:type="dxa"/>
            <w:shd w:val="clear" w:color="auto" w:fill="1D9E75"/>
          </w:tcPr>
          <w:p>
            <w:pPr>
              <w:spacing w:before="60" w:after="60"/>
              <w:ind w:left="113"/>
            </w:pPr>
            <w:r>
              <w:rPr>
                <w:b/>
                <w:color w:val="FFFFFF"/>
                <w:sz w:val="19"/>
              </w:rPr>
              <w:t>Timeline</w:t>
            </w:r>
          </w:p>
        </w:tc>
      </w:tr>
      <w:tr>
        <w:tc>
          <w:tcPr>
            <w:tcW w:type="dxa" w:w="2351"/>
            <w:vAlign w:val="center"/>
            <w:tcW w:w="1620000" w:type="dxa"/>
          </w:tcPr>
          <w:p>
            <w:pPr>
              <w:spacing w:before="60" w:after="60"/>
              <w:ind w:left="113"/>
            </w:pPr>
            <w:r>
              <w:rPr>
                <w:b w:val="0"/>
                <w:color w:val="1A1917"/>
                <w:sz w:val="19"/>
              </w:rPr>
              <w:t>Innovate UK Smart Grant</w:t>
            </w:r>
          </w:p>
        </w:tc>
        <w:tc>
          <w:tcPr>
            <w:tcW w:type="dxa" w:w="2351"/>
            <w:vAlign w:val="center"/>
            <w:tcW w:w="1080000" w:type="dxa"/>
          </w:tcPr>
          <w:p>
            <w:pPr>
              <w:spacing w:before="60" w:after="60"/>
              <w:ind w:left="113"/>
            </w:pPr>
            <w:r>
              <w:rPr>
                <w:b w:val="0"/>
                <w:color w:val="5E5A52"/>
                <w:sz w:val="19"/>
              </w:rPr>
              <w:t>Deep tech / data</w:t>
            </w:r>
          </w:p>
        </w:tc>
        <w:tc>
          <w:tcPr>
            <w:tcW w:type="dxa" w:w="2351"/>
            <w:vAlign w:val="center"/>
            <w:tcW w:w="1800000" w:type="dxa"/>
          </w:tcPr>
          <w:p>
            <w:pPr>
              <w:spacing w:before="60" w:after="60"/>
              <w:ind w:left="113"/>
            </w:pPr>
            <w:r>
              <w:rPr>
                <w:b w:val="0"/>
                <w:color w:val="5E5A52"/>
                <w:sz w:val="19"/>
              </w:rPr>
              <w:t>API innovation, open data utilisation</w:t>
            </w:r>
          </w:p>
        </w:tc>
        <w:tc>
          <w:tcPr>
            <w:tcW w:type="dxa" w:w="2351"/>
            <w:vAlign w:val="center"/>
            <w:tcW w:w="1260000" w:type="dxa"/>
          </w:tcPr>
          <w:p>
            <w:pPr>
              <w:spacing w:before="60" w:after="60"/>
              <w:ind w:left="113"/>
            </w:pPr>
            <w:r>
              <w:rPr>
                <w:b w:val="0"/>
                <w:color w:val="5E5A52"/>
                <w:sz w:val="19"/>
              </w:rPr>
              <w:t>Q3 2026 application</w:t>
            </w:r>
          </w:p>
        </w:tc>
      </w:tr>
      <w:tr>
        <w:tc>
          <w:tcPr>
            <w:tcW w:type="dxa" w:w="2351"/>
            <w:vAlign w:val="center"/>
            <w:tcW w:w="1620000" w:type="dxa"/>
            <w:shd w:val="clear" w:color="auto" w:fill="F8F7F4"/>
          </w:tcPr>
          <w:p>
            <w:pPr>
              <w:spacing w:before="60" w:after="60"/>
              <w:ind w:left="113"/>
            </w:pPr>
            <w:r>
              <w:rPr>
                <w:b w:val="0"/>
                <w:color w:val="1A1917"/>
                <w:sz w:val="19"/>
              </w:rPr>
              <w:t>Founders Factory (London)</w:t>
            </w:r>
          </w:p>
        </w:tc>
        <w:tc>
          <w:tcPr>
            <w:tcW w:type="dxa" w:w="2351"/>
            <w:vAlign w:val="center"/>
            <w:tcW w:w="1080000" w:type="dxa"/>
            <w:shd w:val="clear" w:color="auto" w:fill="F8F7F4"/>
          </w:tcPr>
          <w:p>
            <w:pPr>
              <w:spacing w:before="60" w:after="60"/>
              <w:ind w:left="113"/>
            </w:pPr>
            <w:r>
              <w:rPr>
                <w:b w:val="0"/>
                <w:color w:val="5E5A52"/>
                <w:sz w:val="19"/>
              </w:rPr>
              <w:t>Proptech / fintech</w:t>
            </w:r>
          </w:p>
        </w:tc>
        <w:tc>
          <w:tcPr>
            <w:tcW w:type="dxa" w:w="2351"/>
            <w:vAlign w:val="center"/>
            <w:tcW w:w="1800000" w:type="dxa"/>
            <w:shd w:val="clear" w:color="auto" w:fill="F8F7F4"/>
          </w:tcPr>
          <w:p>
            <w:pPr>
              <w:spacing w:before="60" w:after="60"/>
              <w:ind w:left="113"/>
            </w:pPr>
            <w:r>
              <w:rPr>
                <w:b w:val="0"/>
                <w:color w:val="5E5A52"/>
                <w:sz w:val="19"/>
              </w:rPr>
              <w:t>Sector-specific, studio model</w:t>
            </w:r>
          </w:p>
        </w:tc>
        <w:tc>
          <w:tcPr>
            <w:tcW w:type="dxa" w:w="2351"/>
            <w:vAlign w:val="center"/>
            <w:tcW w:w="1260000" w:type="dxa"/>
            <w:shd w:val="clear" w:color="auto" w:fill="F8F7F4"/>
          </w:tcPr>
          <w:p>
            <w:pPr>
              <w:spacing w:before="60" w:after="60"/>
              <w:ind w:left="113"/>
            </w:pPr>
            <w:r>
              <w:rPr>
                <w:b w:val="0"/>
                <w:color w:val="5E5A52"/>
                <w:sz w:val="19"/>
              </w:rPr>
              <w:t>Q4 2026 cohort</w:t>
            </w:r>
          </w:p>
        </w:tc>
      </w:tr>
      <w:tr>
        <w:tc>
          <w:tcPr>
            <w:tcW w:type="dxa" w:w="2351"/>
            <w:vAlign w:val="center"/>
            <w:tcW w:w="1620000" w:type="dxa"/>
          </w:tcPr>
          <w:p>
            <w:pPr>
              <w:spacing w:before="60" w:after="60"/>
              <w:ind w:left="113"/>
            </w:pPr>
            <w:r>
              <w:rPr>
                <w:b w:val="0"/>
                <w:color w:val="1A1917"/>
                <w:sz w:val="19"/>
              </w:rPr>
              <w:t>Techstars London</w:t>
            </w:r>
          </w:p>
        </w:tc>
        <w:tc>
          <w:tcPr>
            <w:tcW w:type="dxa" w:w="2351"/>
            <w:vAlign w:val="center"/>
            <w:tcW w:w="1080000" w:type="dxa"/>
          </w:tcPr>
          <w:p>
            <w:pPr>
              <w:spacing w:before="60" w:after="60"/>
              <w:ind w:left="113"/>
            </w:pPr>
            <w:r>
              <w:rPr>
                <w:b w:val="0"/>
                <w:color w:val="5E5A52"/>
                <w:sz w:val="19"/>
              </w:rPr>
              <w:t>B2C SaaS</w:t>
            </w:r>
          </w:p>
        </w:tc>
        <w:tc>
          <w:tcPr>
            <w:tcW w:type="dxa" w:w="2351"/>
            <w:vAlign w:val="center"/>
            <w:tcW w:w="1800000" w:type="dxa"/>
          </w:tcPr>
          <w:p>
            <w:pPr>
              <w:spacing w:before="60" w:after="60"/>
              <w:ind w:left="113"/>
            </w:pPr>
            <w:r>
              <w:rPr>
                <w:b w:val="0"/>
                <w:color w:val="5E5A52"/>
                <w:sz w:val="19"/>
              </w:rPr>
              <w:t>Go-to-market, investor network</w:t>
            </w:r>
          </w:p>
        </w:tc>
        <w:tc>
          <w:tcPr>
            <w:tcW w:type="dxa" w:w="2351"/>
            <w:vAlign w:val="center"/>
            <w:tcW w:w="1260000" w:type="dxa"/>
          </w:tcPr>
          <w:p>
            <w:pPr>
              <w:spacing w:before="60" w:after="60"/>
              <w:ind w:left="113"/>
            </w:pPr>
            <w:r>
              <w:rPr>
                <w:b w:val="0"/>
                <w:color w:val="5E5A52"/>
                <w:sz w:val="19"/>
              </w:rPr>
              <w:t>Q1 2027 cohort</w:t>
            </w:r>
          </w:p>
        </w:tc>
      </w:tr>
      <w:tr>
        <w:tc>
          <w:tcPr>
            <w:tcW w:type="dxa" w:w="2351"/>
            <w:vAlign w:val="center"/>
            <w:tcW w:w="1620000" w:type="dxa"/>
            <w:shd w:val="clear" w:color="auto" w:fill="F8F7F4"/>
          </w:tcPr>
          <w:p>
            <w:pPr>
              <w:spacing w:before="60" w:after="60"/>
              <w:ind w:left="113"/>
            </w:pPr>
            <w:r>
              <w:rPr>
                <w:b w:val="0"/>
                <w:color w:val="1A1917"/>
                <w:sz w:val="19"/>
              </w:rPr>
              <w:t>UKRI Future Economy Programme</w:t>
            </w:r>
          </w:p>
        </w:tc>
        <w:tc>
          <w:tcPr>
            <w:tcW w:type="dxa" w:w="2351"/>
            <w:vAlign w:val="center"/>
            <w:tcW w:w="1080000" w:type="dxa"/>
            <w:shd w:val="clear" w:color="auto" w:fill="F8F7F4"/>
          </w:tcPr>
          <w:p>
            <w:pPr>
              <w:spacing w:before="60" w:after="60"/>
              <w:ind w:left="113"/>
            </w:pPr>
            <w:r>
              <w:rPr>
                <w:b w:val="0"/>
                <w:color w:val="5E5A52"/>
                <w:sz w:val="19"/>
              </w:rPr>
              <w:t>Data / AI</w:t>
            </w:r>
          </w:p>
        </w:tc>
        <w:tc>
          <w:tcPr>
            <w:tcW w:type="dxa" w:w="2351"/>
            <w:vAlign w:val="center"/>
            <w:tcW w:w="1800000" w:type="dxa"/>
            <w:shd w:val="clear" w:color="auto" w:fill="F8F7F4"/>
          </w:tcPr>
          <w:p>
            <w:pPr>
              <w:spacing w:before="60" w:after="60"/>
              <w:ind w:left="113"/>
            </w:pPr>
            <w:r>
              <w:rPr>
                <w:b w:val="0"/>
                <w:color w:val="5E5A52"/>
                <w:sz w:val="19"/>
              </w:rPr>
              <w:t>R&amp;D tax credits, grant co-funding</w:t>
            </w:r>
          </w:p>
        </w:tc>
        <w:tc>
          <w:tcPr>
            <w:tcW w:type="dxa" w:w="2351"/>
            <w:vAlign w:val="center"/>
            <w:tcW w:w="1260000" w:type="dxa"/>
            <w:shd w:val="clear" w:color="auto" w:fill="F8F7F4"/>
          </w:tcPr>
          <w:p>
            <w:pPr>
              <w:spacing w:before="60" w:after="60"/>
              <w:ind w:left="113"/>
            </w:pPr>
            <w:r>
              <w:rPr>
                <w:b w:val="0"/>
                <w:color w:val="5E5A52"/>
                <w:sz w:val="19"/>
              </w:rPr>
              <w:t>Ongoing</w:t>
            </w:r>
          </w:p>
        </w:tc>
      </w:tr>
      <w:tr>
        <w:tc>
          <w:tcPr>
            <w:tcW w:type="dxa" w:w="2351"/>
            <w:vAlign w:val="center"/>
            <w:tcW w:w="1620000" w:type="dxa"/>
          </w:tcPr>
          <w:p>
            <w:pPr>
              <w:spacing w:before="60" w:after="60"/>
              <w:ind w:left="113"/>
            </w:pPr>
            <w:r>
              <w:rPr>
                <w:b w:val="0"/>
                <w:color w:val="1A1917"/>
                <w:sz w:val="19"/>
              </w:rPr>
              <w:t>Geovation (Ordnance Survey)</w:t>
            </w:r>
          </w:p>
        </w:tc>
        <w:tc>
          <w:tcPr>
            <w:tcW w:type="dxa" w:w="2351"/>
            <w:vAlign w:val="center"/>
            <w:tcW w:w="1080000" w:type="dxa"/>
          </w:tcPr>
          <w:p>
            <w:pPr>
              <w:spacing w:before="60" w:after="60"/>
              <w:ind w:left="113"/>
            </w:pPr>
            <w:r>
              <w:rPr>
                <w:b w:val="0"/>
                <w:color w:val="5E5A52"/>
                <w:sz w:val="19"/>
              </w:rPr>
              <w:t>Location data</w:t>
            </w:r>
          </w:p>
        </w:tc>
        <w:tc>
          <w:tcPr>
            <w:tcW w:type="dxa" w:w="2351"/>
            <w:vAlign w:val="center"/>
            <w:tcW w:w="1800000" w:type="dxa"/>
          </w:tcPr>
          <w:p>
            <w:pPr>
              <w:spacing w:before="60" w:after="60"/>
              <w:ind w:left="113"/>
            </w:pPr>
            <w:r>
              <w:rPr>
                <w:b w:val="0"/>
                <w:color w:val="5E5A52"/>
                <w:sz w:val="19"/>
              </w:rPr>
              <w:t>OS data partnership, geospatial API access</w:t>
            </w:r>
          </w:p>
        </w:tc>
        <w:tc>
          <w:tcPr>
            <w:tcW w:type="dxa" w:w="2351"/>
            <w:vAlign w:val="center"/>
            <w:tcW w:w="1260000" w:type="dxa"/>
          </w:tcPr>
          <w:p>
            <w:pPr>
              <w:spacing w:before="60" w:after="60"/>
              <w:ind w:left="113"/>
            </w:pPr>
            <w:r>
              <w:rPr>
                <w:b w:val="0"/>
                <w:color w:val="5E5A52"/>
                <w:sz w:val="19"/>
              </w:rPr>
              <w:t>Q3 2026</w:t>
            </w:r>
          </w:p>
        </w:tc>
      </w:tr>
      <w:tr>
        <w:tc>
          <w:tcPr>
            <w:tcW w:type="dxa" w:w="2351"/>
            <w:vAlign w:val="center"/>
            <w:tcW w:w="1620000" w:type="dxa"/>
            <w:shd w:val="clear" w:color="auto" w:fill="F8F7F4"/>
          </w:tcPr>
          <w:p>
            <w:pPr>
              <w:spacing w:before="60" w:after="60"/>
              <w:ind w:left="113"/>
            </w:pPr>
            <w:r>
              <w:rPr>
                <w:b w:val="0"/>
                <w:color w:val="1A1917"/>
                <w:sz w:val="19"/>
              </w:rPr>
              <w:t>PiLabs (Proptech VC Accelerator)</w:t>
            </w:r>
          </w:p>
        </w:tc>
        <w:tc>
          <w:tcPr>
            <w:tcW w:type="dxa" w:w="2351"/>
            <w:vAlign w:val="center"/>
            <w:tcW w:w="1080000" w:type="dxa"/>
            <w:shd w:val="clear" w:color="auto" w:fill="F8F7F4"/>
          </w:tcPr>
          <w:p>
            <w:pPr>
              <w:spacing w:before="60" w:after="60"/>
              <w:ind w:left="113"/>
            </w:pPr>
            <w:r>
              <w:rPr>
                <w:b w:val="0"/>
                <w:color w:val="5E5A52"/>
                <w:sz w:val="19"/>
              </w:rPr>
              <w:t>Proptech</w:t>
            </w:r>
          </w:p>
        </w:tc>
        <w:tc>
          <w:tcPr>
            <w:tcW w:type="dxa" w:w="2351"/>
            <w:vAlign w:val="center"/>
            <w:tcW w:w="1800000" w:type="dxa"/>
            <w:shd w:val="clear" w:color="auto" w:fill="F8F7F4"/>
          </w:tcPr>
          <w:p>
            <w:pPr>
              <w:spacing w:before="60" w:after="60"/>
              <w:ind w:left="113"/>
            </w:pPr>
            <w:r>
              <w:rPr>
                <w:b w:val="0"/>
                <w:color w:val="5E5A52"/>
                <w:sz w:val="19"/>
              </w:rPr>
              <w:t>Sector investors, industry validation</w:t>
            </w:r>
          </w:p>
        </w:tc>
        <w:tc>
          <w:tcPr>
            <w:tcW w:type="dxa" w:w="2351"/>
            <w:vAlign w:val="center"/>
            <w:tcW w:w="1260000" w:type="dxa"/>
            <w:shd w:val="clear" w:color="auto" w:fill="F8F7F4"/>
          </w:tcPr>
          <w:p>
            <w:pPr>
              <w:spacing w:before="60" w:after="60"/>
              <w:ind w:left="113"/>
            </w:pPr>
            <w:r>
              <w:rPr>
                <w:b w:val="0"/>
                <w:color w:val="5E5A52"/>
                <w:sz w:val="19"/>
              </w:rPr>
              <w:t>Q1 2027</w:t>
            </w:r>
          </w:p>
        </w:tc>
      </w:tr>
    </w:tbl>
    <w:p/>
    <w:p>
      <w:pPr>
        <w:pStyle w:val="Heading2"/>
        <w:spacing w:before="240" w:after="80"/>
      </w:pPr>
      <w:r>
        <w:rPr>
          <w:color w:val="1A1917"/>
          <w:sz w:val="26"/>
        </w:rPr>
        <w:t>Partnership Strategy</w:t>
      </w:r>
    </w:p>
    <w:p>
      <w:pPr>
        <w:pStyle w:val="ListBullet"/>
        <w:spacing w:after="60"/>
        <w:ind w:left="283"/>
      </w:pPr>
      <w:r>
        <w:rPr>
          <w:color w:val="5E5A52"/>
          <w:sz w:val="21"/>
        </w:rPr>
        <w:t>Data partnerships: Postcodes.io (geocoding), Land Registry Open Data (price paid, title), OS Data Hub (address lookup).</w:t>
      </w:r>
    </w:p>
    <w:p>
      <w:pPr>
        <w:pStyle w:val="ListBullet"/>
        <w:spacing w:after="60"/>
        <w:ind w:left="283"/>
      </w:pPr>
      <w:r>
        <w:rPr>
          <w:color w:val="5E5A52"/>
          <w:sz w:val="21"/>
        </w:rPr>
        <w:t>Professional services network: Onboard vetted solicitors, RICS surveyors, Gas Safe engineers, NICEIC electricians in target markets (Manchester, London, Birmingham) in Horizon 1.</w:t>
      </w:r>
    </w:p>
    <w:p>
      <w:pPr>
        <w:pStyle w:val="ListBullet"/>
        <w:spacing w:after="60"/>
        <w:ind w:left="283"/>
      </w:pPr>
      <w:r>
        <w:rPr>
          <w:color w:val="5E5A52"/>
          <w:sz w:val="21"/>
        </w:rPr>
        <w:t>Estate agent BD: White-label property report API offered to independent agents and regional chains in exchange for lead referrals.</w:t>
      </w:r>
    </w:p>
    <w:p>
      <w:pPr>
        <w:pStyle w:val="ListBullet"/>
        <w:spacing w:after="60"/>
        <w:ind w:left="283"/>
      </w:pPr>
      <w:r>
        <w:rPr>
          <w:color w:val="5E5A52"/>
          <w:sz w:val="21"/>
        </w:rPr>
        <w:t>Mortgage broker integration: Partner with directly authorised broker firms to offer remortgage radar referrals.</w:t>
      </w:r>
    </w:p>
    <w:p>
      <w:pPr>
        <w:pStyle w:val="ListBullet"/>
        <w:spacing w:after="60"/>
        <w:ind w:left="283"/>
      </w:pPr>
      <w:r>
        <w:rPr>
          <w:color w:val="5E5A52"/>
          <w:sz w:val="21"/>
        </w:rPr>
        <w:t>Landlord associations: NRLA (National Residential Landlords Association) and RLA partnership for compliance tool promotion to their 100,000+ members.</w:t>
      </w:r>
    </w:p>
    <w:p>
      <w:pPr>
        <w:spacing w:before="160" w:after="160"/>
        <w:pBdr>
          <w:bottom w:val="single" w:sz="4" w:space="1" w:color="D1CEC8"/>
        </w:pBdr>
      </w:pPr>
    </w:p>
    <w:p>
      <w:pPr>
        <w:pStyle w:val="Heading1"/>
        <w:spacing w:before="400" w:after="120"/>
      </w:pPr>
      <w:r>
        <w:rPr>
          <w:color w:val="1D9E75"/>
          <w:sz w:val="32"/>
        </w:rPr>
        <w:t>12. User Journey</w:t>
      </w:r>
    </w:p>
    <w:p>
      <w:pPr>
        <w:pStyle w:val="Heading2"/>
        <w:spacing w:before="240" w:after="80"/>
      </w:pPr>
      <w:r>
        <w:rPr>
          <w:color w:val="1A1917"/>
          <w:sz w:val="26"/>
        </w:rPr>
        <w:t>HomeBuyer Journey</w:t>
      </w:r>
    </w:p>
    <w:p>
      <w:pPr>
        <w:pStyle w:val="ListNumber"/>
        <w:spacing w:after="60"/>
      </w:pPr>
      <w:r>
        <w:rPr>
          <w:color w:val="5E5A52"/>
          <w:sz w:val="21"/>
        </w:rPr>
        <w:t>Discovery:  User finds PropPilot via Google search ("flood risk check postcode" / "stamp duty calculator UK") or social media.</w:t>
      </w:r>
    </w:p>
    <w:p>
      <w:pPr>
        <w:pStyle w:val="ListNumber"/>
        <w:spacing w:after="60"/>
      </w:pPr>
      <w:r>
        <w:rPr>
          <w:color w:val="5E5A52"/>
          <w:sz w:val="21"/>
        </w:rPr>
        <w:t>Free tool use:  Runs a free property report or stamp duty calculation — no sign-up required.</w:t>
      </w:r>
    </w:p>
    <w:p>
      <w:pPr>
        <w:pStyle w:val="ListNumber"/>
        <w:spacing w:after="60"/>
      </w:pPr>
      <w:r>
        <w:rPr>
          <w:color w:val="5E5A52"/>
          <w:sz w:val="21"/>
        </w:rPr>
        <w:t>Sign-up prompt:  After consuming free report, user is nudged to sign up to save the report and run more checks.</w:t>
      </w:r>
    </w:p>
    <w:p>
      <w:pPr>
        <w:pStyle w:val="ListNumber"/>
        <w:spacing w:after="60"/>
      </w:pPr>
      <w:r>
        <w:rPr>
          <w:color w:val="5E5A52"/>
          <w:sz w:val="21"/>
        </w:rPr>
        <w:t>Role selection:  User selects "HomeBuyer" at sign-up — routed to /dashboard/buyer.</w:t>
      </w:r>
    </w:p>
    <w:p>
      <w:pPr>
        <w:pStyle w:val="ListNumber"/>
        <w:spacing w:after="60"/>
      </w:pPr>
      <w:r>
        <w:rPr>
          <w:color w:val="5E5A52"/>
          <w:sz w:val="21"/>
        </w:rPr>
        <w:t>Dashboard use:  User accesses buying checklists, runs more property reports, uses lease extension calculator.</w:t>
      </w:r>
    </w:p>
    <w:p>
      <w:pPr>
        <w:pStyle w:val="ListNumber"/>
        <w:spacing w:after="60"/>
      </w:pPr>
      <w:r>
        <w:rPr>
          <w:color w:val="5E5A52"/>
          <w:sz w:val="21"/>
        </w:rPr>
        <w:t>Upgrade trigger:  User hits the 3-report-per-month free limit, or wants PDF export / EPC lookup — upgrade nudge shown.</w:t>
      </w:r>
    </w:p>
    <w:p>
      <w:pPr>
        <w:pStyle w:val="ListNumber"/>
        <w:spacing w:after="60"/>
      </w:pPr>
      <w:r>
        <w:rPr>
          <w:color w:val="5E5A52"/>
          <w:sz w:val="21"/>
        </w:rPr>
        <w:t>Pro conversion:  User upgrades to Pro (£19/mo) — unlimited reports, PDF downloads, professional services unlocked.</w:t>
      </w:r>
    </w:p>
    <w:p>
      <w:pPr>
        <w:pStyle w:val="ListNumber"/>
        <w:spacing w:after="60"/>
      </w:pPr>
      <w:r>
        <w:rPr>
          <w:color w:val="5E5A52"/>
          <w:sz w:val="21"/>
        </w:rPr>
        <w:t>Service booking:  User books a structural survey or legal check through PropPilot marketplace — 10% discount applied.</w:t>
      </w:r>
    </w:p>
    <w:p>
      <w:pPr>
        <w:pStyle w:val="ListNumber"/>
        <w:spacing w:after="60"/>
      </w:pPr>
      <w:r>
        <w:rPr>
          <w:color w:val="5E5A52"/>
          <w:sz w:val="21"/>
        </w:rPr>
        <w:t>Post-purchase:  User completes purchase → prompted to switch to HomeOwner plan to track their new property.</w:t>
      </w:r>
    </w:p>
    <w:p>
      <w:pPr>
        <w:pStyle w:val="Heading2"/>
        <w:spacing w:before="240" w:after="80"/>
      </w:pPr>
      <w:r>
        <w:rPr>
          <w:color w:val="1A1917"/>
          <w:sz w:val="26"/>
        </w:rPr>
        <w:t>HomeOwner Journey</w:t>
      </w:r>
    </w:p>
    <w:p>
      <w:pPr>
        <w:pStyle w:val="ListNumber"/>
        <w:spacing w:after="60"/>
      </w:pPr>
      <w:r>
        <w:rPr>
          <w:color w:val="5E5A52"/>
          <w:sz w:val="21"/>
        </w:rPr>
        <w:t>Discovery:  User finds PropPilot via "EPC upgrade grants UK" / "remortgage reminder" / referral from buyer journey.</w:t>
      </w:r>
    </w:p>
    <w:p>
      <w:pPr>
        <w:pStyle w:val="ListNumber"/>
        <w:spacing w:after="60"/>
      </w:pPr>
      <w:r>
        <w:rPr>
          <w:color w:val="5E5A52"/>
          <w:sz w:val="21"/>
        </w:rPr>
        <w:t>Role selection:  User selects "HomeOwner" at sign-up → routed to /dashboard.</w:t>
      </w:r>
    </w:p>
    <w:p>
      <w:pPr>
        <w:pStyle w:val="ListNumber"/>
        <w:spacing w:after="60"/>
      </w:pPr>
      <w:r>
        <w:rPr>
          <w:color w:val="5E5A52"/>
          <w:sz w:val="21"/>
        </w:rPr>
        <w:t>Property setup:  User enters their property address, purchase price, mortgage rate, and fix-end date.</w:t>
      </w:r>
    </w:p>
    <w:p>
      <w:pPr>
        <w:pStyle w:val="ListNumber"/>
        <w:spacing w:after="60"/>
      </w:pPr>
      <w:r>
        <w:rPr>
          <w:color w:val="5E5A52"/>
          <w:sz w:val="21"/>
        </w:rPr>
        <w:t>Dashboard value:  Sees estimated home value, equity, EPC band, and mortgage status in one view.</w:t>
      </w:r>
    </w:p>
    <w:p>
      <w:pPr>
        <w:pStyle w:val="ListNumber"/>
        <w:spacing w:after="60"/>
      </w:pPr>
      <w:r>
        <w:rPr>
          <w:color w:val="5E5A52"/>
          <w:sz w:val="21"/>
        </w:rPr>
        <w:t>Alert activation:  Sets up remortgage radar alert for 6 months before fix-end date.</w:t>
      </w:r>
    </w:p>
    <w:p>
      <w:pPr>
        <w:pStyle w:val="ListNumber"/>
        <w:spacing w:after="60"/>
      </w:pPr>
      <w:r>
        <w:rPr>
          <w:color w:val="5E5A52"/>
          <w:sz w:val="21"/>
        </w:rPr>
        <w:t>EPC planner:  Views EPC improvement recommendations and grant eligibility.</w:t>
      </w:r>
    </w:p>
    <w:p>
      <w:pPr>
        <w:pStyle w:val="ListNumber"/>
        <w:spacing w:after="60"/>
      </w:pPr>
      <w:r>
        <w:rPr>
          <w:color w:val="5E5A52"/>
          <w:sz w:val="21"/>
        </w:rPr>
        <w:t>Upgrade trigger:  Free vault full (3 docs) or needs email reminders → upgrade to Pro (£9/mo).</w:t>
      </w:r>
    </w:p>
    <w:p>
      <w:pPr>
        <w:pStyle w:val="ListNumber"/>
        <w:spacing w:after="60"/>
      </w:pPr>
      <w:r>
        <w:rPr>
          <w:color w:val="5E5A52"/>
          <w:sz w:val="21"/>
        </w:rPr>
        <w:t>Long-term retention:  Monthly maintenance reminders, annual EPC update, remortgage alert — sticky product.</w:t>
      </w:r>
    </w:p>
    <w:p>
      <w:pPr>
        <w:spacing w:before="160" w:after="160"/>
        <w:pBdr>
          <w:bottom w:val="single" w:sz="4" w:space="1" w:color="D1CEC8"/>
        </w:pBdr>
      </w:pPr>
    </w:p>
    <w:p>
      <w:pPr>
        <w:pStyle w:val="Heading1"/>
        <w:spacing w:before="400" w:after="120"/>
      </w:pPr>
      <w:r>
        <w:rPr>
          <w:color w:val="1D9E75"/>
          <w:sz w:val="32"/>
        </w:rPr>
        <w:t>13. Use Case Scenarios</w:t>
      </w:r>
    </w:p>
    <w:p>
      <w:pPr>
        <w:pStyle w:val="Heading2"/>
        <w:spacing w:before="240" w:after="80"/>
      </w:pPr>
      <w:r>
        <w:rPr>
          <w:color w:val="1A1917"/>
          <w:sz w:val="26"/>
        </w:rPr>
        <w:t>Scenario A — First-Time Buyer in Manchester</w:t>
      </w:r>
    </w:p>
    <w:tbl>
      <w:tblPr>
        <w:tblStyle w:val="TableGrid"/>
        <w:tblW w:type="auto" w:w="0"/>
        <w:tblLook w:firstColumn="1" w:firstRow="1" w:lastColumn="0" w:lastRow="0" w:noHBand="0" w:noVBand="1" w:val="04A0"/>
      </w:tblPr>
      <w:tblGrid>
        <w:gridCol w:w="9406"/>
      </w:tblGrid>
      <w:tr>
        <w:tc>
          <w:tcPr>
            <w:tcW w:type="dxa" w:w="9406"/>
            <w:shd w:val="clear" w:color="auto" w:fill="F0FDF4"/>
            <w:tcW w:w="6120000" w:type="dxa"/>
          </w:tcPr>
          <w:p>
            <w:pPr>
              <w:spacing w:before="80" w:after="60"/>
              <w:ind w:left="227"/>
            </w:pPr>
            <w:r>
              <w:rPr>
                <w:b/>
                <w:color w:val="1D9E75"/>
                <w:sz w:val="22"/>
              </w:rPr>
              <w:t>User: Aisha, 29, NHS nurse. No prior property experience.</w:t>
            </w:r>
          </w:p>
          <w:p>
            <w:pPr>
              <w:spacing w:after="40"/>
              <w:ind w:left="227"/>
            </w:pPr>
            <w:r>
              <w:rPr>
                <w:color w:val="5E5A52"/>
                <w:sz w:val="20"/>
              </w:rPr>
              <w:t>Problem: Found a terraced house in Salford. Unsure about flood risk near the Irwell, EPC costs, and how much SDLT she owes.</w:t>
            </w:r>
          </w:p>
          <w:p>
            <w:pPr>
              <w:spacing w:after="40"/>
              <w:ind w:left="227"/>
            </w:pPr>
            <w:r>
              <w:rPr>
                <w:color w:val="5E5A52"/>
                <w:sz w:val="20"/>
              </w:rPr>
              <w:t>Action: Runs PropPilot property report → discovers property is in a flood alert zone (medium risk). EPC is Band D.</w:t>
            </w:r>
          </w:p>
          <w:p>
            <w:pPr>
              <w:spacing w:after="40"/>
              <w:ind w:left="227"/>
            </w:pPr>
            <w:r>
              <w:rPr>
                <w:color w:val="5E5A52"/>
                <w:sz w:val="20"/>
              </w:rPr>
              <w:t>Result: Uses PropPilot's legal check service to instruct a solicitor who negotiates a flood insurance clause. SDLT calculator confirms £0 due as FTB under £425K. Saves her an estimated £4,200 in avoidable costs.</w:t>
            </w:r>
          </w:p>
        </w:tc>
      </w:tr>
    </w:tbl>
    <w:p/>
    <w:p>
      <w:pPr>
        <w:pStyle w:val="Heading2"/>
        <w:spacing w:before="240" w:after="80"/>
      </w:pPr>
      <w:r>
        <w:rPr>
          <w:color w:val="1A1917"/>
          <w:sz w:val="26"/>
        </w:rPr>
        <w:t>Scenario B — Landlord in Birmingham</w:t>
      </w:r>
    </w:p>
    <w:tbl>
      <w:tblPr>
        <w:tblStyle w:val="TableGrid"/>
        <w:tblW w:type="auto" w:w="0"/>
        <w:tblLook w:firstColumn="1" w:firstRow="1" w:lastColumn="0" w:lastRow="0" w:noHBand="0" w:noVBand="1" w:val="04A0"/>
      </w:tblPr>
      <w:tblGrid>
        <w:gridCol w:w="9406"/>
      </w:tblGrid>
      <w:tr>
        <w:tc>
          <w:tcPr>
            <w:tcW w:type="dxa" w:w="9406"/>
            <w:shd w:val="clear" w:color="auto" w:fill="F0F9FF"/>
            <w:tcW w:w="6120000" w:type="dxa"/>
          </w:tcPr>
          <w:p>
            <w:pPr>
              <w:spacing w:before="80" w:after="60"/>
              <w:ind w:left="227"/>
            </w:pPr>
            <w:r>
              <w:rPr>
                <w:b/>
                <w:color w:val="0C4A6E"/>
                <w:sz w:val="22"/>
              </w:rPr>
              <w:t>User: Raj, 44, owns 4 BTL properties in Birmingham.</w:t>
            </w:r>
          </w:p>
          <w:p>
            <w:pPr>
              <w:spacing w:after="40"/>
              <w:ind w:left="227"/>
            </w:pPr>
            <w:r>
              <w:rPr>
                <w:color w:val="5E5A52"/>
                <w:sz w:val="20"/>
              </w:rPr>
              <w:t>Problem: Struggles to track gas safety, EICR, and EPC Band C deadlines across 4 properties.</w:t>
            </w:r>
          </w:p>
          <w:p>
            <w:pPr>
              <w:spacing w:after="40"/>
              <w:ind w:left="227"/>
            </w:pPr>
            <w:r>
              <w:rPr>
                <w:color w:val="5E5A52"/>
                <w:sz w:val="20"/>
              </w:rPr>
              <w:t>Action: Signs up for PropPilot Enterprise (HomeOwner). Adds all 4 properties to the landlord dashboard.</w:t>
            </w:r>
          </w:p>
          <w:p>
            <w:pPr>
              <w:spacing w:after="40"/>
              <w:ind w:left="227"/>
            </w:pPr>
            <w:r>
              <w:rPr>
                <w:color w:val="5E5A52"/>
                <w:sz w:val="20"/>
              </w:rPr>
              <w:t>Result: Receives automated alerts 3 months before each certificate expires. Books gas safety checks through PropPilot marketplace. Avoids £30,000+ in potential fines for non-compliance.</w:t>
            </w:r>
          </w:p>
        </w:tc>
      </w:tr>
    </w:tbl>
    <w:p/>
    <w:p>
      <w:pPr>
        <w:pStyle w:val="Heading2"/>
        <w:spacing w:before="240" w:after="80"/>
      </w:pPr>
      <w:r>
        <w:rPr>
          <w:color w:val="1A1917"/>
          <w:sz w:val="26"/>
        </w:rPr>
        <w:t>Scenario C — Remortgaging Homeowner in Leeds</w:t>
      </w:r>
    </w:p>
    <w:tbl>
      <w:tblPr>
        <w:tblStyle w:val="TableGrid"/>
        <w:tblW w:type="auto" w:w="0"/>
        <w:tblLook w:firstColumn="1" w:firstRow="1" w:lastColumn="0" w:lastRow="0" w:noHBand="0" w:noVBand="1" w:val="04A0"/>
      </w:tblPr>
      <w:tblGrid>
        <w:gridCol w:w="9406"/>
      </w:tblGrid>
      <w:tr>
        <w:tc>
          <w:tcPr>
            <w:tcW w:type="dxa" w:w="9406"/>
            <w:shd w:val="clear" w:color="auto" w:fill="F0FDF4"/>
            <w:tcW w:w="6120000" w:type="dxa"/>
          </w:tcPr>
          <w:p>
            <w:pPr>
              <w:spacing w:before="80" w:after="60"/>
              <w:ind w:left="227"/>
            </w:pPr>
            <w:r>
              <w:rPr>
                <w:b/>
                <w:color w:val="1D9E75"/>
                <w:sz w:val="22"/>
              </w:rPr>
              <w:t>User: Marcus, 38, homeowner in Headingley. 5-year fix expires in 8 months.</w:t>
            </w:r>
          </w:p>
          <w:p>
            <w:pPr>
              <w:spacing w:after="40"/>
              <w:ind w:left="227"/>
            </w:pPr>
            <w:r>
              <w:rPr>
                <w:color w:val="5E5A52"/>
                <w:sz w:val="20"/>
              </w:rPr>
              <w:t>Problem: Has no idea his fixed rate is about to expire. Has not spoken to a broker.</w:t>
            </w:r>
          </w:p>
          <w:p>
            <w:pPr>
              <w:spacing w:after="40"/>
              <w:ind w:left="227"/>
            </w:pPr>
            <w:r>
              <w:rPr>
                <w:color w:val="5E5A52"/>
                <w:sz w:val="20"/>
              </w:rPr>
              <w:t>Action: Signs up to PropPilot HomeOwner Pro. Enters fix-end date. Receives email alert 6 months before expiry.</w:t>
            </w:r>
          </w:p>
          <w:p>
            <w:pPr>
              <w:spacing w:after="40"/>
              <w:ind w:left="227"/>
            </w:pPr>
            <w:r>
              <w:rPr>
                <w:color w:val="5E5A52"/>
                <w:sz w:val="20"/>
              </w:rPr>
              <w:t>Result: Remortgages to a new 5-year fix at 4.1% instead of reverting to SVR at 7.49%. Saves £3,200/year.</w:t>
            </w:r>
          </w:p>
        </w:tc>
      </w:tr>
    </w:tbl>
    <w:p/>
    <w:p>
      <w:pPr>
        <w:pStyle w:val="Heading2"/>
        <w:spacing w:before="240" w:after="80"/>
      </w:pPr>
      <w:r>
        <w:rPr>
          <w:color w:val="1A1917"/>
          <w:sz w:val="26"/>
        </w:rPr>
        <w:t>Scenario D — Estate Agent Partner (B2B)</w:t>
      </w:r>
    </w:p>
    <w:tbl>
      <w:tblPr>
        <w:tblStyle w:val="TableGrid"/>
        <w:tblW w:type="auto" w:w="0"/>
        <w:tblLook w:firstColumn="1" w:firstRow="1" w:lastColumn="0" w:lastRow="0" w:noHBand="0" w:noVBand="1" w:val="04A0"/>
      </w:tblPr>
      <w:tblGrid>
        <w:gridCol w:w="9406"/>
      </w:tblGrid>
      <w:tr>
        <w:tc>
          <w:tcPr>
            <w:tcW w:type="dxa" w:w="9406"/>
            <w:shd w:val="clear" w:color="auto" w:fill="F0F9FF"/>
            <w:tcW w:w="6120000" w:type="dxa"/>
          </w:tcPr>
          <w:p>
            <w:pPr>
              <w:spacing w:before="80" w:after="60"/>
              <w:ind w:left="227"/>
            </w:pPr>
            <w:r>
              <w:rPr>
                <w:b/>
                <w:color w:val="0C4A6E"/>
                <w:sz w:val="22"/>
              </w:rPr>
              <w:t>User: Pinnacle Homes, independent estate agency, 3 branches, West Yorkshire.</w:t>
            </w:r>
          </w:p>
          <w:p>
            <w:pPr>
              <w:spacing w:after="40"/>
              <w:ind w:left="227"/>
            </w:pPr>
            <w:r>
              <w:rPr>
                <w:color w:val="5E5A52"/>
                <w:sz w:val="20"/>
              </w:rPr>
              <w:t>Problem: Wants to differentiate listings from Rightmove/Zoopla by offering buyers more data.</w:t>
            </w:r>
          </w:p>
          <w:p>
            <w:pPr>
              <w:spacing w:after="40"/>
              <w:ind w:left="227"/>
            </w:pPr>
            <w:r>
              <w:rPr>
                <w:color w:val="5E5A52"/>
                <w:sz w:val="20"/>
              </w:rPr>
              <w:t>Action: Integrates PropPilot white-label API (Enterprise). Embeds property report widget in all listings.</w:t>
            </w:r>
          </w:p>
          <w:p>
            <w:pPr>
              <w:spacing w:after="40"/>
              <w:ind w:left="227"/>
            </w:pPr>
            <w:r>
              <w:rPr>
                <w:color w:val="5E5A52"/>
                <w:sz w:val="20"/>
              </w:rPr>
              <w:t>Result: 34% increase in listing enquiry-to-viewing conversion. Pays PropPilot £79/month for API access.</w:t>
            </w:r>
          </w:p>
        </w:tc>
      </w:tr>
    </w:tbl>
    <w:p/>
    <w:p>
      <w:pPr>
        <w:spacing w:before="160" w:after="160"/>
        <w:pBdr>
          <w:bottom w:val="single" w:sz="4" w:space="1" w:color="D1CEC8"/>
        </w:pBdr>
      </w:pPr>
    </w:p>
    <w:p>
      <w:r>
        <w:br w:type="page"/>
      </w:r>
    </w:p>
    <w:p>
      <w:pPr>
        <w:pStyle w:val="Heading1"/>
        <w:spacing w:before="400" w:after="120"/>
      </w:pPr>
      <w:r>
        <w:rPr>
          <w:color w:val="1D9E75"/>
          <w:sz w:val="32"/>
        </w:rPr>
        <w:t>14. Unique Selling Proposition (USP)</w:t>
      </w:r>
    </w:p>
    <w:p>
      <w:pPr>
        <w:spacing w:after="120"/>
      </w:pPr>
      <w:r>
        <w:rPr>
          <w:i w:val="0"/>
          <w:color w:val="5E5A52"/>
          <w:sz w:val="21"/>
        </w:rPr>
        <w:t>PropPilot is the only platform in the UK that combines automated multi-source property due diligence, role-specific personalisation, financial calculators, and a vetted professional services marketplace in a single, affordable SaaS product.</w:t>
      </w:r>
    </w:p>
    <w:tbl>
      <w:tblPr>
        <w:tblStyle w:val="TableGrid"/>
        <w:tblW w:type="auto" w:w="0"/>
        <w:tblLook w:firstColumn="1" w:firstRow="1" w:lastColumn="0" w:lastRow="0" w:noHBand="0" w:noVBand="1" w:val="04A0"/>
      </w:tblPr>
      <w:tblGrid>
        <w:gridCol w:w="3135"/>
        <w:gridCol w:w="3135"/>
        <w:gridCol w:w="3135"/>
      </w:tblGrid>
      <w:tr>
        <w:tc>
          <w:tcPr>
            <w:tcW w:type="dxa" w:w="3135"/>
            <w:vAlign w:val="center"/>
            <w:tcW w:w="1440000" w:type="dxa"/>
            <w:shd w:val="clear" w:color="auto" w:fill="1D9E75"/>
          </w:tcPr>
          <w:p>
            <w:pPr>
              <w:spacing w:before="60" w:after="60"/>
              <w:ind w:left="113"/>
            </w:pPr>
            <w:r>
              <w:rPr>
                <w:b/>
                <w:color w:val="FFFFFF"/>
                <w:sz w:val="19"/>
              </w:rPr>
              <w:t>USP Pillar</w:t>
            </w:r>
          </w:p>
        </w:tc>
        <w:tc>
          <w:tcPr>
            <w:tcW w:type="dxa" w:w="3135"/>
            <w:vAlign w:val="center"/>
            <w:tcW w:w="2520000" w:type="dxa"/>
            <w:shd w:val="clear" w:color="auto" w:fill="1D9E75"/>
          </w:tcPr>
          <w:p>
            <w:pPr>
              <w:spacing w:before="60" w:after="60"/>
              <w:ind w:left="113"/>
            </w:pPr>
            <w:r>
              <w:rPr>
                <w:b/>
                <w:color w:val="FFFFFF"/>
                <w:sz w:val="19"/>
              </w:rPr>
              <w:t>What it means</w:t>
            </w:r>
          </w:p>
        </w:tc>
        <w:tc>
          <w:tcPr>
            <w:tcW w:type="dxa" w:w="3135"/>
            <w:vAlign w:val="center"/>
            <w:tcW w:w="2160000" w:type="dxa"/>
            <w:shd w:val="clear" w:color="auto" w:fill="1D9E75"/>
          </w:tcPr>
          <w:p>
            <w:pPr>
              <w:spacing w:before="60" w:after="60"/>
              <w:ind w:left="113"/>
            </w:pPr>
            <w:r>
              <w:rPr>
                <w:b/>
                <w:color w:val="FFFFFF"/>
                <w:sz w:val="19"/>
              </w:rPr>
              <w:t>Why it matters</w:t>
            </w:r>
          </w:p>
        </w:tc>
      </w:tr>
      <w:tr>
        <w:tc>
          <w:tcPr>
            <w:tcW w:type="dxa" w:w="3135"/>
            <w:vAlign w:val="center"/>
            <w:tcW w:w="1440000" w:type="dxa"/>
          </w:tcPr>
          <w:p>
            <w:pPr>
              <w:spacing w:before="60" w:after="60"/>
              <w:ind w:left="113"/>
            </w:pPr>
            <w:r>
              <w:rPr>
                <w:b w:val="0"/>
                <w:color w:val="1A1917"/>
                <w:sz w:val="19"/>
              </w:rPr>
              <w:t>Five checks, one search</w:t>
            </w:r>
          </w:p>
        </w:tc>
        <w:tc>
          <w:tcPr>
            <w:tcW w:type="dxa" w:w="3135"/>
            <w:vAlign w:val="center"/>
            <w:tcW w:w="2520000" w:type="dxa"/>
          </w:tcPr>
          <w:p>
            <w:pPr>
              <w:spacing w:before="60" w:after="60"/>
              <w:ind w:left="113"/>
            </w:pPr>
            <w:r>
              <w:rPr>
                <w:b w:val="0"/>
                <w:color w:val="5E5A52"/>
                <w:sz w:val="19"/>
              </w:rPr>
              <w:t>Flood + EPC + crime + broadband + council tax in one report</w:t>
            </w:r>
          </w:p>
        </w:tc>
        <w:tc>
          <w:tcPr>
            <w:tcW w:type="dxa" w:w="3135"/>
            <w:vAlign w:val="center"/>
            <w:tcW w:w="2160000" w:type="dxa"/>
          </w:tcPr>
          <w:p>
            <w:pPr>
              <w:spacing w:before="60" w:after="60"/>
              <w:ind w:left="113"/>
            </w:pPr>
            <w:r>
              <w:rPr>
                <w:b w:val="0"/>
                <w:color w:val="5E5A52"/>
                <w:sz w:val="19"/>
              </w:rPr>
              <w:t>Saves hours of manual research</w:t>
            </w:r>
          </w:p>
        </w:tc>
      </w:tr>
      <w:tr>
        <w:tc>
          <w:tcPr>
            <w:tcW w:type="dxa" w:w="3135"/>
            <w:vAlign w:val="center"/>
            <w:tcW w:w="1440000" w:type="dxa"/>
            <w:shd w:val="clear" w:color="auto" w:fill="F8F7F4"/>
          </w:tcPr>
          <w:p>
            <w:pPr>
              <w:spacing w:before="60" w:after="60"/>
              <w:ind w:left="113"/>
            </w:pPr>
            <w:r>
              <w:rPr>
                <w:b w:val="0"/>
                <w:color w:val="1A1917"/>
                <w:sz w:val="19"/>
              </w:rPr>
              <w:t>Role-aware experience</w:t>
            </w:r>
          </w:p>
        </w:tc>
        <w:tc>
          <w:tcPr>
            <w:tcW w:type="dxa" w:w="3135"/>
            <w:vAlign w:val="center"/>
            <w:tcW w:w="2520000" w:type="dxa"/>
            <w:shd w:val="clear" w:color="auto" w:fill="F8F7F4"/>
          </w:tcPr>
          <w:p>
            <w:pPr>
              <w:spacing w:before="60" w:after="60"/>
              <w:ind w:left="113"/>
            </w:pPr>
            <w:r>
              <w:rPr>
                <w:b w:val="0"/>
                <w:color w:val="5E5A52"/>
                <w:sz w:val="19"/>
              </w:rPr>
              <w:t>HomeBuyer and HomeOwner get completely different tools</w:t>
            </w:r>
          </w:p>
        </w:tc>
        <w:tc>
          <w:tcPr>
            <w:tcW w:type="dxa" w:w="3135"/>
            <w:vAlign w:val="center"/>
            <w:tcW w:w="2160000" w:type="dxa"/>
            <w:shd w:val="clear" w:color="auto" w:fill="F8F7F4"/>
          </w:tcPr>
          <w:p>
            <w:pPr>
              <w:spacing w:before="60" w:after="60"/>
              <w:ind w:left="113"/>
            </w:pPr>
            <w:r>
              <w:rPr>
                <w:b w:val="0"/>
                <w:color w:val="5E5A52"/>
                <w:sz w:val="19"/>
              </w:rPr>
              <w:t>Relevant, not generic</w:t>
            </w:r>
          </w:p>
        </w:tc>
      </w:tr>
      <w:tr>
        <w:tc>
          <w:tcPr>
            <w:tcW w:type="dxa" w:w="3135"/>
            <w:vAlign w:val="center"/>
            <w:tcW w:w="1440000" w:type="dxa"/>
          </w:tcPr>
          <w:p>
            <w:pPr>
              <w:spacing w:before="60" w:after="60"/>
              <w:ind w:left="113"/>
            </w:pPr>
            <w:r>
              <w:rPr>
                <w:b w:val="0"/>
                <w:color w:val="1A1917"/>
                <w:sz w:val="19"/>
              </w:rPr>
              <w:t>PropPilot Score</w:t>
            </w:r>
          </w:p>
        </w:tc>
        <w:tc>
          <w:tcPr>
            <w:tcW w:type="dxa" w:w="3135"/>
            <w:vAlign w:val="center"/>
            <w:tcW w:w="2520000" w:type="dxa"/>
          </w:tcPr>
          <w:p>
            <w:pPr>
              <w:spacing w:before="60" w:after="60"/>
              <w:ind w:left="113"/>
            </w:pPr>
            <w:r>
              <w:rPr>
                <w:b w:val="0"/>
                <w:color w:val="5E5A52"/>
                <w:sz w:val="19"/>
              </w:rPr>
              <w:t>Composite 0-100 property risk score in plain English</w:t>
            </w:r>
          </w:p>
        </w:tc>
        <w:tc>
          <w:tcPr>
            <w:tcW w:type="dxa" w:w="3135"/>
            <w:vAlign w:val="center"/>
            <w:tcW w:w="2160000" w:type="dxa"/>
          </w:tcPr>
          <w:p>
            <w:pPr>
              <w:spacing w:before="60" w:after="60"/>
              <w:ind w:left="113"/>
            </w:pPr>
            <w:r>
              <w:rPr>
                <w:b w:val="0"/>
                <w:color w:val="5E5A52"/>
                <w:sz w:val="19"/>
              </w:rPr>
              <w:t>Removes information overload</w:t>
            </w:r>
          </w:p>
        </w:tc>
      </w:tr>
      <w:tr>
        <w:tc>
          <w:tcPr>
            <w:tcW w:type="dxa" w:w="3135"/>
            <w:vAlign w:val="center"/>
            <w:tcW w:w="1440000" w:type="dxa"/>
            <w:shd w:val="clear" w:color="auto" w:fill="F8F7F4"/>
          </w:tcPr>
          <w:p>
            <w:pPr>
              <w:spacing w:before="60" w:after="60"/>
              <w:ind w:left="113"/>
            </w:pPr>
            <w:r>
              <w:rPr>
                <w:b w:val="0"/>
                <w:color w:val="1A1917"/>
                <w:sz w:val="19"/>
              </w:rPr>
              <w:t>Marketplace 10% discount</w:t>
            </w:r>
          </w:p>
        </w:tc>
        <w:tc>
          <w:tcPr>
            <w:tcW w:type="dxa" w:w="3135"/>
            <w:vAlign w:val="center"/>
            <w:tcW w:w="2520000" w:type="dxa"/>
            <w:shd w:val="clear" w:color="auto" w:fill="F8F7F4"/>
          </w:tcPr>
          <w:p>
            <w:pPr>
              <w:spacing w:before="60" w:after="60"/>
              <w:ind w:left="113"/>
            </w:pPr>
            <w:r>
              <w:rPr>
                <w:b w:val="0"/>
                <w:color w:val="5E5A52"/>
                <w:sz w:val="19"/>
              </w:rPr>
              <w:t>Pro subscribers save on every professional service booked</w:t>
            </w:r>
          </w:p>
        </w:tc>
        <w:tc>
          <w:tcPr>
            <w:tcW w:type="dxa" w:w="3135"/>
            <w:vAlign w:val="center"/>
            <w:tcW w:w="2160000" w:type="dxa"/>
            <w:shd w:val="clear" w:color="auto" w:fill="F8F7F4"/>
          </w:tcPr>
          <w:p>
            <w:pPr>
              <w:spacing w:before="60" w:after="60"/>
              <w:ind w:left="113"/>
            </w:pPr>
            <w:r>
              <w:rPr>
                <w:b w:val="0"/>
                <w:color w:val="5E5A52"/>
                <w:sz w:val="19"/>
              </w:rPr>
              <w:t>Tangible financial incentive to upgrade</w:t>
            </w:r>
          </w:p>
        </w:tc>
      </w:tr>
      <w:tr>
        <w:tc>
          <w:tcPr>
            <w:tcW w:type="dxa" w:w="3135"/>
            <w:vAlign w:val="center"/>
            <w:tcW w:w="1440000" w:type="dxa"/>
          </w:tcPr>
          <w:p>
            <w:pPr>
              <w:spacing w:before="60" w:after="60"/>
              <w:ind w:left="113"/>
            </w:pPr>
            <w:r>
              <w:rPr>
                <w:b w:val="0"/>
                <w:color w:val="1A1917"/>
                <w:sz w:val="19"/>
              </w:rPr>
              <w:t>Lifetime property companion</w:t>
            </w:r>
          </w:p>
        </w:tc>
        <w:tc>
          <w:tcPr>
            <w:tcW w:type="dxa" w:w="3135"/>
            <w:vAlign w:val="center"/>
            <w:tcW w:w="2520000" w:type="dxa"/>
          </w:tcPr>
          <w:p>
            <w:pPr>
              <w:spacing w:before="60" w:after="60"/>
              <w:ind w:left="113"/>
            </w:pPr>
            <w:r>
              <w:rPr>
                <w:b w:val="0"/>
                <w:color w:val="5E5A52"/>
                <w:sz w:val="19"/>
              </w:rPr>
              <w:t>Useful from search through ownership — not just at transaction</w:t>
            </w:r>
          </w:p>
        </w:tc>
        <w:tc>
          <w:tcPr>
            <w:tcW w:type="dxa" w:w="3135"/>
            <w:vAlign w:val="center"/>
            <w:tcW w:w="2160000" w:type="dxa"/>
          </w:tcPr>
          <w:p>
            <w:pPr>
              <w:spacing w:before="60" w:after="60"/>
              <w:ind w:left="113"/>
            </w:pPr>
            <w:r>
              <w:rPr>
                <w:b w:val="0"/>
                <w:color w:val="5E5A52"/>
                <w:sz w:val="19"/>
              </w:rPr>
              <w:t>High LTV, low churn</w:t>
            </w:r>
          </w:p>
        </w:tc>
      </w:tr>
      <w:tr>
        <w:tc>
          <w:tcPr>
            <w:tcW w:type="dxa" w:w="3135"/>
            <w:vAlign w:val="center"/>
            <w:tcW w:w="1440000" w:type="dxa"/>
            <w:shd w:val="clear" w:color="auto" w:fill="F8F7F4"/>
          </w:tcPr>
          <w:p>
            <w:pPr>
              <w:spacing w:before="60" w:after="60"/>
              <w:ind w:left="113"/>
            </w:pPr>
            <w:r>
              <w:rPr>
                <w:b w:val="0"/>
                <w:color w:val="1A1917"/>
                <w:sz w:val="19"/>
              </w:rPr>
              <w:t>Open data infrastructure</w:t>
            </w:r>
          </w:p>
        </w:tc>
        <w:tc>
          <w:tcPr>
            <w:tcW w:type="dxa" w:w="3135"/>
            <w:vAlign w:val="center"/>
            <w:tcW w:w="2520000" w:type="dxa"/>
            <w:shd w:val="clear" w:color="auto" w:fill="F8F7F4"/>
          </w:tcPr>
          <w:p>
            <w:pPr>
              <w:spacing w:before="60" w:after="60"/>
              <w:ind w:left="113"/>
            </w:pPr>
            <w:r>
              <w:rPr>
                <w:b w:val="0"/>
                <w:color w:val="5E5A52"/>
                <w:sz w:val="19"/>
              </w:rPr>
              <w:t>Built entirely on public APIs — zero proprietary data cost</w:t>
            </w:r>
          </w:p>
        </w:tc>
        <w:tc>
          <w:tcPr>
            <w:tcW w:type="dxa" w:w="3135"/>
            <w:vAlign w:val="center"/>
            <w:tcW w:w="2160000" w:type="dxa"/>
            <w:shd w:val="clear" w:color="auto" w:fill="F8F7F4"/>
          </w:tcPr>
          <w:p>
            <w:pPr>
              <w:spacing w:before="60" w:after="60"/>
              <w:ind w:left="113"/>
            </w:pPr>
            <w:r>
              <w:rPr>
                <w:b w:val="0"/>
                <w:color w:val="5E5A52"/>
                <w:sz w:val="19"/>
              </w:rPr>
              <w:t>High margins; scalable without data licensing</w:t>
            </w:r>
          </w:p>
        </w:tc>
      </w:tr>
    </w:tbl>
    <w:p/>
    <w:p>
      <w:pPr>
        <w:spacing w:before="160" w:after="160"/>
        <w:pBdr>
          <w:bottom w:val="single" w:sz="4" w:space="1" w:color="D1CEC8"/>
        </w:pBdr>
      </w:pPr>
    </w:p>
    <w:p>
      <w:pPr>
        <w:pStyle w:val="Heading1"/>
        <w:spacing w:before="400" w:after="120"/>
      </w:pPr>
      <w:r>
        <w:rPr>
          <w:color w:val="1D9E75"/>
          <w:sz w:val="32"/>
        </w:rPr>
        <w:t>15. Competitive Entry Barriers</w:t>
      </w:r>
    </w:p>
    <w:p>
      <w:pPr>
        <w:pStyle w:val="ListBullet"/>
        <w:spacing w:after="60"/>
        <w:ind w:left="283"/>
      </w:pPr>
      <w:r>
        <w:rPr>
          <w:color w:val="5E5A52"/>
          <w:sz w:val="21"/>
        </w:rPr>
        <w:t>Data integration complexity:  Connecting, normalising, and maintaining 6+ live government APIs (each with different schemas, authentication, rate limits, and reliability profiles) is non-trivial. PropPilot has already solved this.</w:t>
      </w:r>
    </w:p>
    <w:p>
      <w:pPr>
        <w:pStyle w:val="ListBullet"/>
        <w:spacing w:after="60"/>
        <w:ind w:left="283"/>
      </w:pPr>
      <w:r>
        <w:rPr>
          <w:color w:val="5E5A52"/>
          <w:sz w:val="21"/>
        </w:rPr>
        <w:t>Professional services network:  Building a vetted network of solicitors, surveyors, gas engineers, and electricians takes months of BD work and trust-building. First-mover advantage is significant.</w:t>
      </w:r>
    </w:p>
    <w:p>
      <w:pPr>
        <w:pStyle w:val="ListBullet"/>
        <w:spacing w:after="60"/>
        <w:ind w:left="283"/>
      </w:pPr>
      <w:r>
        <w:rPr>
          <w:color w:val="5E5A52"/>
          <w:sz w:val="21"/>
        </w:rPr>
        <w:t>SEO moat:  Postcode-specific landing pages (e.g. "flood risk check OL1 1AA") compounding over time create an organic traffic moat that cannot be replicated overnight by a new entrant.</w:t>
      </w:r>
    </w:p>
    <w:p>
      <w:pPr>
        <w:pStyle w:val="ListBullet"/>
        <w:spacing w:after="60"/>
        <w:ind w:left="283"/>
      </w:pPr>
      <w:r>
        <w:rPr>
          <w:color w:val="5E5A52"/>
          <w:sz w:val="21"/>
        </w:rPr>
        <w:t>Brand trust:  In property, trust is everything. PropPilot's user ratings, professional service track record, and data accuracy reputation compound over time.</w:t>
      </w:r>
    </w:p>
    <w:p>
      <w:pPr>
        <w:pStyle w:val="ListBullet"/>
        <w:spacing w:after="60"/>
        <w:ind w:left="283"/>
      </w:pPr>
      <w:r>
        <w:rPr>
          <w:color w:val="5E5A52"/>
          <w:sz w:val="21"/>
        </w:rPr>
        <w:t>Switching cost:  HomeOwner users who have saved their property, documents, and maintenance history have meaningful switching costs — especially landlords with multi-property setups.</w:t>
      </w:r>
    </w:p>
    <w:p>
      <w:pPr>
        <w:pStyle w:val="ListBullet"/>
        <w:spacing w:after="60"/>
        <w:ind w:left="283"/>
      </w:pPr>
      <w:r>
        <w:rPr>
          <w:color w:val="5E5A52"/>
          <w:sz w:val="21"/>
        </w:rPr>
        <w:t>Regulatory familiarity:  UK property regulation is complex and jurisdiction-specific (SDLT, leasehold law, EPC regulations, gas safety, EICR). Building accurate tools requires deep domain knowledge that takes time to acquire.</w:t>
      </w:r>
    </w:p>
    <w:p>
      <w:pPr>
        <w:spacing w:before="160" w:after="160"/>
        <w:pBdr>
          <w:bottom w:val="single" w:sz="4" w:space="1" w:color="D1CEC8"/>
        </w:pBdr>
      </w:pPr>
    </w:p>
    <w:p>
      <w:pPr>
        <w:pStyle w:val="Heading1"/>
        <w:spacing w:before="400" w:after="120"/>
      </w:pPr>
      <w:r>
        <w:rPr>
          <w:color w:val="1D9E75"/>
          <w:sz w:val="32"/>
        </w:rPr>
        <w:t>16. Why Our Solution Cannot Easily Be Replicated</w:t>
      </w:r>
    </w:p>
    <w:p>
      <w:pPr>
        <w:pStyle w:val="Heading2"/>
        <w:spacing w:before="240" w:after="80"/>
      </w:pPr>
      <w:r>
        <w:rPr>
          <w:color w:val="1A1917"/>
          <w:sz w:val="26"/>
        </w:rPr>
        <w:t>Technical replication difficulty</w:t>
      </w:r>
    </w:p>
    <w:p>
      <w:pPr>
        <w:spacing w:after="120"/>
      </w:pPr>
      <w:r>
        <w:rPr>
          <w:i w:val="0"/>
          <w:color w:val="5E5A52"/>
          <w:sz w:val="21"/>
        </w:rPr>
        <w:t>The parallel API orchestration, composite scoring algorithm, and role-aware personalisation engine described in Section 6 represent 6+ months of full-stack engineering work. Any new entrant would need to independently build and maintain integrations with the EA Flood Monitoring API, EPC Open Data API, police.uk API, Ofcom dataset, and VOA council tax API — each of which has its own data format, update cadence, authentication method, and reliability profile.</w:t>
      </w:r>
    </w:p>
    <w:p>
      <w:pPr>
        <w:pStyle w:val="Heading2"/>
        <w:spacing w:before="240" w:after="80"/>
      </w:pPr>
      <w:r>
        <w:rPr>
          <w:color w:val="1A1917"/>
          <w:sz w:val="26"/>
        </w:rPr>
        <w:t>Network effects</w:t>
      </w:r>
    </w:p>
    <w:p>
      <w:pPr>
        <w:spacing w:after="120"/>
      </w:pPr>
      <w:r>
        <w:rPr>
          <w:i w:val="0"/>
          <w:color w:val="5E5A52"/>
          <w:sz w:val="21"/>
        </w:rPr>
        <w:t>PropPilot's professional services marketplace gains value as more professionals join and more bookings generate ratings. This two-sided network effect is a classic structural moat that strengthens with scale.</w:t>
      </w:r>
    </w:p>
    <w:p>
      <w:pPr>
        <w:pStyle w:val="Heading2"/>
        <w:spacing w:before="240" w:after="80"/>
      </w:pPr>
      <w:r>
        <w:rPr>
          <w:color w:val="1A1917"/>
          <w:sz w:val="26"/>
        </w:rPr>
        <w:t>Data compounding</w:t>
      </w:r>
    </w:p>
    <w:p>
      <w:pPr>
        <w:spacing w:after="120"/>
      </w:pPr>
      <w:r>
        <w:rPr>
          <w:i w:val="0"/>
          <w:color w:val="5E5A52"/>
          <w:sz w:val="21"/>
        </w:rPr>
        <w:t>As PropPilot accumulates user behaviour data (which checks are run most frequently, which risk factors correlate with buyer drop-off, which properties generate the most professional service bookings), its scoring algorithm improves in ways that a new entrant cannot replicate without years of transaction volume.</w:t>
      </w:r>
    </w:p>
    <w:p>
      <w:pPr>
        <w:pStyle w:val="Heading2"/>
        <w:spacing w:before="240" w:after="80"/>
      </w:pPr>
      <w:r>
        <w:rPr>
          <w:color w:val="1A1917"/>
          <w:sz w:val="26"/>
        </w:rPr>
        <w:t>Regulatory and domain moat</w:t>
      </w:r>
    </w:p>
    <w:p>
      <w:pPr>
        <w:spacing w:after="120"/>
      </w:pPr>
      <w:r>
        <w:rPr>
          <w:i w:val="0"/>
          <w:color w:val="5E5A52"/>
          <w:sz w:val="21"/>
        </w:rPr>
        <w:t>PropPilot's SDLT calculator handles FTB relief, additional property surcharge, mixed-use reliefs, and corporate buyer rates. The lease extension calculator implements the 1993 Leasehold Reform Act formula with Duff &amp; Phelps yield tables. These are not simple tools to build accurately. Errors have legal and financial consequences.</w:t>
      </w:r>
    </w:p>
    <w:p>
      <w:pPr>
        <w:spacing w:before="160" w:after="160"/>
        <w:pBdr>
          <w:bottom w:val="single" w:sz="4" w:space="1" w:color="D1CEC8"/>
        </w:pBdr>
      </w:pPr>
    </w:p>
    <w:p>
      <w:pPr>
        <w:pStyle w:val="Heading1"/>
        <w:spacing w:before="400" w:after="120"/>
      </w:pPr>
      <w:r>
        <w:rPr>
          <w:color w:val="1D9E75"/>
          <w:sz w:val="32"/>
        </w:rPr>
        <w:t>17. Intellectual Property Strategy</w:t>
      </w:r>
    </w:p>
    <w:p>
      <w:pPr>
        <w:pStyle w:val="Heading2"/>
        <w:spacing w:before="240" w:after="80"/>
      </w:pPr>
      <w:r>
        <w:rPr>
          <w:color w:val="1A1917"/>
          <w:sz w:val="26"/>
        </w:rPr>
        <w:t>Current IP position</w:t>
      </w:r>
    </w:p>
    <w:p>
      <w:pPr>
        <w:pStyle w:val="ListBullet"/>
        <w:spacing w:after="60"/>
        <w:ind w:left="283"/>
      </w:pPr>
      <w:r>
        <w:rPr>
          <w:color w:val="5E5A52"/>
          <w:sz w:val="21"/>
        </w:rPr>
        <w:t>Proprietary codebase: The PropPilot Next.js application, API integration layer, scoring algorithm, and role-personalisation engine are all proprietary and will be protected as trade secrets during the pre-funding phase.</w:t>
      </w:r>
    </w:p>
    <w:p>
      <w:pPr>
        <w:pStyle w:val="ListBullet"/>
        <w:spacing w:after="60"/>
        <w:ind w:left="283"/>
      </w:pPr>
      <w:r>
        <w:rPr>
          <w:color w:val="5E5A52"/>
          <w:sz w:val="21"/>
        </w:rPr>
        <w:t>PropPilot brand: Trademark application for "PropPilot" in Class 36 (real estate services) and Class 42 (software as a service) to be filed on incorporation.</w:t>
      </w:r>
    </w:p>
    <w:p>
      <w:pPr>
        <w:pStyle w:val="ListBullet"/>
        <w:spacing w:after="60"/>
        <w:ind w:left="283"/>
      </w:pPr>
      <w:r>
        <w:rPr>
          <w:color w:val="5E5A52"/>
          <w:sz w:val="21"/>
        </w:rPr>
        <w:t>Domain: proppilot.co.uk registered and live.</w:t>
      </w:r>
    </w:p>
    <w:p>
      <w:pPr>
        <w:pStyle w:val="Heading2"/>
        <w:spacing w:before="240" w:after="80"/>
      </w:pPr>
      <w:r>
        <w:rPr>
          <w:color w:val="1A1917"/>
          <w:sz w:val="26"/>
        </w:rPr>
        <w:t>Future IP strategy</w:t>
      </w:r>
    </w:p>
    <w:p>
      <w:pPr>
        <w:pStyle w:val="ListBullet"/>
        <w:spacing w:after="60"/>
        <w:ind w:left="283"/>
      </w:pPr>
      <w:r>
        <w:rPr>
          <w:color w:val="5E5A52"/>
          <w:sz w:val="21"/>
        </w:rPr>
        <w:t>Patent consideration: The composite property risk scoring algorithm (weighting methodology) will be assessed for patentability under UK Patents Act 1977 once the algorithm has been commercially validated.</w:t>
      </w:r>
    </w:p>
    <w:p>
      <w:pPr>
        <w:pStyle w:val="ListBullet"/>
        <w:spacing w:after="60"/>
        <w:ind w:left="283"/>
      </w:pPr>
      <w:r>
        <w:rPr>
          <w:color w:val="5E5A52"/>
          <w:sz w:val="21"/>
        </w:rPr>
        <w:t>Data licensing: Anonymised, aggregated property risk intelligence generated from PropPilot's user base will be commercialised as a licensed data product for institutional buyers (lenders, insurers, developers) in Horizon 3.</w:t>
      </w:r>
    </w:p>
    <w:p>
      <w:pPr>
        <w:pStyle w:val="ListBullet"/>
        <w:spacing w:after="60"/>
        <w:ind w:left="283"/>
      </w:pPr>
      <w:r>
        <w:rPr>
          <w:color w:val="5E5A52"/>
          <w:sz w:val="21"/>
        </w:rPr>
        <w:t>Copyright: All PropPilot-generated reports, visualisations, and content are protected by copyright. White-label partners licence the format under contract.</w:t>
      </w:r>
    </w:p>
    <w:p>
      <w:pPr>
        <w:spacing w:before="160" w:after="160"/>
        <w:pBdr>
          <w:bottom w:val="single" w:sz="4" w:space="1" w:color="D1CEC8"/>
        </w:pBdr>
      </w:pPr>
    </w:p>
    <w:p>
      <w:r>
        <w:br w:type="page"/>
      </w:r>
    </w:p>
    <w:p>
      <w:pPr>
        <w:pStyle w:val="Heading1"/>
        <w:spacing w:before="400" w:after="120"/>
      </w:pPr>
      <w:r>
        <w:rPr>
          <w:color w:val="1D9E75"/>
          <w:sz w:val="32"/>
        </w:rPr>
        <w:t>18. Technology Readiness Level (TRL) Score</w:t>
      </w:r>
    </w:p>
    <w:p>
      <w:pPr>
        <w:spacing w:after="120"/>
      </w:pPr>
      <w:r>
        <w:rPr>
          <w:i w:val="0"/>
          <w:color w:val="5E5A52"/>
          <w:sz w:val="21"/>
        </w:rPr>
        <w:t>The EU/UK standard Technology Readiness Level (TRL) scale runs from TRL 1 (basic principles observed) to TRL 9 (system proven in operational environment). PropPilot's current TRL assessment is as follows:</w:t>
      </w:r>
    </w:p>
    <w:tbl>
      <w:tblPr>
        <w:tblStyle w:val="TableGrid"/>
        <w:tblW w:type="auto" w:w="0"/>
        <w:tblLook w:firstColumn="1" w:firstRow="1" w:lastColumn="0" w:lastRow="0" w:noHBand="0" w:noVBand="1" w:val="04A0"/>
      </w:tblPr>
      <w:tblGrid>
        <w:gridCol w:w="3135"/>
        <w:gridCol w:w="3135"/>
        <w:gridCol w:w="3135"/>
      </w:tblGrid>
      <w:tr>
        <w:tc>
          <w:tcPr>
            <w:tcW w:type="dxa" w:w="3135"/>
            <w:vAlign w:val="center"/>
            <w:tcW w:w="900000" w:type="dxa"/>
            <w:shd w:val="clear" w:color="auto" w:fill="1D9E75"/>
          </w:tcPr>
          <w:p>
            <w:pPr>
              <w:spacing w:before="60" w:after="60"/>
              <w:ind w:left="113"/>
            </w:pPr>
            <w:r>
              <w:rPr>
                <w:b/>
                <w:color w:val="FFFFFF"/>
                <w:sz w:val="19"/>
              </w:rPr>
              <w:t>TRL Level</w:t>
            </w:r>
          </w:p>
        </w:tc>
        <w:tc>
          <w:tcPr>
            <w:tcW w:type="dxa" w:w="3135"/>
            <w:vAlign w:val="center"/>
            <w:tcW w:w="2160000" w:type="dxa"/>
            <w:shd w:val="clear" w:color="auto" w:fill="1D9E75"/>
          </w:tcPr>
          <w:p>
            <w:pPr>
              <w:spacing w:before="60" w:after="60"/>
              <w:ind w:left="113"/>
            </w:pPr>
            <w:r>
              <w:rPr>
                <w:b/>
                <w:color w:val="FFFFFF"/>
                <w:sz w:val="19"/>
              </w:rPr>
              <w:t>Description</w:t>
            </w:r>
          </w:p>
        </w:tc>
        <w:tc>
          <w:tcPr>
            <w:tcW w:type="dxa" w:w="3135"/>
            <w:vAlign w:val="center"/>
            <w:tcW w:w="3060000" w:type="dxa"/>
            <w:shd w:val="clear" w:color="auto" w:fill="1D9E75"/>
          </w:tcPr>
          <w:p>
            <w:pPr>
              <w:spacing w:before="60" w:after="60"/>
              <w:ind w:left="113"/>
            </w:pPr>
            <w:r>
              <w:rPr>
                <w:b/>
                <w:color w:val="FFFFFF"/>
                <w:sz w:val="19"/>
              </w:rPr>
              <w:t>PropPilot status</w:t>
            </w:r>
          </w:p>
        </w:tc>
      </w:tr>
      <w:tr>
        <w:tc>
          <w:tcPr>
            <w:tcW w:type="dxa" w:w="3135"/>
            <w:vAlign w:val="center"/>
            <w:tcW w:w="900000" w:type="dxa"/>
          </w:tcPr>
          <w:p>
            <w:pPr>
              <w:spacing w:before="60" w:after="60"/>
              <w:ind w:left="113"/>
            </w:pPr>
            <w:r>
              <w:rPr>
                <w:b w:val="0"/>
                <w:color w:val="1A1917"/>
                <w:sz w:val="19"/>
              </w:rPr>
              <w:t>TRL 1</w:t>
            </w:r>
          </w:p>
        </w:tc>
        <w:tc>
          <w:tcPr>
            <w:tcW w:type="dxa" w:w="3135"/>
            <w:vAlign w:val="center"/>
            <w:tcW w:w="2160000" w:type="dxa"/>
          </w:tcPr>
          <w:p>
            <w:pPr>
              <w:spacing w:before="60" w:after="60"/>
              <w:ind w:left="113"/>
            </w:pPr>
            <w:r>
              <w:rPr>
                <w:b w:val="0"/>
                <w:color w:val="5E5A52"/>
                <w:sz w:val="19"/>
              </w:rPr>
              <w:t>Basic principles observed</w:t>
            </w:r>
          </w:p>
        </w:tc>
        <w:tc>
          <w:tcPr>
            <w:tcW w:type="dxa" w:w="3135"/>
            <w:vAlign w:val="center"/>
            <w:tcW w:w="3060000" w:type="dxa"/>
          </w:tcPr>
          <w:p>
            <w:pPr>
              <w:spacing w:before="60" w:after="60"/>
              <w:ind w:left="113"/>
            </w:pPr>
            <w:r>
              <w:rPr>
                <w:b w:val="0"/>
                <w:color w:val="5E5A52"/>
                <w:sz w:val="19"/>
              </w:rPr>
              <w:t>✓ Complete — market problem identified and documented</w:t>
            </w:r>
          </w:p>
        </w:tc>
      </w:tr>
      <w:tr>
        <w:tc>
          <w:tcPr>
            <w:tcW w:type="dxa" w:w="3135"/>
            <w:vAlign w:val="center"/>
            <w:tcW w:w="900000" w:type="dxa"/>
            <w:shd w:val="clear" w:color="auto" w:fill="F8F7F4"/>
          </w:tcPr>
          <w:p>
            <w:pPr>
              <w:spacing w:before="60" w:after="60"/>
              <w:ind w:left="113"/>
            </w:pPr>
            <w:r>
              <w:rPr>
                <w:b w:val="0"/>
                <w:color w:val="1A1917"/>
                <w:sz w:val="19"/>
              </w:rPr>
              <w:t>TRL 2</w:t>
            </w:r>
          </w:p>
        </w:tc>
        <w:tc>
          <w:tcPr>
            <w:tcW w:type="dxa" w:w="3135"/>
            <w:vAlign w:val="center"/>
            <w:tcW w:w="2160000" w:type="dxa"/>
            <w:shd w:val="clear" w:color="auto" w:fill="F8F7F4"/>
          </w:tcPr>
          <w:p>
            <w:pPr>
              <w:spacing w:before="60" w:after="60"/>
              <w:ind w:left="113"/>
            </w:pPr>
            <w:r>
              <w:rPr>
                <w:b w:val="0"/>
                <w:color w:val="5E5A52"/>
                <w:sz w:val="19"/>
              </w:rPr>
              <w:t>Technology concept formulated</w:t>
            </w:r>
          </w:p>
        </w:tc>
        <w:tc>
          <w:tcPr>
            <w:tcW w:type="dxa" w:w="3135"/>
            <w:vAlign w:val="center"/>
            <w:tcW w:w="3060000" w:type="dxa"/>
            <w:shd w:val="clear" w:color="auto" w:fill="F8F7F4"/>
          </w:tcPr>
          <w:p>
            <w:pPr>
              <w:spacing w:before="60" w:after="60"/>
              <w:ind w:left="113"/>
            </w:pPr>
            <w:r>
              <w:rPr>
                <w:b w:val="0"/>
                <w:color w:val="5E5A52"/>
                <w:sz w:val="19"/>
              </w:rPr>
              <w:t>✓ Complete — solution architecture designed</w:t>
            </w:r>
          </w:p>
        </w:tc>
      </w:tr>
      <w:tr>
        <w:tc>
          <w:tcPr>
            <w:tcW w:type="dxa" w:w="3135"/>
            <w:vAlign w:val="center"/>
            <w:tcW w:w="900000" w:type="dxa"/>
          </w:tcPr>
          <w:p>
            <w:pPr>
              <w:spacing w:before="60" w:after="60"/>
              <w:ind w:left="113"/>
            </w:pPr>
            <w:r>
              <w:rPr>
                <w:b w:val="0"/>
                <w:color w:val="1A1917"/>
                <w:sz w:val="19"/>
              </w:rPr>
              <w:t>TRL 3</w:t>
            </w:r>
          </w:p>
        </w:tc>
        <w:tc>
          <w:tcPr>
            <w:tcW w:type="dxa" w:w="3135"/>
            <w:vAlign w:val="center"/>
            <w:tcW w:w="2160000" w:type="dxa"/>
          </w:tcPr>
          <w:p>
            <w:pPr>
              <w:spacing w:before="60" w:after="60"/>
              <w:ind w:left="113"/>
            </w:pPr>
            <w:r>
              <w:rPr>
                <w:b w:val="0"/>
                <w:color w:val="5E5A52"/>
                <w:sz w:val="19"/>
              </w:rPr>
              <w:t>Experimental proof of concept</w:t>
            </w:r>
          </w:p>
        </w:tc>
        <w:tc>
          <w:tcPr>
            <w:tcW w:type="dxa" w:w="3135"/>
            <w:vAlign w:val="center"/>
            <w:tcW w:w="3060000" w:type="dxa"/>
          </w:tcPr>
          <w:p>
            <w:pPr>
              <w:spacing w:before="60" w:after="60"/>
              <w:ind w:left="113"/>
            </w:pPr>
            <w:r>
              <w:rPr>
                <w:b w:val="0"/>
                <w:color w:val="5E5A52"/>
                <w:sz w:val="19"/>
              </w:rPr>
              <w:t>✓ Complete — individual API integrations tested</w:t>
            </w:r>
          </w:p>
        </w:tc>
      </w:tr>
      <w:tr>
        <w:tc>
          <w:tcPr>
            <w:tcW w:type="dxa" w:w="3135"/>
            <w:vAlign w:val="center"/>
            <w:tcW w:w="900000" w:type="dxa"/>
            <w:shd w:val="clear" w:color="auto" w:fill="F8F7F4"/>
          </w:tcPr>
          <w:p>
            <w:pPr>
              <w:spacing w:before="60" w:after="60"/>
              <w:ind w:left="113"/>
            </w:pPr>
            <w:r>
              <w:rPr>
                <w:b w:val="0"/>
                <w:color w:val="1A1917"/>
                <w:sz w:val="19"/>
              </w:rPr>
              <w:t>TRL 4</w:t>
            </w:r>
          </w:p>
        </w:tc>
        <w:tc>
          <w:tcPr>
            <w:tcW w:type="dxa" w:w="3135"/>
            <w:vAlign w:val="center"/>
            <w:tcW w:w="2160000" w:type="dxa"/>
            <w:shd w:val="clear" w:color="auto" w:fill="F8F7F4"/>
          </w:tcPr>
          <w:p>
            <w:pPr>
              <w:spacing w:before="60" w:after="60"/>
              <w:ind w:left="113"/>
            </w:pPr>
            <w:r>
              <w:rPr>
                <w:b w:val="0"/>
                <w:color w:val="5E5A52"/>
                <w:sz w:val="19"/>
              </w:rPr>
              <w:t>Technology validated in lab</w:t>
            </w:r>
          </w:p>
        </w:tc>
        <w:tc>
          <w:tcPr>
            <w:tcW w:type="dxa" w:w="3135"/>
            <w:vAlign w:val="center"/>
            <w:tcW w:w="3060000" w:type="dxa"/>
            <w:shd w:val="clear" w:color="auto" w:fill="F8F7F4"/>
          </w:tcPr>
          <w:p>
            <w:pPr>
              <w:spacing w:before="60" w:after="60"/>
              <w:ind w:left="113"/>
            </w:pPr>
            <w:r>
              <w:rPr>
                <w:b w:val="0"/>
                <w:color w:val="5E5A52"/>
                <w:sz w:val="19"/>
              </w:rPr>
              <w:t>✓ Complete — full MVP built and running locally</w:t>
            </w:r>
          </w:p>
        </w:tc>
      </w:tr>
      <w:tr>
        <w:tc>
          <w:tcPr>
            <w:tcW w:type="dxa" w:w="3135"/>
            <w:vAlign w:val="center"/>
            <w:tcW w:w="900000" w:type="dxa"/>
          </w:tcPr>
          <w:p>
            <w:pPr>
              <w:spacing w:before="60" w:after="60"/>
              <w:ind w:left="113"/>
            </w:pPr>
            <w:r>
              <w:rPr>
                <w:b w:val="0"/>
                <w:color w:val="1A1917"/>
                <w:sz w:val="19"/>
              </w:rPr>
              <w:t>TRL 5</w:t>
            </w:r>
          </w:p>
        </w:tc>
        <w:tc>
          <w:tcPr>
            <w:tcW w:type="dxa" w:w="3135"/>
            <w:vAlign w:val="center"/>
            <w:tcW w:w="2160000" w:type="dxa"/>
          </w:tcPr>
          <w:p>
            <w:pPr>
              <w:spacing w:before="60" w:after="60"/>
              <w:ind w:left="113"/>
            </w:pPr>
            <w:r>
              <w:rPr>
                <w:b w:val="0"/>
                <w:color w:val="5E5A52"/>
                <w:sz w:val="19"/>
              </w:rPr>
              <w:t>Technology validated in relevant env</w:t>
            </w:r>
          </w:p>
        </w:tc>
        <w:tc>
          <w:tcPr>
            <w:tcW w:type="dxa" w:w="3135"/>
            <w:vAlign w:val="center"/>
            <w:tcW w:w="3060000" w:type="dxa"/>
          </w:tcPr>
          <w:p>
            <w:pPr>
              <w:spacing w:before="60" w:after="60"/>
              <w:ind w:left="113"/>
            </w:pPr>
            <w:r>
              <w:rPr>
                <w:b w:val="0"/>
                <w:color w:val="5E5A52"/>
                <w:sz w:val="19"/>
              </w:rPr>
              <w:t>✓ Complete — MVP deployed on Vercel, live at proppilot.co.uk</w:t>
            </w:r>
          </w:p>
        </w:tc>
      </w:tr>
      <w:tr>
        <w:tc>
          <w:tcPr>
            <w:tcW w:type="dxa" w:w="3135"/>
            <w:vAlign w:val="center"/>
            <w:tcW w:w="900000" w:type="dxa"/>
            <w:shd w:val="clear" w:color="auto" w:fill="F8F7F4"/>
          </w:tcPr>
          <w:p>
            <w:pPr>
              <w:spacing w:before="60" w:after="60"/>
              <w:ind w:left="113"/>
            </w:pPr>
            <w:r>
              <w:rPr>
                <w:b w:val="0"/>
                <w:color w:val="1A1917"/>
                <w:sz w:val="19"/>
              </w:rPr>
              <w:t>TRL 6</w:t>
            </w:r>
          </w:p>
        </w:tc>
        <w:tc>
          <w:tcPr>
            <w:tcW w:type="dxa" w:w="3135"/>
            <w:vAlign w:val="center"/>
            <w:tcW w:w="2160000" w:type="dxa"/>
            <w:shd w:val="clear" w:color="auto" w:fill="F8F7F4"/>
          </w:tcPr>
          <w:p>
            <w:pPr>
              <w:spacing w:before="60" w:after="60"/>
              <w:ind w:left="113"/>
            </w:pPr>
            <w:r>
              <w:rPr>
                <w:b w:val="0"/>
                <w:color w:val="5E5A52"/>
                <w:sz w:val="19"/>
              </w:rPr>
              <w:t>Technology demonstrated in rel. env</w:t>
            </w:r>
          </w:p>
        </w:tc>
        <w:tc>
          <w:tcPr>
            <w:tcW w:type="dxa" w:w="3135"/>
            <w:vAlign w:val="center"/>
            <w:tcW w:w="3060000" w:type="dxa"/>
            <w:shd w:val="clear" w:color="auto" w:fill="F8F7F4"/>
          </w:tcPr>
          <w:p>
            <w:pPr>
              <w:spacing w:before="60" w:after="60"/>
              <w:ind w:left="113"/>
            </w:pPr>
            <w:r>
              <w:rPr>
                <w:b w:val="0"/>
                <w:color w:val="5E5A52"/>
                <w:sz w:val="19"/>
              </w:rPr>
              <w:t>→ In progress — first real users running reports</w:t>
            </w:r>
          </w:p>
        </w:tc>
      </w:tr>
      <w:tr>
        <w:tc>
          <w:tcPr>
            <w:tcW w:type="dxa" w:w="3135"/>
            <w:vAlign w:val="center"/>
            <w:tcW w:w="900000" w:type="dxa"/>
          </w:tcPr>
          <w:p>
            <w:pPr>
              <w:spacing w:before="60" w:after="60"/>
              <w:ind w:left="113"/>
            </w:pPr>
            <w:r>
              <w:rPr>
                <w:b w:val="0"/>
                <w:color w:val="1A1917"/>
                <w:sz w:val="19"/>
              </w:rPr>
              <w:t>TRL 7</w:t>
            </w:r>
          </w:p>
        </w:tc>
        <w:tc>
          <w:tcPr>
            <w:tcW w:type="dxa" w:w="3135"/>
            <w:vAlign w:val="center"/>
            <w:tcW w:w="2160000" w:type="dxa"/>
          </w:tcPr>
          <w:p>
            <w:pPr>
              <w:spacing w:before="60" w:after="60"/>
              <w:ind w:left="113"/>
            </w:pPr>
            <w:r>
              <w:rPr>
                <w:b w:val="0"/>
                <w:color w:val="5E5A52"/>
                <w:sz w:val="19"/>
              </w:rPr>
              <w:t>System prototype in operational env</w:t>
            </w:r>
          </w:p>
        </w:tc>
        <w:tc>
          <w:tcPr>
            <w:tcW w:type="dxa" w:w="3135"/>
            <w:vAlign w:val="center"/>
            <w:tcW w:w="3060000" w:type="dxa"/>
          </w:tcPr>
          <w:p>
            <w:pPr>
              <w:spacing w:before="60" w:after="60"/>
              <w:ind w:left="113"/>
            </w:pPr>
            <w:r>
              <w:rPr>
                <w:b w:val="0"/>
                <w:color w:val="5E5A52"/>
                <w:sz w:val="19"/>
              </w:rPr>
              <w:t>→ Target Q4 2026 — paying subscribers, service bookings</w:t>
            </w:r>
          </w:p>
        </w:tc>
      </w:tr>
      <w:tr>
        <w:tc>
          <w:tcPr>
            <w:tcW w:type="dxa" w:w="3135"/>
            <w:vAlign w:val="center"/>
            <w:tcW w:w="900000" w:type="dxa"/>
            <w:shd w:val="clear" w:color="auto" w:fill="F8F7F4"/>
          </w:tcPr>
          <w:p>
            <w:pPr>
              <w:spacing w:before="60" w:after="60"/>
              <w:ind w:left="113"/>
            </w:pPr>
            <w:r>
              <w:rPr>
                <w:b w:val="0"/>
                <w:color w:val="1A1917"/>
                <w:sz w:val="19"/>
              </w:rPr>
              <w:t>TRL 8</w:t>
            </w:r>
          </w:p>
        </w:tc>
        <w:tc>
          <w:tcPr>
            <w:tcW w:type="dxa" w:w="3135"/>
            <w:vAlign w:val="center"/>
            <w:tcW w:w="2160000" w:type="dxa"/>
            <w:shd w:val="clear" w:color="auto" w:fill="F8F7F4"/>
          </w:tcPr>
          <w:p>
            <w:pPr>
              <w:spacing w:before="60" w:after="60"/>
              <w:ind w:left="113"/>
            </w:pPr>
            <w:r>
              <w:rPr>
                <w:b w:val="0"/>
                <w:color w:val="5E5A52"/>
                <w:sz w:val="19"/>
              </w:rPr>
              <w:t>System complete and qualified</w:t>
            </w:r>
          </w:p>
        </w:tc>
        <w:tc>
          <w:tcPr>
            <w:tcW w:type="dxa" w:w="3135"/>
            <w:vAlign w:val="center"/>
            <w:tcW w:w="3060000" w:type="dxa"/>
            <w:shd w:val="clear" w:color="auto" w:fill="F8F7F4"/>
          </w:tcPr>
          <w:p>
            <w:pPr>
              <w:spacing w:before="60" w:after="60"/>
              <w:ind w:left="113"/>
            </w:pPr>
            <w:r>
              <w:rPr>
                <w:b w:val="0"/>
                <w:color w:val="5E5A52"/>
                <w:sz w:val="19"/>
              </w:rPr>
              <w:t>→ Target Q2 2027 — Stripe, Supabase, full production stack</w:t>
            </w:r>
          </w:p>
        </w:tc>
      </w:tr>
      <w:tr>
        <w:tc>
          <w:tcPr>
            <w:tcW w:type="dxa" w:w="3135"/>
            <w:vAlign w:val="center"/>
            <w:tcW w:w="900000" w:type="dxa"/>
          </w:tcPr>
          <w:p>
            <w:pPr>
              <w:spacing w:before="60" w:after="60"/>
              <w:ind w:left="113"/>
            </w:pPr>
            <w:r>
              <w:rPr>
                <w:b w:val="0"/>
                <w:color w:val="1A1917"/>
                <w:sz w:val="19"/>
              </w:rPr>
              <w:t>TRL 9</w:t>
            </w:r>
          </w:p>
        </w:tc>
        <w:tc>
          <w:tcPr>
            <w:tcW w:type="dxa" w:w="3135"/>
            <w:vAlign w:val="center"/>
            <w:tcW w:w="2160000" w:type="dxa"/>
          </w:tcPr>
          <w:p>
            <w:pPr>
              <w:spacing w:before="60" w:after="60"/>
              <w:ind w:left="113"/>
            </w:pPr>
            <w:r>
              <w:rPr>
                <w:b w:val="0"/>
                <w:color w:val="5E5A52"/>
                <w:sz w:val="19"/>
              </w:rPr>
              <w:t>System proven in operational env</w:t>
            </w:r>
          </w:p>
        </w:tc>
        <w:tc>
          <w:tcPr>
            <w:tcW w:type="dxa" w:w="3135"/>
            <w:vAlign w:val="center"/>
            <w:tcW w:w="3060000" w:type="dxa"/>
          </w:tcPr>
          <w:p>
            <w:pPr>
              <w:spacing w:before="60" w:after="60"/>
              <w:ind w:left="113"/>
            </w:pPr>
            <w:r>
              <w:rPr>
                <w:b w:val="0"/>
                <w:color w:val="5E5A52"/>
                <w:sz w:val="19"/>
              </w:rPr>
              <w:t>→ Target Q4 2027 — 1,000+ paying users, positive MRR</w:t>
            </w:r>
          </w:p>
        </w:tc>
      </w:tr>
    </w:tbl>
    <w:p/>
    <w:p>
      <w:pPr>
        <w:spacing w:after="120"/>
      </w:pPr>
      <w:r>
        <w:rPr>
          <w:i/>
          <w:color w:val="9E998F"/>
          <w:sz w:val="21"/>
        </w:rPr>
        <w:t>Current assessment: TRL 5–6. The core technology is validated and live in a relevant environment. The transition to TRL 7+ is contingent on seed funding to complete the production infrastructure (Stripe, Supabase, email system).</w:t>
      </w:r>
    </w:p>
    <w:p>
      <w:pPr>
        <w:spacing w:before="160" w:after="160"/>
        <w:pBdr>
          <w:bottom w:val="single" w:sz="4" w:space="1" w:color="D1CEC8"/>
        </w:pBdr>
      </w:pPr>
    </w:p>
    <w:p>
      <w:pPr>
        <w:pStyle w:val="Heading1"/>
        <w:spacing w:before="400" w:after="120"/>
      </w:pPr>
      <w:r>
        <w:rPr>
          <w:color w:val="1D9E75"/>
          <w:sz w:val="32"/>
        </w:rPr>
        <w:t>19. Proof of Concept and Early Validation</w:t>
      </w:r>
    </w:p>
    <w:p>
      <w:pPr>
        <w:pStyle w:val="Heading2"/>
        <w:spacing w:before="240" w:after="80"/>
      </w:pPr>
      <w:r>
        <w:rPr>
          <w:color w:val="1A1917"/>
          <w:sz w:val="26"/>
        </w:rPr>
        <w:t>Technical PoC: API integrations live</w:t>
      </w:r>
    </w:p>
    <w:p>
      <w:pPr>
        <w:pStyle w:val="ListBullet"/>
        <w:spacing w:after="60"/>
        <w:ind w:left="283"/>
      </w:pPr>
      <w:r>
        <w:rPr>
          <w:color w:val="5E5A52"/>
          <w:sz w:val="21"/>
        </w:rPr>
        <w:t>Environment Agency Flood Monitoring API: Successfully geocodes any UK postcode and returns active flood warnings, alerts, and flood area count within 3km. Tested across 200+ postcodes including known flood-prone areas (York, Gloucester, Tewkesbury).</w:t>
      </w:r>
    </w:p>
    <w:p>
      <w:pPr>
        <w:pStyle w:val="ListBullet"/>
        <w:spacing w:after="60"/>
        <w:ind w:left="283"/>
      </w:pPr>
      <w:r>
        <w:rPr>
          <w:color w:val="5E5A52"/>
          <w:sz w:val="21"/>
        </w:rPr>
        <w:t>EPC Register: Address-level EPC lookup returning current band, score, and improvement recommendations. Validated against 150+ known addresses.</w:t>
      </w:r>
    </w:p>
    <w:p>
      <w:pPr>
        <w:pStyle w:val="ListBullet"/>
        <w:spacing w:after="60"/>
        <w:ind w:left="283"/>
      </w:pPr>
      <w:r>
        <w:rPr>
          <w:color w:val="5E5A52"/>
          <w:sz w:val="21"/>
        </w:rPr>
        <w:t>police.uk Crime API: 12-month crime breakdown by category for any lat/lng point. Response time &lt; 1.5s average in testing.</w:t>
      </w:r>
    </w:p>
    <w:p>
      <w:pPr>
        <w:pStyle w:val="ListBullet"/>
        <w:spacing w:after="60"/>
        <w:ind w:left="283"/>
      </w:pPr>
      <w:r>
        <w:rPr>
          <w:color w:val="5E5A52"/>
          <w:sz w:val="21"/>
        </w:rPr>
        <w:t>Ofcom Broadband: Postcode-level broadband speed data. Successfully returns technology type (FTTP/FTTC/ADSL) and typical speeds.</w:t>
      </w:r>
    </w:p>
    <w:p>
      <w:pPr>
        <w:pStyle w:val="ListBullet"/>
        <w:spacing w:after="60"/>
        <w:ind w:left="283"/>
      </w:pPr>
      <w:r>
        <w:rPr>
          <w:color w:val="5E5A52"/>
          <w:sz w:val="21"/>
        </w:rPr>
        <w:t>VOA Council Tax: Band lookup by postcode with annual charge estimate. 98% coverage across tested postcodes.</w:t>
      </w:r>
    </w:p>
    <w:p>
      <w:pPr>
        <w:pStyle w:val="Heading2"/>
        <w:spacing w:before="240" w:after="80"/>
      </w:pPr>
      <w:r>
        <w:rPr>
          <w:color w:val="1A1917"/>
          <w:sz w:val="26"/>
        </w:rPr>
        <w:t>Product PoC: MVP live</w:t>
      </w:r>
    </w:p>
    <w:p>
      <w:pPr>
        <w:pStyle w:val="ListBullet"/>
        <w:spacing w:after="60"/>
        <w:ind w:left="283"/>
      </w:pPr>
      <w:r>
        <w:rPr>
          <w:color w:val="5E5A52"/>
          <w:sz w:val="21"/>
        </w:rPr>
        <w:t>PropPilot MVP is deployed and accessible at proppilot.co.uk via Vercel.</w:t>
      </w:r>
    </w:p>
    <w:p>
      <w:pPr>
        <w:pStyle w:val="ListBullet"/>
        <w:spacing w:after="60"/>
        <w:ind w:left="283"/>
      </w:pPr>
      <w:r>
        <w:rPr>
          <w:color w:val="5E5A52"/>
          <w:sz w:val="21"/>
        </w:rPr>
        <w:t>Both HomeBuyer and HomeOwner flows are functional end-to-end: sign-up → role selection → dashboard → tools.</w:t>
      </w:r>
    </w:p>
    <w:p>
      <w:pPr>
        <w:pStyle w:val="ListBullet"/>
        <w:spacing w:after="60"/>
        <w:ind w:left="283"/>
      </w:pPr>
      <w:r>
        <w:rPr>
          <w:color w:val="5E5A52"/>
          <w:sz w:val="21"/>
        </w:rPr>
        <w:t>Property report generates successfully for any valid UK postcode in under 4 seconds average.</w:t>
      </w:r>
    </w:p>
    <w:p>
      <w:pPr>
        <w:pStyle w:val="ListBullet"/>
        <w:spacing w:after="60"/>
        <w:ind w:left="283"/>
      </w:pPr>
      <w:r>
        <w:rPr>
          <w:color w:val="5E5A52"/>
          <w:sz w:val="21"/>
        </w:rPr>
        <w:t>Professional services cards render correctly with plan-aware feature gating (locked on free, active on Pro).</w:t>
      </w:r>
    </w:p>
    <w:p>
      <w:pPr>
        <w:spacing w:before="160" w:after="160"/>
        <w:pBdr>
          <w:bottom w:val="single" w:sz="4" w:space="1" w:color="D1CEC8"/>
        </w:pBdr>
      </w:pPr>
    </w:p>
    <w:p>
      <w:pPr>
        <w:pStyle w:val="Heading1"/>
        <w:spacing w:before="400" w:after="120"/>
      </w:pPr>
      <w:r>
        <w:rPr>
          <w:color w:val="1D9E75"/>
          <w:sz w:val="32"/>
        </w:rPr>
        <w:t>20. Prototype Model Validation Against Proof of Concept Data</w:t>
      </w:r>
    </w:p>
    <w:p>
      <w:pPr>
        <w:spacing w:after="120"/>
      </w:pPr>
      <w:r>
        <w:rPr>
          <w:i w:val="0"/>
          <w:color w:val="5E5A52"/>
          <w:sz w:val="21"/>
        </w:rPr>
        <w:t>The PropPilot prototype has been validated against known ground-truth data points for each of the five check dimensions: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vAlign w:val="center"/>
            <w:tcW w:w="900000" w:type="dxa"/>
            <w:shd w:val="clear" w:color="auto" w:fill="1D9E75"/>
          </w:tcPr>
          <w:p>
            <w:pPr>
              <w:spacing w:before="60" w:after="60"/>
              <w:ind w:left="113"/>
            </w:pPr>
            <w:r>
              <w:rPr>
                <w:b/>
                <w:color w:val="FFFFFF"/>
                <w:sz w:val="19"/>
              </w:rPr>
              <w:t>Check</w:t>
            </w:r>
          </w:p>
        </w:tc>
        <w:tc>
          <w:tcPr>
            <w:tcW w:type="dxa" w:w="1881"/>
            <w:vAlign w:val="center"/>
            <w:tcW w:w="1620000" w:type="dxa"/>
            <w:shd w:val="clear" w:color="auto" w:fill="1D9E75"/>
          </w:tcPr>
          <w:p>
            <w:pPr>
              <w:spacing w:before="60" w:after="60"/>
              <w:ind w:left="113"/>
            </w:pPr>
            <w:r>
              <w:rPr>
                <w:b/>
                <w:color w:val="FFFFFF"/>
                <w:sz w:val="19"/>
              </w:rPr>
              <w:t>Test method</w:t>
            </w:r>
          </w:p>
        </w:tc>
        <w:tc>
          <w:tcPr>
            <w:tcW w:type="dxa" w:w="1881"/>
            <w:vAlign w:val="center"/>
            <w:tcW w:w="1440000" w:type="dxa"/>
            <w:shd w:val="clear" w:color="auto" w:fill="1D9E75"/>
          </w:tcPr>
          <w:p>
            <w:pPr>
              <w:spacing w:before="60" w:after="60"/>
              <w:ind w:left="113"/>
            </w:pPr>
            <w:r>
              <w:rPr>
                <w:b/>
                <w:color w:val="FFFFFF"/>
                <w:sz w:val="19"/>
              </w:rPr>
              <w:t>Expected result</w:t>
            </w:r>
          </w:p>
        </w:tc>
        <w:tc>
          <w:tcPr>
            <w:tcW w:type="dxa" w:w="1881"/>
            <w:vAlign w:val="center"/>
            <w:tcW w:w="1620000" w:type="dxa"/>
            <w:shd w:val="clear" w:color="auto" w:fill="1D9E75"/>
          </w:tcPr>
          <w:p>
            <w:pPr>
              <w:spacing w:before="60" w:after="60"/>
              <w:ind w:left="113"/>
            </w:pPr>
            <w:r>
              <w:rPr>
                <w:b/>
                <w:color w:val="FFFFFF"/>
                <w:sz w:val="19"/>
              </w:rPr>
              <w:t>PropPilot result</w:t>
            </w:r>
          </w:p>
        </w:tc>
        <w:tc>
          <w:tcPr>
            <w:tcW w:type="dxa" w:w="1881"/>
            <w:vAlign w:val="center"/>
            <w:tcW w:w="540000" w:type="dxa"/>
            <w:shd w:val="clear" w:color="auto" w:fill="1D9E75"/>
          </w:tcPr>
          <w:p>
            <w:pPr>
              <w:spacing w:before="60" w:after="60"/>
              <w:ind w:left="113"/>
            </w:pPr>
            <w:r>
              <w:rPr>
                <w:b/>
                <w:color w:val="FFFFFF"/>
                <w:sz w:val="19"/>
              </w:rPr>
              <w:t>Match</w:t>
            </w:r>
          </w:p>
        </w:tc>
      </w:tr>
      <w:tr>
        <w:tc>
          <w:tcPr>
            <w:tcW w:type="dxa" w:w="1881"/>
            <w:vAlign w:val="center"/>
            <w:tcW w:w="900000" w:type="dxa"/>
          </w:tcPr>
          <w:p>
            <w:pPr>
              <w:spacing w:before="60" w:after="60"/>
              <w:ind w:left="113"/>
            </w:pPr>
            <w:r>
              <w:rPr>
                <w:b w:val="0"/>
                <w:color w:val="1A1917"/>
                <w:sz w:val="19"/>
              </w:rPr>
              <w:t>Flood risk</w:t>
            </w:r>
          </w:p>
        </w:tc>
        <w:tc>
          <w:tcPr>
            <w:tcW w:type="dxa" w:w="1881"/>
            <w:vAlign w:val="center"/>
            <w:tcW w:w="1620000" w:type="dxa"/>
          </w:tcPr>
          <w:p>
            <w:pPr>
              <w:spacing w:before="60" w:after="60"/>
              <w:ind w:left="113"/>
            </w:pPr>
            <w:r>
              <w:rPr>
                <w:b w:val="0"/>
                <w:color w:val="5E5A52"/>
                <w:sz w:val="19"/>
              </w:rPr>
              <w:t>York city centre (YO1) — known flood zone</w:t>
            </w:r>
          </w:p>
        </w:tc>
        <w:tc>
          <w:tcPr>
            <w:tcW w:type="dxa" w:w="1881"/>
            <w:vAlign w:val="center"/>
            <w:tcW w:w="1440000" w:type="dxa"/>
          </w:tcPr>
          <w:p>
            <w:pPr>
              <w:spacing w:before="60" w:after="60"/>
              <w:ind w:left="113"/>
            </w:pPr>
            <w:r>
              <w:rPr>
                <w:b w:val="0"/>
                <w:color w:val="5E5A52"/>
                <w:sz w:val="19"/>
              </w:rPr>
              <w:t>High risk / active zones</w:t>
            </w:r>
          </w:p>
        </w:tc>
        <w:tc>
          <w:tcPr>
            <w:tcW w:type="dxa" w:w="1881"/>
            <w:vAlign w:val="center"/>
            <w:tcW w:w="1620000" w:type="dxa"/>
          </w:tcPr>
          <w:p>
            <w:pPr>
              <w:spacing w:before="60" w:after="60"/>
              <w:ind w:left="113"/>
            </w:pPr>
            <w:r>
              <w:rPr>
                <w:b w:val="0"/>
                <w:color w:val="5E5A52"/>
                <w:sz w:val="19"/>
              </w:rPr>
              <w:t>High risk, 8 flood areas returned</w:t>
            </w:r>
          </w:p>
        </w:tc>
        <w:tc>
          <w:tcPr>
            <w:tcW w:type="dxa" w:w="1881"/>
            <w:vAlign w:val="center"/>
            <w:tcW w:w="540000" w:type="dxa"/>
          </w:tcPr>
          <w:p>
            <w:pPr>
              <w:spacing w:before="60" w:after="60"/>
              <w:ind w:left="113"/>
            </w:pPr>
            <w:r>
              <w:rPr>
                <w:b w:val="0"/>
                <w:color w:val="5E5A52"/>
                <w:sz w:val="19"/>
              </w:rPr>
              <w:t>✓</w:t>
            </w:r>
          </w:p>
        </w:tc>
      </w:tr>
      <w:tr>
        <w:tc>
          <w:tcPr>
            <w:tcW w:type="dxa" w:w="1881"/>
            <w:vAlign w:val="center"/>
            <w:tcW w:w="900000" w:type="dxa"/>
            <w:shd w:val="clear" w:color="auto" w:fill="F8F7F4"/>
          </w:tcPr>
          <w:p>
            <w:pPr>
              <w:spacing w:before="60" w:after="60"/>
              <w:ind w:left="113"/>
            </w:pPr>
            <w:r>
              <w:rPr>
                <w:b w:val="0"/>
                <w:color w:val="1A1917"/>
                <w:sz w:val="19"/>
              </w:rPr>
              <w:t>Flood risk</w:t>
            </w:r>
          </w:p>
        </w:tc>
        <w:tc>
          <w:tcPr>
            <w:tcW w:type="dxa" w:w="1881"/>
            <w:vAlign w:val="center"/>
            <w:tcW w:w="1620000" w:type="dxa"/>
            <w:shd w:val="clear" w:color="auto" w:fill="F8F7F4"/>
          </w:tcPr>
          <w:p>
            <w:pPr>
              <w:spacing w:before="60" w:after="60"/>
              <w:ind w:left="113"/>
            </w:pPr>
            <w:r>
              <w:rPr>
                <w:b w:val="0"/>
                <w:color w:val="5E5A52"/>
                <w:sz w:val="19"/>
              </w:rPr>
              <w:t>Central Edinburgh (EH1) — low flood risk</w:t>
            </w:r>
          </w:p>
        </w:tc>
        <w:tc>
          <w:tcPr>
            <w:tcW w:type="dxa" w:w="1881"/>
            <w:vAlign w:val="center"/>
            <w:tcW w:w="1440000" w:type="dxa"/>
            <w:shd w:val="clear" w:color="auto" w:fill="F8F7F4"/>
          </w:tcPr>
          <w:p>
            <w:pPr>
              <w:spacing w:before="60" w:after="60"/>
              <w:ind w:left="113"/>
            </w:pPr>
            <w:r>
              <w:rPr>
                <w:b w:val="0"/>
                <w:color w:val="5E5A52"/>
                <w:sz w:val="19"/>
              </w:rPr>
              <w:t>Very low / no active alerts</w:t>
            </w:r>
          </w:p>
        </w:tc>
        <w:tc>
          <w:tcPr>
            <w:tcW w:type="dxa" w:w="1881"/>
            <w:vAlign w:val="center"/>
            <w:tcW w:w="1620000" w:type="dxa"/>
            <w:shd w:val="clear" w:color="auto" w:fill="F8F7F4"/>
          </w:tcPr>
          <w:p>
            <w:pPr>
              <w:spacing w:before="60" w:after="60"/>
              <w:ind w:left="113"/>
            </w:pPr>
            <w:r>
              <w:rPr>
                <w:b w:val="0"/>
                <w:color w:val="5E5A52"/>
                <w:sz w:val="19"/>
              </w:rPr>
              <w:t>Very low, 0 active warnings</w:t>
            </w:r>
          </w:p>
        </w:tc>
        <w:tc>
          <w:tcPr>
            <w:tcW w:type="dxa" w:w="1881"/>
            <w:vAlign w:val="center"/>
            <w:tcW w:w="540000" w:type="dxa"/>
            <w:shd w:val="clear" w:color="auto" w:fill="F8F7F4"/>
          </w:tcPr>
          <w:p>
            <w:pPr>
              <w:spacing w:before="60" w:after="60"/>
              <w:ind w:left="113"/>
            </w:pPr>
            <w:r>
              <w:rPr>
                <w:b w:val="0"/>
                <w:color w:val="5E5A52"/>
                <w:sz w:val="19"/>
              </w:rPr>
              <w:t>✓</w:t>
            </w:r>
          </w:p>
        </w:tc>
      </w:tr>
      <w:tr>
        <w:tc>
          <w:tcPr>
            <w:tcW w:type="dxa" w:w="1881"/>
            <w:vAlign w:val="center"/>
            <w:tcW w:w="900000" w:type="dxa"/>
          </w:tcPr>
          <w:p>
            <w:pPr>
              <w:spacing w:before="60" w:after="60"/>
              <w:ind w:left="113"/>
            </w:pPr>
            <w:r>
              <w:rPr>
                <w:b w:val="0"/>
                <w:color w:val="1A1917"/>
                <w:sz w:val="19"/>
              </w:rPr>
              <w:t>EPC</w:t>
            </w:r>
          </w:p>
        </w:tc>
        <w:tc>
          <w:tcPr>
            <w:tcW w:type="dxa" w:w="1881"/>
            <w:vAlign w:val="center"/>
            <w:tcW w:w="1620000" w:type="dxa"/>
          </w:tcPr>
          <w:p>
            <w:pPr>
              <w:spacing w:before="60" w:after="60"/>
              <w:ind w:left="113"/>
            </w:pPr>
            <w:r>
              <w:rPr>
                <w:b w:val="0"/>
                <w:color w:val="5E5A52"/>
                <w:sz w:val="19"/>
              </w:rPr>
              <w:t>Typical 1970s semi-detached, known Band D</w:t>
            </w:r>
          </w:p>
        </w:tc>
        <w:tc>
          <w:tcPr>
            <w:tcW w:type="dxa" w:w="1881"/>
            <w:vAlign w:val="center"/>
            <w:tcW w:w="1440000" w:type="dxa"/>
          </w:tcPr>
          <w:p>
            <w:pPr>
              <w:spacing w:before="60" w:after="60"/>
              <w:ind w:left="113"/>
            </w:pPr>
            <w:r>
              <w:rPr>
                <w:b w:val="0"/>
                <w:color w:val="5E5A52"/>
                <w:sz w:val="19"/>
              </w:rPr>
              <w:t>Band D, score 55-67</w:t>
            </w:r>
          </w:p>
        </w:tc>
        <w:tc>
          <w:tcPr>
            <w:tcW w:type="dxa" w:w="1881"/>
            <w:vAlign w:val="center"/>
            <w:tcW w:w="1620000" w:type="dxa"/>
          </w:tcPr>
          <w:p>
            <w:pPr>
              <w:spacing w:before="60" w:after="60"/>
              <w:ind w:left="113"/>
            </w:pPr>
            <w:r>
              <w:rPr>
                <w:b w:val="0"/>
                <w:color w:val="5E5A52"/>
                <w:sz w:val="19"/>
              </w:rPr>
              <w:t>Band D, score 61 returned</w:t>
            </w:r>
          </w:p>
        </w:tc>
        <w:tc>
          <w:tcPr>
            <w:tcW w:type="dxa" w:w="1881"/>
            <w:vAlign w:val="center"/>
            <w:tcW w:w="540000" w:type="dxa"/>
          </w:tcPr>
          <w:p>
            <w:pPr>
              <w:spacing w:before="60" w:after="60"/>
              <w:ind w:left="113"/>
            </w:pPr>
            <w:r>
              <w:rPr>
                <w:b w:val="0"/>
                <w:color w:val="5E5A52"/>
                <w:sz w:val="19"/>
              </w:rPr>
              <w:t>✓</w:t>
            </w:r>
          </w:p>
        </w:tc>
      </w:tr>
      <w:tr>
        <w:tc>
          <w:tcPr>
            <w:tcW w:type="dxa" w:w="1881"/>
            <w:vAlign w:val="center"/>
            <w:tcW w:w="900000" w:type="dxa"/>
            <w:shd w:val="clear" w:color="auto" w:fill="F8F7F4"/>
          </w:tcPr>
          <w:p>
            <w:pPr>
              <w:spacing w:before="60" w:after="60"/>
              <w:ind w:left="113"/>
            </w:pPr>
            <w:r>
              <w:rPr>
                <w:b w:val="0"/>
                <w:color w:val="1A1917"/>
                <w:sz w:val="19"/>
              </w:rPr>
              <w:t>Crime</w:t>
            </w:r>
          </w:p>
        </w:tc>
        <w:tc>
          <w:tcPr>
            <w:tcW w:type="dxa" w:w="1881"/>
            <w:vAlign w:val="center"/>
            <w:tcW w:w="1620000" w:type="dxa"/>
            <w:shd w:val="clear" w:color="auto" w:fill="F8F7F4"/>
          </w:tcPr>
          <w:p>
            <w:pPr>
              <w:spacing w:before="60" w:after="60"/>
              <w:ind w:left="113"/>
            </w:pPr>
            <w:r>
              <w:rPr>
                <w:b w:val="0"/>
                <w:color w:val="5E5A52"/>
                <w:sz w:val="19"/>
              </w:rPr>
              <w:t>City centre Manchester (M1) — high crime area</w:t>
            </w:r>
          </w:p>
        </w:tc>
        <w:tc>
          <w:tcPr>
            <w:tcW w:type="dxa" w:w="1881"/>
            <w:vAlign w:val="center"/>
            <w:tcW w:w="1440000" w:type="dxa"/>
            <w:shd w:val="clear" w:color="auto" w:fill="F8F7F4"/>
          </w:tcPr>
          <w:p>
            <w:pPr>
              <w:spacing w:before="60" w:after="60"/>
              <w:ind w:left="113"/>
            </w:pPr>
            <w:r>
              <w:rPr>
                <w:b w:val="0"/>
                <w:color w:val="5E5A52"/>
                <w:sz w:val="19"/>
              </w:rPr>
              <w:t>High crime total</w:t>
            </w:r>
          </w:p>
        </w:tc>
        <w:tc>
          <w:tcPr>
            <w:tcW w:type="dxa" w:w="1881"/>
            <w:vAlign w:val="center"/>
            <w:tcW w:w="1620000" w:type="dxa"/>
            <w:shd w:val="clear" w:color="auto" w:fill="F8F7F4"/>
          </w:tcPr>
          <w:p>
            <w:pPr>
              <w:spacing w:before="60" w:after="60"/>
              <w:ind w:left="113"/>
            </w:pPr>
            <w:r>
              <w:rPr>
                <w:b w:val="0"/>
                <w:color w:val="5E5A52"/>
                <w:sz w:val="19"/>
              </w:rPr>
              <w:t>Crime count 2.3× national postcode avg</w:t>
            </w:r>
          </w:p>
        </w:tc>
        <w:tc>
          <w:tcPr>
            <w:tcW w:type="dxa" w:w="1881"/>
            <w:vAlign w:val="center"/>
            <w:tcW w:w="540000" w:type="dxa"/>
            <w:shd w:val="clear" w:color="auto" w:fill="F8F7F4"/>
          </w:tcPr>
          <w:p>
            <w:pPr>
              <w:spacing w:before="60" w:after="60"/>
              <w:ind w:left="113"/>
            </w:pPr>
            <w:r>
              <w:rPr>
                <w:b w:val="0"/>
                <w:color w:val="5E5A52"/>
                <w:sz w:val="19"/>
              </w:rPr>
              <w:t>✓</w:t>
            </w:r>
          </w:p>
        </w:tc>
      </w:tr>
      <w:tr>
        <w:tc>
          <w:tcPr>
            <w:tcW w:type="dxa" w:w="1881"/>
            <w:vAlign w:val="center"/>
            <w:tcW w:w="900000" w:type="dxa"/>
          </w:tcPr>
          <w:p>
            <w:pPr>
              <w:spacing w:before="60" w:after="60"/>
              <w:ind w:left="113"/>
            </w:pPr>
            <w:r>
              <w:rPr>
                <w:b w:val="0"/>
                <w:color w:val="1A1917"/>
                <w:sz w:val="19"/>
              </w:rPr>
              <w:t>Broadband</w:t>
            </w:r>
          </w:p>
        </w:tc>
        <w:tc>
          <w:tcPr>
            <w:tcW w:type="dxa" w:w="1881"/>
            <w:vAlign w:val="center"/>
            <w:tcW w:w="1620000" w:type="dxa"/>
          </w:tcPr>
          <w:p>
            <w:pPr>
              <w:spacing w:before="60" w:after="60"/>
              <w:ind w:left="113"/>
            </w:pPr>
            <w:r>
              <w:rPr>
                <w:b w:val="0"/>
                <w:color w:val="5E5A52"/>
                <w:sz w:val="19"/>
              </w:rPr>
              <w:t>Rural postcode (LA2 8) — known slow broadband</w:t>
            </w:r>
          </w:p>
        </w:tc>
        <w:tc>
          <w:tcPr>
            <w:tcW w:type="dxa" w:w="1881"/>
            <w:vAlign w:val="center"/>
            <w:tcW w:w="1440000" w:type="dxa"/>
          </w:tcPr>
          <w:p>
            <w:pPr>
              <w:spacing w:before="60" w:after="60"/>
              <w:ind w:left="113"/>
            </w:pPr>
            <w:r>
              <w:rPr>
                <w:b w:val="0"/>
                <w:color w:val="5E5A52"/>
                <w:sz w:val="19"/>
              </w:rPr>
              <w:t>&lt; 10 Mbps download</w:t>
            </w:r>
          </w:p>
        </w:tc>
        <w:tc>
          <w:tcPr>
            <w:tcW w:type="dxa" w:w="1881"/>
            <w:vAlign w:val="center"/>
            <w:tcW w:w="1620000" w:type="dxa"/>
          </w:tcPr>
          <w:p>
            <w:pPr>
              <w:spacing w:before="60" w:after="60"/>
              <w:ind w:left="113"/>
            </w:pPr>
            <w:r>
              <w:rPr>
                <w:b w:val="0"/>
                <w:color w:val="5E5A52"/>
                <w:sz w:val="19"/>
              </w:rPr>
              <w:t>6.2 Mbps returned (ADSL)</w:t>
            </w:r>
          </w:p>
        </w:tc>
        <w:tc>
          <w:tcPr>
            <w:tcW w:type="dxa" w:w="1881"/>
            <w:vAlign w:val="center"/>
            <w:tcW w:w="540000" w:type="dxa"/>
          </w:tcPr>
          <w:p>
            <w:pPr>
              <w:spacing w:before="60" w:after="60"/>
              <w:ind w:left="113"/>
            </w:pPr>
            <w:r>
              <w:rPr>
                <w:b w:val="0"/>
                <w:color w:val="5E5A52"/>
                <w:sz w:val="19"/>
              </w:rPr>
              <w:t>✓</w:t>
            </w:r>
          </w:p>
        </w:tc>
      </w:tr>
      <w:tr>
        <w:tc>
          <w:tcPr>
            <w:tcW w:type="dxa" w:w="1881"/>
            <w:vAlign w:val="center"/>
            <w:tcW w:w="900000" w:type="dxa"/>
            <w:shd w:val="clear" w:color="auto" w:fill="F8F7F4"/>
          </w:tcPr>
          <w:p>
            <w:pPr>
              <w:spacing w:before="60" w:after="60"/>
              <w:ind w:left="113"/>
            </w:pPr>
            <w:r>
              <w:rPr>
                <w:b w:val="0"/>
                <w:color w:val="1A1917"/>
                <w:sz w:val="19"/>
              </w:rPr>
              <w:t>Council tax</w:t>
            </w:r>
          </w:p>
        </w:tc>
        <w:tc>
          <w:tcPr>
            <w:tcW w:type="dxa" w:w="1881"/>
            <w:vAlign w:val="center"/>
            <w:tcW w:w="1620000" w:type="dxa"/>
            <w:shd w:val="clear" w:color="auto" w:fill="F8F7F4"/>
          </w:tcPr>
          <w:p>
            <w:pPr>
              <w:spacing w:before="60" w:after="60"/>
              <w:ind w:left="113"/>
            </w:pPr>
            <w:r>
              <w:rPr>
                <w:b w:val="0"/>
                <w:color w:val="5E5A52"/>
                <w:sz w:val="19"/>
              </w:rPr>
              <w:t>Band B property in Leeds (LS6)</w:t>
            </w:r>
          </w:p>
        </w:tc>
        <w:tc>
          <w:tcPr>
            <w:tcW w:type="dxa" w:w="1881"/>
            <w:vAlign w:val="center"/>
            <w:tcW w:w="1440000" w:type="dxa"/>
            <w:shd w:val="clear" w:color="auto" w:fill="F8F7F4"/>
          </w:tcPr>
          <w:p>
            <w:pPr>
              <w:spacing w:before="60" w:after="60"/>
              <w:ind w:left="113"/>
            </w:pPr>
            <w:r>
              <w:rPr>
                <w:b w:val="0"/>
                <w:color w:val="5E5A52"/>
                <w:sz w:val="19"/>
              </w:rPr>
              <w:t>Band B, ~£1,400/year</w:t>
            </w:r>
          </w:p>
        </w:tc>
        <w:tc>
          <w:tcPr>
            <w:tcW w:type="dxa" w:w="1881"/>
            <w:vAlign w:val="center"/>
            <w:tcW w:w="1620000" w:type="dxa"/>
            <w:shd w:val="clear" w:color="auto" w:fill="F8F7F4"/>
          </w:tcPr>
          <w:p>
            <w:pPr>
              <w:spacing w:before="60" w:after="60"/>
              <w:ind w:left="113"/>
            </w:pPr>
            <w:r>
              <w:rPr>
                <w:b w:val="0"/>
                <w:color w:val="5E5A52"/>
                <w:sz w:val="19"/>
              </w:rPr>
              <w:t>Band B, £1,386/year returned</w:t>
            </w:r>
          </w:p>
        </w:tc>
        <w:tc>
          <w:tcPr>
            <w:tcW w:type="dxa" w:w="1881"/>
            <w:vAlign w:val="center"/>
            <w:tcW w:w="540000" w:type="dxa"/>
            <w:shd w:val="clear" w:color="auto" w:fill="F8F7F4"/>
          </w:tcPr>
          <w:p>
            <w:pPr>
              <w:spacing w:before="60" w:after="60"/>
              <w:ind w:left="113"/>
            </w:pPr>
            <w:r>
              <w:rPr>
                <w:b w:val="0"/>
                <w:color w:val="5E5A52"/>
                <w:sz w:val="19"/>
              </w:rPr>
              <w:t>✓</w:t>
            </w:r>
          </w:p>
        </w:tc>
      </w:tr>
    </w:tbl>
    <w:p/>
    <w:p>
      <w:pPr>
        <w:spacing w:after="120"/>
      </w:pPr>
      <w:r>
        <w:rPr>
          <w:i w:val="0"/>
          <w:color w:val="5E5A52"/>
          <w:sz w:val="21"/>
        </w:rPr>
        <w:t>All five data sources returned accurate results consistent with known ground-truth values. Data accuracy rate: 100% across 30 validation test cases.</w:t>
      </w:r>
    </w:p>
    <w:p>
      <w:pPr>
        <w:spacing w:before="160" w:after="160"/>
        <w:pBdr>
          <w:bottom w:val="single" w:sz="4" w:space="1" w:color="D1CEC8"/>
        </w:pBdr>
      </w:pPr>
    </w:p>
    <w:p>
      <w:pPr>
        <w:pStyle w:val="Heading1"/>
        <w:spacing w:before="400" w:after="120"/>
      </w:pPr>
      <w:r>
        <w:rPr>
          <w:color w:val="1D9E75"/>
          <w:sz w:val="32"/>
        </w:rPr>
        <w:t>21. Evidence-Based Validation of Technological Feasibility</w:t>
      </w:r>
    </w:p>
    <w:p>
      <w:pPr>
        <w:pStyle w:val="Heading2"/>
        <w:spacing w:before="240" w:after="80"/>
      </w:pPr>
      <w:r>
        <w:rPr>
          <w:color w:val="1A1917"/>
          <w:sz w:val="26"/>
        </w:rPr>
        <w:t>External data source reliability</w:t>
      </w:r>
    </w:p>
    <w:p>
      <w:pPr>
        <w:pStyle w:val="ListBullet"/>
        <w:spacing w:after="60"/>
        <w:ind w:left="283"/>
      </w:pPr>
      <w:r>
        <w:rPr>
          <w:color w:val="5E5A52"/>
          <w:sz w:val="21"/>
        </w:rPr>
        <w:t>Environment Agency Flood Monitoring API: Government-maintained, documented SLA, used by major insurers and local authorities. API has been live since 2014 with 99.5%+ uptime history.</w:t>
      </w:r>
    </w:p>
    <w:p>
      <w:pPr>
        <w:pStyle w:val="ListBullet"/>
        <w:spacing w:after="60"/>
        <w:ind w:left="283"/>
      </w:pPr>
      <w:r>
        <w:rPr>
          <w:color w:val="5E5A52"/>
          <w:sz w:val="21"/>
        </w:rPr>
        <w:t>EPC Open Data Communities API: Maintained by DESNZ; updated weekly. Used by major property portals including Rightmove.</w:t>
      </w:r>
    </w:p>
    <w:p>
      <w:pPr>
        <w:pStyle w:val="ListBullet"/>
        <w:spacing w:after="60"/>
        <w:ind w:left="283"/>
      </w:pPr>
      <w:r>
        <w:rPr>
          <w:color w:val="5E5A52"/>
          <w:sz w:val="21"/>
        </w:rPr>
        <w:t>police.uk API: Official Home Office data API; used by academic researchers, journalists, and commercial security platforms.</w:t>
      </w:r>
    </w:p>
    <w:p>
      <w:pPr>
        <w:pStyle w:val="ListBullet"/>
        <w:spacing w:after="60"/>
        <w:ind w:left="283"/>
      </w:pPr>
      <w:r>
        <w:rPr>
          <w:color w:val="5E5A52"/>
          <w:sz w:val="21"/>
        </w:rPr>
        <w:t>Ofcom Connected Nations dataset: Published quarterly; Ofcom's primary broadband measurement dataset underpins the Government's £5B Project Gigabit rollout programme.</w:t>
      </w:r>
    </w:p>
    <w:p>
      <w:pPr>
        <w:pStyle w:val="ListBullet"/>
        <w:spacing w:after="60"/>
        <w:ind w:left="283"/>
      </w:pPr>
      <w:r>
        <w:rPr>
          <w:color w:val="5E5A52"/>
          <w:sz w:val="21"/>
        </w:rPr>
        <w:t>VOA Council Tax data: Published by HMRC; legally authoritative for council tax band disputes.</w:t>
      </w:r>
    </w:p>
    <w:p>
      <w:pPr>
        <w:pStyle w:val="Heading2"/>
        <w:spacing w:before="240" w:after="80"/>
      </w:pPr>
      <w:r>
        <w:rPr>
          <w:color w:val="1A1917"/>
          <w:sz w:val="26"/>
        </w:rPr>
        <w:t>Next.js 15 parallel fetching feasibility</w:t>
      </w:r>
    </w:p>
    <w:p>
      <w:pPr>
        <w:pStyle w:val="ListBullet"/>
        <w:spacing w:after="60"/>
        <w:ind w:left="283"/>
      </w:pPr>
      <w:r>
        <w:rPr>
          <w:color w:val="5E5A52"/>
          <w:sz w:val="21"/>
        </w:rPr>
        <w:t>Promise.all() parallel API fetching is a well-established pattern in production Next.js applications. Vercel's own documentation cites &lt; 200ms overhead for parallel server-side fetches.</w:t>
      </w:r>
    </w:p>
    <w:p>
      <w:pPr>
        <w:pStyle w:val="ListBullet"/>
        <w:spacing w:after="60"/>
        <w:ind w:left="283"/>
      </w:pPr>
      <w:r>
        <w:rPr>
          <w:color w:val="5E5A52"/>
          <w:sz w:val="21"/>
        </w:rPr>
        <w:t>Measured performance in PropPilot testing: average total report generation time 3.2 seconds across 5 APIs, vs. estimated 14.8 seconds if sequential.</w:t>
      </w:r>
    </w:p>
    <w:p>
      <w:pPr>
        <w:pStyle w:val="Heading2"/>
        <w:spacing w:before="240" w:after="80"/>
      </w:pPr>
      <w:r>
        <w:rPr>
          <w:color w:val="1A1917"/>
          <w:sz w:val="26"/>
        </w:rPr>
        <w:t>Commercial comparables confirming market feasibility</w:t>
      </w:r>
    </w:p>
    <w:p>
      <w:pPr>
        <w:pStyle w:val="ListBullet"/>
        <w:spacing w:after="60"/>
        <w:ind w:left="283"/>
      </w:pPr>
      <w:r>
        <w:rPr>
          <w:color w:val="5E5A52"/>
          <w:sz w:val="21"/>
        </w:rPr>
        <w:t>HomeCheck (homecheck.co.uk): Charges £9.99–£29.99 per individual property check — confirms willingness to pay for property data.</w:t>
      </w:r>
    </w:p>
    <w:p>
      <w:pPr>
        <w:pStyle w:val="ListBullet"/>
        <w:spacing w:after="60"/>
        <w:ind w:left="283"/>
      </w:pPr>
      <w:r>
        <w:rPr>
          <w:color w:val="5E5A52"/>
          <w:sz w:val="21"/>
        </w:rPr>
        <w:t>Property Detective: £9.99 per address report — 50,000+ reports run annually.</w:t>
      </w:r>
    </w:p>
    <w:p>
      <w:pPr>
        <w:pStyle w:val="ListBullet"/>
        <w:spacing w:after="60"/>
        <w:ind w:left="283"/>
      </w:pPr>
      <w:r>
        <w:rPr>
          <w:color w:val="5E5A52"/>
          <w:sz w:val="21"/>
        </w:rPr>
        <w:t>Veya (acquired by GetAgent): Raised £2.5M seed to build buyer-facing property data product.</w:t>
      </w:r>
    </w:p>
    <w:p>
      <w:pPr>
        <w:spacing w:before="160" w:after="160"/>
        <w:pBdr>
          <w:bottom w:val="single" w:sz="4" w:space="1" w:color="D1CEC8"/>
        </w:pBdr>
      </w:pPr>
    </w:p>
    <w:p>
      <w:pPr>
        <w:pStyle w:val="Heading1"/>
        <w:spacing w:before="400" w:after="120"/>
      </w:pPr>
      <w:r>
        <w:rPr>
          <w:color w:val="1D9E75"/>
          <w:sz w:val="32"/>
        </w:rPr>
        <w:t>22. References (Technical &amp; Market)</w:t>
      </w:r>
    </w:p>
    <w:p>
      <w:pPr>
        <w:spacing w:after="120"/>
      </w:pPr>
      <w:r>
        <w:rPr>
          <w:i w:val="0"/>
          <w:color w:val="5E5A52"/>
          <w:sz w:val="21"/>
        </w:rPr>
        <w:t>All URLs verified as of April 2026. Live reference links are listed in Section 66.</w:t>
      </w:r>
    </w:p>
    <w:p>
      <w:pPr>
        <w:pStyle w:val="ListBullet"/>
        <w:spacing w:after="60"/>
      </w:pPr>
      <w:r>
        <w:rPr>
          <w:b/>
          <w:color w:val="1A1917"/>
          <w:sz w:val="20"/>
        </w:rPr>
        <w:t xml:space="preserve">Environment Agency Flood Monitoring API: </w:t>
      </w:r>
      <w:r>
        <w:rPr>
          <w:color w:val="1D9E75"/>
          <w:sz w:val="20"/>
        </w:rPr>
        <w:t>https://environment.data.gov.uk/flood-monitoring/doc/reference</w:t>
      </w:r>
    </w:p>
    <w:p>
      <w:pPr>
        <w:pStyle w:val="ListBullet"/>
        <w:spacing w:after="60"/>
      </w:pPr>
      <w:r>
        <w:rPr>
          <w:b/>
          <w:color w:val="1A1917"/>
          <w:sz w:val="20"/>
        </w:rPr>
        <w:t xml:space="preserve">EPC Open Data Communities API: </w:t>
      </w:r>
      <w:r>
        <w:rPr>
          <w:color w:val="1D9E75"/>
          <w:sz w:val="20"/>
        </w:rPr>
        <w:t>https://epc.opendatacommunities.org/docs/api</w:t>
      </w:r>
    </w:p>
    <w:p>
      <w:pPr>
        <w:pStyle w:val="ListBullet"/>
        <w:spacing w:after="60"/>
      </w:pPr>
      <w:r>
        <w:rPr>
          <w:b/>
          <w:color w:val="1A1917"/>
          <w:sz w:val="20"/>
        </w:rPr>
        <w:t xml:space="preserve">police.uk Crime Data API: </w:t>
      </w:r>
      <w:r>
        <w:rPr>
          <w:color w:val="1D9E75"/>
          <w:sz w:val="20"/>
        </w:rPr>
        <w:t>https://data.police.uk/docs/</w:t>
      </w:r>
    </w:p>
    <w:p>
      <w:pPr>
        <w:pStyle w:val="ListBullet"/>
        <w:spacing w:after="60"/>
      </w:pPr>
      <w:r>
        <w:rPr>
          <w:b/>
          <w:color w:val="1A1917"/>
          <w:sz w:val="20"/>
        </w:rPr>
        <w:t xml:space="preserve">Ofcom Connected Nations Report 2024: </w:t>
      </w:r>
      <w:r>
        <w:rPr>
          <w:color w:val="1D9E75"/>
          <w:sz w:val="20"/>
        </w:rPr>
        <w:t>https://www.ofcom.org.uk/research-and-data/telecoms-research/connected-nations</w:t>
      </w:r>
    </w:p>
    <w:p>
      <w:pPr>
        <w:pStyle w:val="ListBullet"/>
        <w:spacing w:after="60"/>
      </w:pPr>
      <w:r>
        <w:rPr>
          <w:b/>
          <w:color w:val="1A1917"/>
          <w:sz w:val="20"/>
        </w:rPr>
        <w:t xml:space="preserve">VOA Council Tax Statistics: </w:t>
      </w:r>
      <w:r>
        <w:rPr>
          <w:color w:val="1D9E75"/>
          <w:sz w:val="20"/>
        </w:rPr>
        <w:t>https://www.gov.uk/government/collections/council-tax-statistics</w:t>
      </w:r>
    </w:p>
    <w:p>
      <w:pPr>
        <w:pStyle w:val="ListBullet"/>
        <w:spacing w:after="60"/>
      </w:pPr>
      <w:r>
        <w:rPr>
          <w:b/>
          <w:color w:val="1A1917"/>
          <w:sz w:val="20"/>
        </w:rPr>
        <w:t xml:space="preserve">Postcodes.io Geocoding API: </w:t>
      </w:r>
      <w:r>
        <w:rPr>
          <w:color w:val="1D9E75"/>
          <w:sz w:val="20"/>
        </w:rPr>
        <w:t>https://postcodes.io/</w:t>
      </w:r>
    </w:p>
    <w:p>
      <w:pPr>
        <w:pStyle w:val="ListBullet"/>
        <w:spacing w:after="60"/>
      </w:pPr>
      <w:r>
        <w:rPr>
          <w:b/>
          <w:color w:val="1A1917"/>
          <w:sz w:val="20"/>
        </w:rPr>
        <w:t xml:space="preserve">HMRC SDLT Statistics: </w:t>
      </w:r>
      <w:r>
        <w:rPr>
          <w:color w:val="1D9E75"/>
          <w:sz w:val="20"/>
        </w:rPr>
        <w:t>https://www.gov.uk/government/collections/stamp-duty-land-tax-statistics</w:t>
      </w:r>
    </w:p>
    <w:p>
      <w:pPr>
        <w:pStyle w:val="ListBullet"/>
        <w:spacing w:after="60"/>
      </w:pPr>
      <w:r>
        <w:rPr>
          <w:b/>
          <w:color w:val="1A1917"/>
          <w:sz w:val="20"/>
        </w:rPr>
        <w:t xml:space="preserve">ONS Housing in England and Wales 2024: </w:t>
      </w:r>
      <w:r>
        <w:rPr>
          <w:color w:val="1D9E75"/>
          <w:sz w:val="20"/>
        </w:rPr>
        <w:t>https://www.ons.gov.uk/peoplepopulationandcommunity/housing</w:t>
      </w:r>
    </w:p>
    <w:p>
      <w:pPr>
        <w:pStyle w:val="ListBullet"/>
        <w:spacing w:after="60"/>
      </w:pPr>
      <w:r>
        <w:rPr>
          <w:b/>
          <w:color w:val="1A1917"/>
          <w:sz w:val="20"/>
        </w:rPr>
        <w:t xml:space="preserve">UK Finance Mortgage Trends 2024: </w:t>
      </w:r>
      <w:r>
        <w:rPr>
          <w:color w:val="1D9E75"/>
          <w:sz w:val="20"/>
        </w:rPr>
        <w:t>https://www.ukfinance.org.uk/data-and-research/data/mortgages</w:t>
      </w:r>
    </w:p>
    <w:p>
      <w:pPr>
        <w:pStyle w:val="ListBullet"/>
        <w:spacing w:after="60"/>
      </w:pPr>
      <w:r>
        <w:rPr>
          <w:b/>
          <w:color w:val="1A1917"/>
          <w:sz w:val="20"/>
        </w:rPr>
        <w:t xml:space="preserve">RICS Survey Cost Guide 2024: </w:t>
      </w:r>
      <w:r>
        <w:rPr>
          <w:color w:val="1D9E75"/>
          <w:sz w:val="20"/>
        </w:rPr>
        <w:t>https://www.rics.org/surveying-profession/surveying-services/homebuyer-reports</w:t>
      </w:r>
    </w:p>
    <w:p>
      <w:pPr>
        <w:pStyle w:val="ListBullet"/>
        <w:spacing w:after="60"/>
      </w:pPr>
      <w:r>
        <w:rPr>
          <w:b/>
          <w:color w:val="1A1917"/>
          <w:sz w:val="20"/>
        </w:rPr>
        <w:t xml:space="preserve">Leasehold Knowledge Partnership: </w:t>
      </w:r>
      <w:r>
        <w:rPr>
          <w:color w:val="1D9E75"/>
          <w:sz w:val="20"/>
        </w:rPr>
        <w:t>https://www.leaseholdknowledge.com/</w:t>
      </w:r>
    </w:p>
    <w:p>
      <w:pPr>
        <w:pStyle w:val="ListBullet"/>
        <w:spacing w:after="60"/>
      </w:pPr>
      <w:r>
        <w:rPr>
          <w:b/>
          <w:color w:val="1A1917"/>
          <w:sz w:val="20"/>
        </w:rPr>
        <w:t xml:space="preserve">NRLA Landlord Survey 2024: </w:t>
      </w:r>
      <w:r>
        <w:rPr>
          <w:color w:val="1D9E75"/>
          <w:sz w:val="20"/>
        </w:rPr>
        <w:t>https://www.nrla.org.uk/research</w:t>
      </w:r>
    </w:p>
    <w:p>
      <w:pPr>
        <w:pStyle w:val="ListBullet"/>
        <w:spacing w:after="60"/>
      </w:pPr>
      <w:r>
        <w:rPr>
          <w:b/>
          <w:color w:val="1A1917"/>
          <w:sz w:val="20"/>
        </w:rPr>
        <w:t xml:space="preserve">DESNZ EPC Statistics 2024: </w:t>
      </w:r>
      <w:r>
        <w:rPr>
          <w:color w:val="1D9E75"/>
          <w:sz w:val="20"/>
        </w:rPr>
        <w:t>https://www.gov.uk/government/collections/energy-performance-certificates</w:t>
      </w:r>
    </w:p>
    <w:p>
      <w:pPr>
        <w:pStyle w:val="ListBullet"/>
        <w:spacing w:after="60"/>
      </w:pPr>
      <w:r>
        <w:rPr>
          <w:b/>
          <w:color w:val="1A1917"/>
          <w:sz w:val="20"/>
        </w:rPr>
        <w:t xml:space="preserve">HMRC Landlord Statistics: </w:t>
      </w:r>
      <w:r>
        <w:rPr>
          <w:color w:val="1D9E75"/>
          <w:sz w:val="20"/>
        </w:rPr>
        <w:t>https://www.gov.uk/government/statistics/income-from-property-in-the-nations-regions-and-local-areas</w:t>
      </w:r>
    </w:p>
    <w:p>
      <w:pPr>
        <w:pStyle w:val="ListBullet"/>
        <w:spacing w:after="60"/>
      </w:pPr>
      <w:r>
        <w:rPr>
          <w:b/>
          <w:color w:val="1A1917"/>
          <w:sz w:val="20"/>
        </w:rPr>
        <w:t xml:space="preserve">PiLabs Proptech Report 2024: </w:t>
      </w:r>
      <w:r>
        <w:rPr>
          <w:color w:val="1D9E75"/>
          <w:sz w:val="20"/>
        </w:rPr>
        <w:t>https://www.pilabs.co.uk/proptech-report</w:t>
      </w:r>
    </w:p>
    <w:p>
      <w:pPr>
        <w:pStyle w:val="ListBullet"/>
        <w:spacing w:after="60"/>
      </w:pPr>
      <w:r>
        <w:rPr>
          <w:b/>
          <w:color w:val="1A1917"/>
          <w:sz w:val="20"/>
        </w:rPr>
        <w:t xml:space="preserve">Innovate UK Smart Grants: </w:t>
      </w:r>
      <w:r>
        <w:rPr>
          <w:color w:val="1D9E75"/>
          <w:sz w:val="20"/>
        </w:rPr>
        <w:t>https://www.ukri.org/councils/innovate-uk/</w:t>
      </w:r>
    </w:p>
    <w:p>
      <w:pPr>
        <w:pStyle w:val="ListBullet"/>
        <w:spacing w:after="60"/>
      </w:pPr>
      <w:r>
        <w:rPr>
          <w:b/>
          <w:color w:val="1A1917"/>
          <w:sz w:val="20"/>
        </w:rPr>
        <w:t xml:space="preserve">Geovation Accelerator: </w:t>
      </w:r>
      <w:r>
        <w:rPr>
          <w:color w:val="1D9E75"/>
          <w:sz w:val="20"/>
        </w:rPr>
        <w:t>https://geovation.uk/accelerator/</w:t>
      </w:r>
    </w:p>
    <w:p>
      <w:pPr>
        <w:pStyle w:val="ListBullet"/>
        <w:spacing w:after="60"/>
      </w:pPr>
      <w:r>
        <w:rPr>
          <w:b/>
          <w:color w:val="1A1917"/>
          <w:sz w:val="20"/>
        </w:rPr>
        <w:t xml:space="preserve">MoneySavingExpert Remortgage Guide: </w:t>
      </w:r>
      <w:r>
        <w:rPr>
          <w:color w:val="1D9E75"/>
          <w:sz w:val="20"/>
        </w:rPr>
        <w:t>https://www.moneysavingexpert.com/mortgages/remortgaging/</w:t>
      </w:r>
    </w:p>
    <w:p>
      <w:pPr>
        <w:pStyle w:val="ListBullet"/>
        <w:spacing w:after="60"/>
      </w:pPr>
      <w:r>
        <w:rPr>
          <w:b/>
          <w:color w:val="1A1917"/>
          <w:sz w:val="20"/>
        </w:rPr>
        <w:t xml:space="preserve">ECO4 Scheme GOV.UK: </w:t>
      </w:r>
      <w:r>
        <w:rPr>
          <w:color w:val="1D9E75"/>
          <w:sz w:val="20"/>
        </w:rPr>
        <w:t>https://www.gov.uk/apply-great-british-insulation-scheme</w:t>
      </w:r>
    </w:p>
    <w:p>
      <w:pPr>
        <w:pStyle w:val="ListBullet"/>
        <w:spacing w:after="60"/>
      </w:pPr>
      <w:r>
        <w:rPr>
          <w:b/>
          <w:color w:val="1A1917"/>
          <w:sz w:val="20"/>
        </w:rPr>
        <w:t xml:space="preserve">Boiler Upgrade Scheme GOV.UK: </w:t>
      </w:r>
      <w:r>
        <w:rPr>
          <w:color w:val="1D9E75"/>
          <w:sz w:val="20"/>
        </w:rPr>
        <w:t>https://www.gov.uk/apply-boiler-upgrade-scheme</w:t>
      </w:r>
    </w:p>
    <w:p>
      <w:pPr>
        <w:spacing w:before="160" w:after="160"/>
        <w:pBdr>
          <w:bottom w:val="single" w:sz="4" w:space="1" w:color="D1CEC8"/>
        </w:pBdr>
      </w:pPr>
    </w:p>
    <w:sectPr w:rsidR="00FC693F" w:rsidRPr="0006063C" w:rsidSect="00034616">
      <w:pgSz w:w="12240" w:h="15840"/>
      <w:pgMar w:top="1134" w:right="1417" w:bottom="1134" w:left="1417" w:header="720" w:footer="720" w:gutter="0"/>
      <w:cols w:space="720"/>
      <w:docGrid w:linePitch="360"/>
    </w:sectPr>
    <w:p>
      <w:r>
        <w:br w:type="page"/>
      </w:r>
    </w:p>
    <w:p>
      <w:pPr>
        <w:pStyle w:val="Heading1"/>
        <w:spacing w:before="400" w:after="120"/>
      </w:pPr>
      <w:r>
        <w:rPr>
          <w:color w:val="1D9E75"/>
          <w:sz w:val="32"/>
        </w:rPr>
        <w:t>23. Primary Research Methodology and Market Validation (B2C)</w:t>
      </w:r>
    </w:p>
    <w:p>
      <w:pPr>
        <w:spacing w:after="120"/>
      </w:pPr>
      <w:r>
        <w:rPr>
          <w:i w:val="0"/>
          <w:color w:val="5E5A52"/>
          <w:sz w:val="21"/>
        </w:rPr>
        <w:t>Prior to and during MVP development, PropPilot conducted structured primary research to validate demand, willingness to pay, and feature priority among target B2C users.</w:t>
      </w:r>
    </w:p>
    <w:p>
      <w:pPr>
        <w:pStyle w:val="Heading2"/>
        <w:spacing w:before="240" w:after="80"/>
      </w:pPr>
      <w:r>
        <w:rPr>
          <w:color w:val="1A1917"/>
          <w:sz w:val="26"/>
        </w:rPr>
        <w:t>Research methods used</w:t>
      </w:r>
    </w:p>
    <w:p>
      <w:pPr>
        <w:pStyle w:val="ListBullet"/>
        <w:spacing w:after="60"/>
        <w:ind w:left="283"/>
      </w:pPr>
      <w:r>
        <w:rPr>
          <w:color w:val="5E5A52"/>
          <w:sz w:val="21"/>
        </w:rPr>
        <w:t>Online survey (n=87): Distributed via UK property Facebook groups, Reddit (r/HousingUK, r/FirstTimeHomeBuyer), and LinkedIn. Respondents were UK adults who had bought, were buying, or owned residential property in the last 24 months.</w:t>
      </w:r>
    </w:p>
    <w:p>
      <w:pPr>
        <w:pStyle w:val="ListBullet"/>
        <w:spacing w:after="60"/>
        <w:ind w:left="283"/>
      </w:pPr>
      <w:r>
        <w:rPr>
          <w:color w:val="5E5A52"/>
          <w:sz w:val="21"/>
        </w:rPr>
        <w:t>One-to-one interviews (n=14): Semi-structured 30-minute interviews with first-time buyers (n=6), homeowners (n=5), and buy-to-let landlords (n=3). Conducted remotely via Zoom.</w:t>
      </w:r>
    </w:p>
    <w:p>
      <w:pPr>
        <w:pStyle w:val="ListBullet"/>
        <w:spacing w:after="60"/>
        <w:ind w:left="283"/>
      </w:pPr>
      <w:r>
        <w:rPr>
          <w:color w:val="5E5A52"/>
          <w:sz w:val="21"/>
        </w:rPr>
        <w:t>Usability testing (n=8): Participants given access to the PropPilot MVP prototype and asked to complete three tasks: run a property report, use the SDLT calculator, and navigate to the professional services section.</w:t>
      </w:r>
    </w:p>
    <w:p>
      <w:pPr>
        <w:pStyle w:val="Heading2"/>
        <w:spacing w:before="240" w:after="80"/>
      </w:pPr>
      <w:r>
        <w:rPr>
          <w:color w:val="1A1917"/>
          <w:sz w:val="26"/>
        </w:rPr>
        <w:t>Key survey findings</w:t>
      </w:r>
    </w:p>
    <w:tbl>
      <w:tblPr>
        <w:tblStyle w:val="TableGrid"/>
        <w:tblW w:type="auto" w:w="0"/>
        <w:tblLook w:firstColumn="1" w:firstRow="1" w:lastColumn="0" w:lastRow="0" w:noHBand="0" w:noVBand="1" w:val="04A0"/>
      </w:tblPr>
      <w:tblGrid>
        <w:gridCol w:w="4703"/>
        <w:gridCol w:w="4703"/>
      </w:tblGrid>
      <w:tr>
        <w:tc>
          <w:tcPr>
            <w:tcW w:type="dxa" w:w="4703"/>
            <w:vAlign w:val="center"/>
            <w:tcW w:w="3600000" w:type="dxa"/>
            <w:shd w:val="clear" w:color="auto" w:fill="1D9E75"/>
          </w:tcPr>
          <w:p>
            <w:pPr>
              <w:spacing w:before="60" w:after="60"/>
              <w:ind w:left="113"/>
            </w:pPr>
            <w:r>
              <w:rPr>
                <w:b/>
                <w:color w:val="FFFFFF"/>
                <w:sz w:val="19"/>
              </w:rPr>
              <w:t>Finding</w:t>
            </w:r>
          </w:p>
        </w:tc>
        <w:tc>
          <w:tcPr>
            <w:tcW w:type="dxa" w:w="4703"/>
            <w:vAlign w:val="center"/>
            <w:tcW w:w="2520000" w:type="dxa"/>
            <w:shd w:val="clear" w:color="auto" w:fill="1D9E75"/>
          </w:tcPr>
          <w:p>
            <w:pPr>
              <w:spacing w:before="60" w:after="60"/>
              <w:ind w:left="113"/>
            </w:pPr>
            <w:r>
              <w:rPr>
                <w:b/>
                <w:color w:val="FFFFFF"/>
                <w:sz w:val="19"/>
              </w:rPr>
              <w:t>Result</w:t>
            </w:r>
          </w:p>
        </w:tc>
      </w:tr>
      <w:tr>
        <w:tc>
          <w:tcPr>
            <w:tcW w:type="dxa" w:w="4703"/>
            <w:vAlign w:val="center"/>
            <w:tcW w:w="3600000" w:type="dxa"/>
          </w:tcPr>
          <w:p>
            <w:pPr>
              <w:spacing w:before="60" w:after="60"/>
              <w:ind w:left="113"/>
            </w:pPr>
            <w:r>
              <w:rPr>
                <w:b w:val="0"/>
                <w:color w:val="1A1917"/>
                <w:sz w:val="19"/>
              </w:rPr>
              <w:t>Used more than 3 websites for property due diligence</w:t>
            </w:r>
          </w:p>
        </w:tc>
        <w:tc>
          <w:tcPr>
            <w:tcW w:type="dxa" w:w="4703"/>
            <w:vAlign w:val="center"/>
            <w:tcW w:w="2520000" w:type="dxa"/>
          </w:tcPr>
          <w:p>
            <w:pPr>
              <w:spacing w:before="60" w:after="60"/>
              <w:ind w:left="113"/>
            </w:pPr>
            <w:r>
              <w:rPr>
                <w:b w:val="0"/>
                <w:color w:val="5E5A52"/>
                <w:sz w:val="19"/>
              </w:rPr>
              <w:t>78% of respondents</w:t>
            </w:r>
          </w:p>
        </w:tc>
      </w:tr>
      <w:tr>
        <w:tc>
          <w:tcPr>
            <w:tcW w:type="dxa" w:w="4703"/>
            <w:vAlign w:val="center"/>
            <w:tcW w:w="3600000" w:type="dxa"/>
            <w:shd w:val="clear" w:color="auto" w:fill="F8F7F4"/>
          </w:tcPr>
          <w:p>
            <w:pPr>
              <w:spacing w:before="60" w:after="60"/>
              <w:ind w:left="113"/>
            </w:pPr>
            <w:r>
              <w:rPr>
                <w:b w:val="0"/>
                <w:color w:val="1A1917"/>
                <w:sz w:val="19"/>
              </w:rPr>
              <w:t>Found property data gathering "confusing" or "very confusing"</w:t>
            </w:r>
          </w:p>
        </w:tc>
        <w:tc>
          <w:tcPr>
            <w:tcW w:type="dxa" w:w="4703"/>
            <w:vAlign w:val="center"/>
            <w:tcW w:w="2520000" w:type="dxa"/>
            <w:shd w:val="clear" w:color="auto" w:fill="F8F7F4"/>
          </w:tcPr>
          <w:p>
            <w:pPr>
              <w:spacing w:before="60" w:after="60"/>
              <w:ind w:left="113"/>
            </w:pPr>
            <w:r>
              <w:rPr>
                <w:b w:val="0"/>
                <w:color w:val="5E5A52"/>
                <w:sz w:val="19"/>
              </w:rPr>
              <w:t>69% of respondents</w:t>
            </w:r>
          </w:p>
        </w:tc>
      </w:tr>
      <w:tr>
        <w:tc>
          <w:tcPr>
            <w:tcW w:type="dxa" w:w="4703"/>
            <w:vAlign w:val="center"/>
            <w:tcW w:w="3600000" w:type="dxa"/>
          </w:tcPr>
          <w:p>
            <w:pPr>
              <w:spacing w:before="60" w:after="60"/>
              <w:ind w:left="113"/>
            </w:pPr>
            <w:r>
              <w:rPr>
                <w:b w:val="0"/>
                <w:color w:val="1A1917"/>
                <w:sz w:val="19"/>
              </w:rPr>
              <w:t>Would pay for a single property due diligence report</w:t>
            </w:r>
          </w:p>
        </w:tc>
        <w:tc>
          <w:tcPr>
            <w:tcW w:type="dxa" w:w="4703"/>
            <w:vAlign w:val="center"/>
            <w:tcW w:w="2520000" w:type="dxa"/>
          </w:tcPr>
          <w:p>
            <w:pPr>
              <w:spacing w:before="60" w:after="60"/>
              <w:ind w:left="113"/>
            </w:pPr>
            <w:r>
              <w:rPr>
                <w:b w:val="0"/>
                <w:color w:val="5E5A52"/>
                <w:sz w:val="19"/>
              </w:rPr>
              <w:t>61% of respondents</w:t>
            </w:r>
          </w:p>
        </w:tc>
      </w:tr>
      <w:tr>
        <w:tc>
          <w:tcPr>
            <w:tcW w:type="dxa" w:w="4703"/>
            <w:vAlign w:val="center"/>
            <w:tcW w:w="3600000" w:type="dxa"/>
            <w:shd w:val="clear" w:color="auto" w:fill="F8F7F4"/>
          </w:tcPr>
          <w:p>
            <w:pPr>
              <w:spacing w:before="60" w:after="60"/>
              <w:ind w:left="113"/>
            </w:pPr>
            <w:r>
              <w:rPr>
                <w:b w:val="0"/>
                <w:color w:val="1A1917"/>
                <w:sz w:val="19"/>
              </w:rPr>
              <w:t>Willing to pay £10-£25/month for a property intelligence tool</w:t>
            </w:r>
          </w:p>
        </w:tc>
        <w:tc>
          <w:tcPr>
            <w:tcW w:type="dxa" w:w="4703"/>
            <w:vAlign w:val="center"/>
            <w:tcW w:w="2520000" w:type="dxa"/>
            <w:shd w:val="clear" w:color="auto" w:fill="F8F7F4"/>
          </w:tcPr>
          <w:p>
            <w:pPr>
              <w:spacing w:before="60" w:after="60"/>
              <w:ind w:left="113"/>
            </w:pPr>
            <w:r>
              <w:rPr>
                <w:b w:val="0"/>
                <w:color w:val="5E5A52"/>
                <w:sz w:val="19"/>
              </w:rPr>
              <w:t>48% of respondents</w:t>
            </w:r>
          </w:p>
        </w:tc>
      </w:tr>
      <w:tr>
        <w:tc>
          <w:tcPr>
            <w:tcW w:type="dxa" w:w="4703"/>
            <w:vAlign w:val="center"/>
            <w:tcW w:w="3600000" w:type="dxa"/>
          </w:tcPr>
          <w:p>
            <w:pPr>
              <w:spacing w:before="60" w:after="60"/>
              <w:ind w:left="113"/>
            </w:pPr>
            <w:r>
              <w:rPr>
                <w:b w:val="0"/>
                <w:color w:val="1A1917"/>
                <w:sz w:val="19"/>
              </w:rPr>
              <w:t>Would trust a professional service booked via PropPilot</w:t>
            </w:r>
          </w:p>
        </w:tc>
        <w:tc>
          <w:tcPr>
            <w:tcW w:type="dxa" w:w="4703"/>
            <w:vAlign w:val="center"/>
            <w:tcW w:w="2520000" w:type="dxa"/>
          </w:tcPr>
          <w:p>
            <w:pPr>
              <w:spacing w:before="60" w:after="60"/>
              <w:ind w:left="113"/>
            </w:pPr>
            <w:r>
              <w:rPr>
                <w:b w:val="0"/>
                <w:color w:val="5E5A52"/>
                <w:sz w:val="19"/>
              </w:rPr>
              <w:t>54% if ratings visible</w:t>
            </w:r>
          </w:p>
        </w:tc>
      </w:tr>
      <w:tr>
        <w:tc>
          <w:tcPr>
            <w:tcW w:type="dxa" w:w="4703"/>
            <w:vAlign w:val="center"/>
            <w:tcW w:w="3600000" w:type="dxa"/>
            <w:shd w:val="clear" w:color="auto" w:fill="F8F7F4"/>
          </w:tcPr>
          <w:p>
            <w:pPr>
              <w:spacing w:before="60" w:after="60"/>
              <w:ind w:left="113"/>
            </w:pPr>
            <w:r>
              <w:rPr>
                <w:b w:val="0"/>
                <w:color w:val="1A1917"/>
                <w:sz w:val="19"/>
              </w:rPr>
              <w:t>Missed remortgage window in last 5 years</w:t>
            </w:r>
          </w:p>
        </w:tc>
        <w:tc>
          <w:tcPr>
            <w:tcW w:type="dxa" w:w="4703"/>
            <w:vAlign w:val="center"/>
            <w:tcW w:w="2520000" w:type="dxa"/>
            <w:shd w:val="clear" w:color="auto" w:fill="F8F7F4"/>
          </w:tcPr>
          <w:p>
            <w:pPr>
              <w:spacing w:before="60" w:after="60"/>
              <w:ind w:left="113"/>
            </w:pPr>
            <w:r>
              <w:rPr>
                <w:b w:val="0"/>
                <w:color w:val="5E5A52"/>
                <w:sz w:val="19"/>
              </w:rPr>
              <w:t>31% of homeowners</w:t>
            </w:r>
          </w:p>
        </w:tc>
      </w:tr>
      <w:tr>
        <w:tc>
          <w:tcPr>
            <w:tcW w:type="dxa" w:w="4703"/>
            <w:vAlign w:val="center"/>
            <w:tcW w:w="3600000" w:type="dxa"/>
          </w:tcPr>
          <w:p>
            <w:pPr>
              <w:spacing w:before="60" w:after="60"/>
              <w:ind w:left="113"/>
            </w:pPr>
            <w:r>
              <w:rPr>
                <w:b w:val="0"/>
                <w:color w:val="1A1917"/>
                <w:sz w:val="19"/>
              </w:rPr>
              <w:t>Unaware of EPC improvement grants available to them</w:t>
            </w:r>
          </w:p>
        </w:tc>
        <w:tc>
          <w:tcPr>
            <w:tcW w:type="dxa" w:w="4703"/>
            <w:vAlign w:val="center"/>
            <w:tcW w:w="2520000" w:type="dxa"/>
          </w:tcPr>
          <w:p>
            <w:pPr>
              <w:spacing w:before="60" w:after="60"/>
              <w:ind w:left="113"/>
            </w:pPr>
            <w:r>
              <w:rPr>
                <w:b w:val="0"/>
                <w:color w:val="5E5A52"/>
                <w:sz w:val="19"/>
              </w:rPr>
              <w:t>67% of homeowners</w:t>
            </w:r>
          </w:p>
        </w:tc>
      </w:tr>
    </w:tbl>
    <w:p/>
    <w:p>
      <w:pPr>
        <w:pStyle w:val="Heading2"/>
        <w:spacing w:before="240" w:after="80"/>
      </w:pPr>
      <w:r>
        <w:rPr>
          <w:color w:val="1A1917"/>
          <w:sz w:val="26"/>
        </w:rPr>
        <w:t>Key interview insights</w:t>
      </w:r>
    </w:p>
    <w:p>
      <w:pPr>
        <w:pStyle w:val="ListBullet"/>
        <w:spacing w:after="60"/>
        <w:ind w:left="283"/>
      </w:pPr>
      <w:r>
        <w:rPr>
          <w:color w:val="5E5A52"/>
          <w:sz w:val="21"/>
        </w:rPr>
        <w:t>"I spent 3 weekends trying to find out if the house I liked was in a flood zone. I still am not sure I got the right answer." — FTB, Manchester</w:t>
      </w:r>
    </w:p>
    <w:p>
      <w:pPr>
        <w:pStyle w:val="ListBullet"/>
        <w:spacing w:after="60"/>
        <w:ind w:left="283"/>
      </w:pPr>
      <w:r>
        <w:rPr>
          <w:color w:val="5E5A52"/>
          <w:sz w:val="21"/>
        </w:rPr>
        <w:t>"I knew my fix was ending but I just kept putting off calling a broker. By the time I did, I had already been on the SVR for 4 months." — Homeowner, Leeds</w:t>
      </w:r>
    </w:p>
    <w:p>
      <w:pPr>
        <w:pStyle w:val="ListBullet"/>
        <w:spacing w:after="60"/>
        <w:ind w:left="283"/>
      </w:pPr>
      <w:r>
        <w:rPr>
          <w:color w:val="5E5A52"/>
          <w:sz w:val="21"/>
        </w:rPr>
        <w:t>"I have four properties and I track all the gas certs in a spreadsheet. It is a mess. I would pay good money for something that just tells me what is due." — BTL Landlord, Birmingham</w:t>
      </w:r>
    </w:p>
    <w:p>
      <w:pPr>
        <w:pStyle w:val="Heading2"/>
        <w:spacing w:before="240" w:after="80"/>
      </w:pPr>
      <w:r>
        <w:rPr>
          <w:color w:val="1A1917"/>
          <w:sz w:val="26"/>
        </w:rPr>
        <w:t>Usability test outcomes</w:t>
      </w:r>
    </w:p>
    <w:p>
      <w:pPr>
        <w:pStyle w:val="ListBullet"/>
        <w:spacing w:after="60"/>
        <w:ind w:left="283"/>
      </w:pPr>
      <w:r>
        <w:rPr>
          <w:color w:val="5E5A52"/>
          <w:sz w:val="21"/>
        </w:rPr>
        <w:t>All 8 participants completed the property report task without assistance in under 5 minutes.</w:t>
      </w:r>
    </w:p>
    <w:p>
      <w:pPr>
        <w:pStyle w:val="ListBullet"/>
        <w:spacing w:after="60"/>
        <w:ind w:left="283"/>
      </w:pPr>
      <w:r>
        <w:rPr>
          <w:color w:val="5E5A52"/>
          <w:sz w:val="21"/>
        </w:rPr>
        <w:t>7/8 described the report as "clear" or "very clear".</w:t>
      </w:r>
    </w:p>
    <w:p>
      <w:pPr>
        <w:pStyle w:val="ListBullet"/>
        <w:spacing w:after="60"/>
        <w:ind w:left="283"/>
      </w:pPr>
      <w:r>
        <w:rPr>
          <w:color w:val="5E5A52"/>
          <w:sz w:val="21"/>
        </w:rPr>
        <w:t>6/8 said they would use PropPilot again; 5/8 said they would recommend it to a friend.</w:t>
      </w:r>
    </w:p>
    <w:p>
      <w:pPr>
        <w:pStyle w:val="ListBullet"/>
        <w:spacing w:after="60"/>
        <w:ind w:left="283"/>
      </w:pPr>
      <w:r>
        <w:rPr>
          <w:color w:val="5E5A52"/>
          <w:sz w:val="21"/>
        </w:rPr>
        <w:t>Main usability issue identified: users wanted the PropPilot Score displayed more prominently at the top of the report. (Implemented in MVP v1.1.)</w:t>
      </w:r>
    </w:p>
    <w:p>
      <w:pPr>
        <w:spacing w:before="160" w:after="160"/>
        <w:pBdr>
          <w:bottom w:val="single" w:sz="4" w:space="1" w:color="D1CEC8"/>
        </w:pBdr>
      </w:pPr>
    </w:p>
    <w:p>
      <w:pPr>
        <w:pStyle w:val="Heading1"/>
        <w:spacing w:before="400" w:after="120"/>
      </w:pPr>
      <w:r>
        <w:rPr>
          <w:color w:val="1D9E75"/>
          <w:sz w:val="32"/>
        </w:rPr>
        <w:t>24. Early Traction B2B and Market Validation</w:t>
      </w:r>
    </w:p>
    <w:p>
      <w:pPr>
        <w:spacing w:after="120"/>
      </w:pPr>
      <w:r>
        <w:rPr>
          <w:i w:val="0"/>
          <w:color w:val="5E5A52"/>
          <w:sz w:val="21"/>
        </w:rPr>
        <w:t>While PropPilot is primarily a B2C product, the B2B opportunity — estate agents, mortgage brokers, and landlord associations — has been validated through early conversations and partnership interest.</w:t>
      </w:r>
    </w:p>
    <w:p>
      <w:pPr>
        <w:pStyle w:val="Heading2"/>
        <w:spacing w:before="240" w:after="80"/>
      </w:pPr>
      <w:r>
        <w:rPr>
          <w:color w:val="1A1917"/>
          <w:sz w:val="26"/>
        </w:rPr>
        <w:t>B2B interest logged</w:t>
      </w:r>
    </w:p>
    <w:tbl>
      <w:tblPr>
        <w:tblStyle w:val="TableGrid"/>
        <w:tblW w:type="auto" w:w="0"/>
        <w:tblLook w:firstColumn="1" w:firstRow="1" w:lastColumn="0" w:lastRow="0" w:noHBand="0" w:noVBand="1" w:val="04A0"/>
      </w:tblPr>
      <w:tblGrid>
        <w:gridCol w:w="2351"/>
        <w:gridCol w:w="2351"/>
        <w:gridCol w:w="2351"/>
        <w:gridCol w:w="2351"/>
      </w:tblGrid>
      <w:tr>
        <w:tc>
          <w:tcPr>
            <w:tcW w:type="dxa" w:w="2351"/>
            <w:vAlign w:val="center"/>
            <w:tcW w:w="1620000" w:type="dxa"/>
            <w:shd w:val="clear" w:color="auto" w:fill="1D9E75"/>
          </w:tcPr>
          <w:p>
            <w:pPr>
              <w:spacing w:before="60" w:after="60"/>
              <w:ind w:left="113"/>
            </w:pPr>
            <w:r>
              <w:rPr>
                <w:b/>
                <w:color w:val="FFFFFF"/>
                <w:sz w:val="19"/>
              </w:rPr>
              <w:t>Organisation type</w:t>
            </w:r>
          </w:p>
        </w:tc>
        <w:tc>
          <w:tcPr>
            <w:tcW w:type="dxa" w:w="2351"/>
            <w:vAlign w:val="center"/>
            <w:tcW w:w="1260000" w:type="dxa"/>
            <w:shd w:val="clear" w:color="auto" w:fill="1D9E75"/>
          </w:tcPr>
          <w:p>
            <w:pPr>
              <w:spacing w:before="60" w:after="60"/>
              <w:ind w:left="113"/>
            </w:pPr>
            <w:r>
              <w:rPr>
                <w:b/>
                <w:color w:val="FFFFFF"/>
                <w:sz w:val="19"/>
              </w:rPr>
              <w:t>No. of conversations</w:t>
            </w:r>
          </w:p>
        </w:tc>
        <w:tc>
          <w:tcPr>
            <w:tcW w:type="dxa" w:w="2351"/>
            <w:vAlign w:val="center"/>
            <w:tcW w:w="1620000" w:type="dxa"/>
            <w:shd w:val="clear" w:color="auto" w:fill="1D9E75"/>
          </w:tcPr>
          <w:p>
            <w:pPr>
              <w:spacing w:before="60" w:after="60"/>
              <w:ind w:left="113"/>
            </w:pPr>
            <w:r>
              <w:rPr>
                <w:b/>
                <w:color w:val="FFFFFF"/>
                <w:sz w:val="19"/>
              </w:rPr>
              <w:t>Level of interest</w:t>
            </w:r>
          </w:p>
        </w:tc>
        <w:tc>
          <w:tcPr>
            <w:tcW w:type="dxa" w:w="2351"/>
            <w:vAlign w:val="center"/>
            <w:tcW w:w="1620000" w:type="dxa"/>
            <w:shd w:val="clear" w:color="auto" w:fill="1D9E75"/>
          </w:tcPr>
          <w:p>
            <w:pPr>
              <w:spacing w:before="60" w:after="60"/>
              <w:ind w:left="113"/>
            </w:pPr>
            <w:r>
              <w:rPr>
                <w:b/>
                <w:color w:val="FFFFFF"/>
                <w:sz w:val="19"/>
              </w:rPr>
              <w:t>Potential revenue</w:t>
            </w:r>
          </w:p>
        </w:tc>
      </w:tr>
      <w:tr>
        <w:tc>
          <w:tcPr>
            <w:tcW w:type="dxa" w:w="2351"/>
            <w:vAlign w:val="center"/>
            <w:tcW w:w="1620000" w:type="dxa"/>
          </w:tcPr>
          <w:p>
            <w:pPr>
              <w:spacing w:before="60" w:after="60"/>
              <w:ind w:left="113"/>
            </w:pPr>
            <w:r>
              <w:rPr>
                <w:b w:val="0"/>
                <w:color w:val="1A1917"/>
                <w:sz w:val="19"/>
              </w:rPr>
              <w:t>Independent estate agents</w:t>
            </w:r>
          </w:p>
        </w:tc>
        <w:tc>
          <w:tcPr>
            <w:tcW w:type="dxa" w:w="2351"/>
            <w:vAlign w:val="center"/>
            <w:tcW w:w="1260000" w:type="dxa"/>
          </w:tcPr>
          <w:p>
            <w:pPr>
              <w:spacing w:before="60" w:after="60"/>
              <w:ind w:left="113"/>
            </w:pPr>
            <w:r>
              <w:rPr>
                <w:b w:val="0"/>
                <w:color w:val="5E5A52"/>
                <w:sz w:val="19"/>
              </w:rPr>
              <w:t>6 firms</w:t>
            </w:r>
          </w:p>
        </w:tc>
        <w:tc>
          <w:tcPr>
            <w:tcW w:type="dxa" w:w="2351"/>
            <w:vAlign w:val="center"/>
            <w:tcW w:w="1620000" w:type="dxa"/>
          </w:tcPr>
          <w:p>
            <w:pPr>
              <w:spacing w:before="60" w:after="60"/>
              <w:ind w:left="113"/>
            </w:pPr>
            <w:r>
              <w:rPr>
                <w:b w:val="0"/>
                <w:color w:val="5E5A52"/>
                <w:sz w:val="19"/>
              </w:rPr>
              <w:t>High — 4 requested white-label demo</w:t>
            </w:r>
          </w:p>
        </w:tc>
        <w:tc>
          <w:tcPr>
            <w:tcW w:type="dxa" w:w="2351"/>
            <w:vAlign w:val="center"/>
            <w:tcW w:w="1620000" w:type="dxa"/>
          </w:tcPr>
          <w:p>
            <w:pPr>
              <w:spacing w:before="60" w:after="60"/>
              <w:ind w:left="113"/>
            </w:pPr>
            <w:r>
              <w:rPr>
                <w:b w:val="0"/>
                <w:color w:val="5E5A52"/>
                <w:sz w:val="19"/>
              </w:rPr>
              <w:t>£79/mo × 4 = £316/mo</w:t>
            </w:r>
          </w:p>
        </w:tc>
      </w:tr>
      <w:tr>
        <w:tc>
          <w:tcPr>
            <w:tcW w:type="dxa" w:w="2351"/>
            <w:vAlign w:val="center"/>
            <w:tcW w:w="1620000" w:type="dxa"/>
            <w:shd w:val="clear" w:color="auto" w:fill="F8F7F4"/>
          </w:tcPr>
          <w:p>
            <w:pPr>
              <w:spacing w:before="60" w:after="60"/>
              <w:ind w:left="113"/>
            </w:pPr>
            <w:r>
              <w:rPr>
                <w:b w:val="0"/>
                <w:color w:val="1A1917"/>
                <w:sz w:val="19"/>
              </w:rPr>
              <w:t>Mortgage brokers (DA)</w:t>
            </w:r>
          </w:p>
        </w:tc>
        <w:tc>
          <w:tcPr>
            <w:tcW w:type="dxa" w:w="2351"/>
            <w:vAlign w:val="center"/>
            <w:tcW w:w="1260000" w:type="dxa"/>
            <w:shd w:val="clear" w:color="auto" w:fill="F8F7F4"/>
          </w:tcPr>
          <w:p>
            <w:pPr>
              <w:spacing w:before="60" w:after="60"/>
              <w:ind w:left="113"/>
            </w:pPr>
            <w:r>
              <w:rPr>
                <w:b w:val="0"/>
                <w:color w:val="5E5A52"/>
                <w:sz w:val="19"/>
              </w:rPr>
              <w:t>3 firms</w:t>
            </w:r>
          </w:p>
        </w:tc>
        <w:tc>
          <w:tcPr>
            <w:tcW w:type="dxa" w:w="2351"/>
            <w:vAlign w:val="center"/>
            <w:tcW w:w="1620000" w:type="dxa"/>
            <w:shd w:val="clear" w:color="auto" w:fill="F8F7F4"/>
          </w:tcPr>
          <w:p>
            <w:pPr>
              <w:spacing w:before="60" w:after="60"/>
              <w:ind w:left="113"/>
            </w:pPr>
            <w:r>
              <w:rPr>
                <w:b w:val="0"/>
                <w:color w:val="5E5A52"/>
                <w:sz w:val="19"/>
              </w:rPr>
              <w:t>Medium — interested in remortgage referral</w:t>
            </w:r>
          </w:p>
        </w:tc>
        <w:tc>
          <w:tcPr>
            <w:tcW w:type="dxa" w:w="2351"/>
            <w:vAlign w:val="center"/>
            <w:tcW w:w="1620000" w:type="dxa"/>
            <w:shd w:val="clear" w:color="auto" w:fill="F8F7F4"/>
          </w:tcPr>
          <w:p>
            <w:pPr>
              <w:spacing w:before="60" w:after="60"/>
              <w:ind w:left="113"/>
            </w:pPr>
            <w:r>
              <w:rPr>
                <w:b w:val="0"/>
                <w:color w:val="5E5A52"/>
                <w:sz w:val="19"/>
              </w:rPr>
              <w:t>Referral fee model TBD</w:t>
            </w:r>
          </w:p>
        </w:tc>
      </w:tr>
      <w:tr>
        <w:tc>
          <w:tcPr>
            <w:tcW w:type="dxa" w:w="2351"/>
            <w:vAlign w:val="center"/>
            <w:tcW w:w="1620000" w:type="dxa"/>
          </w:tcPr>
          <w:p>
            <w:pPr>
              <w:spacing w:before="60" w:after="60"/>
              <w:ind w:left="113"/>
            </w:pPr>
            <w:r>
              <w:rPr>
                <w:b w:val="0"/>
                <w:color w:val="1A1917"/>
                <w:sz w:val="19"/>
              </w:rPr>
              <w:t>Landlord association (NRLA)</w:t>
            </w:r>
          </w:p>
        </w:tc>
        <w:tc>
          <w:tcPr>
            <w:tcW w:type="dxa" w:w="2351"/>
            <w:vAlign w:val="center"/>
            <w:tcW w:w="1260000" w:type="dxa"/>
          </w:tcPr>
          <w:p>
            <w:pPr>
              <w:spacing w:before="60" w:after="60"/>
              <w:ind w:left="113"/>
            </w:pPr>
            <w:r>
              <w:rPr>
                <w:b w:val="0"/>
                <w:color w:val="5E5A52"/>
                <w:sz w:val="19"/>
              </w:rPr>
              <w:t>1 intro call</w:t>
            </w:r>
          </w:p>
        </w:tc>
        <w:tc>
          <w:tcPr>
            <w:tcW w:type="dxa" w:w="2351"/>
            <w:vAlign w:val="center"/>
            <w:tcW w:w="1620000" w:type="dxa"/>
          </w:tcPr>
          <w:p>
            <w:pPr>
              <w:spacing w:before="60" w:after="60"/>
              <w:ind w:left="113"/>
            </w:pPr>
            <w:r>
              <w:rPr>
                <w:b w:val="0"/>
                <w:color w:val="5E5A52"/>
                <w:sz w:val="19"/>
              </w:rPr>
              <w:t>High — member tool integration interest</w:t>
            </w:r>
          </w:p>
        </w:tc>
        <w:tc>
          <w:tcPr>
            <w:tcW w:type="dxa" w:w="2351"/>
            <w:vAlign w:val="center"/>
            <w:tcW w:w="1620000" w:type="dxa"/>
          </w:tcPr>
          <w:p>
            <w:pPr>
              <w:spacing w:before="60" w:after="60"/>
              <w:ind w:left="113"/>
            </w:pPr>
            <w:r>
              <w:rPr>
                <w:b w:val="0"/>
                <w:color w:val="5E5A52"/>
                <w:sz w:val="19"/>
              </w:rPr>
              <w:t>Revenue share TBD</w:t>
            </w:r>
          </w:p>
        </w:tc>
      </w:tr>
      <w:tr>
        <w:tc>
          <w:tcPr>
            <w:tcW w:type="dxa" w:w="2351"/>
            <w:vAlign w:val="center"/>
            <w:tcW w:w="1620000" w:type="dxa"/>
            <w:shd w:val="clear" w:color="auto" w:fill="F8F7F4"/>
          </w:tcPr>
          <w:p>
            <w:pPr>
              <w:spacing w:before="60" w:after="60"/>
              <w:ind w:left="113"/>
            </w:pPr>
            <w:r>
              <w:rPr>
                <w:b w:val="0"/>
                <w:color w:val="1A1917"/>
                <w:sz w:val="19"/>
              </w:rPr>
              <w:t>Property solicitors</w:t>
            </w:r>
          </w:p>
        </w:tc>
        <w:tc>
          <w:tcPr>
            <w:tcW w:type="dxa" w:w="2351"/>
            <w:vAlign w:val="center"/>
            <w:tcW w:w="1260000" w:type="dxa"/>
            <w:shd w:val="clear" w:color="auto" w:fill="F8F7F4"/>
          </w:tcPr>
          <w:p>
            <w:pPr>
              <w:spacing w:before="60" w:after="60"/>
              <w:ind w:left="113"/>
            </w:pPr>
            <w:r>
              <w:rPr>
                <w:b w:val="0"/>
                <w:color w:val="5E5A52"/>
                <w:sz w:val="19"/>
              </w:rPr>
              <w:t>2 firms</w:t>
            </w:r>
          </w:p>
        </w:tc>
        <w:tc>
          <w:tcPr>
            <w:tcW w:type="dxa" w:w="2351"/>
            <w:vAlign w:val="center"/>
            <w:tcW w:w="1620000" w:type="dxa"/>
            <w:shd w:val="clear" w:color="auto" w:fill="F8F7F4"/>
          </w:tcPr>
          <w:p>
            <w:pPr>
              <w:spacing w:before="60" w:after="60"/>
              <w:ind w:left="113"/>
            </w:pPr>
            <w:r>
              <w:rPr>
                <w:b w:val="0"/>
                <w:color w:val="5E5A52"/>
                <w:sz w:val="19"/>
              </w:rPr>
              <w:t>Medium — interested in referral flow</w:t>
            </w:r>
          </w:p>
        </w:tc>
        <w:tc>
          <w:tcPr>
            <w:tcW w:type="dxa" w:w="2351"/>
            <w:vAlign w:val="center"/>
            <w:tcW w:w="1620000" w:type="dxa"/>
            <w:shd w:val="clear" w:color="auto" w:fill="F8F7F4"/>
          </w:tcPr>
          <w:p>
            <w:pPr>
              <w:spacing w:before="60" w:after="60"/>
              <w:ind w:left="113"/>
            </w:pPr>
            <w:r>
              <w:rPr>
                <w:b w:val="0"/>
                <w:color w:val="5E5A52"/>
                <w:sz w:val="19"/>
              </w:rPr>
              <w:t>Commission model TBD</w:t>
            </w:r>
          </w:p>
        </w:tc>
      </w:tr>
    </w:tbl>
    <w:p/>
    <w:p>
      <w:pPr>
        <w:pStyle w:val="Heading2"/>
        <w:spacing w:before="240" w:after="80"/>
      </w:pPr>
      <w:r>
        <w:rPr>
          <w:color w:val="1A1917"/>
          <w:sz w:val="26"/>
        </w:rPr>
        <w:t>Validation signals</w:t>
      </w:r>
    </w:p>
    <w:p>
      <w:pPr>
        <w:pStyle w:val="ListBullet"/>
        <w:spacing w:after="60"/>
        <w:ind w:left="283"/>
      </w:pPr>
      <w:r>
        <w:rPr>
          <w:color w:val="5E5A52"/>
          <w:sz w:val="21"/>
        </w:rPr>
        <w:t>Three independent estate agents asked to be notified when the white-label API is available.</w:t>
      </w:r>
    </w:p>
    <w:p>
      <w:pPr>
        <w:pStyle w:val="ListBullet"/>
        <w:spacing w:after="60"/>
        <w:ind w:left="283"/>
      </w:pPr>
      <w:r>
        <w:rPr>
          <w:color w:val="5E5A52"/>
          <w:sz w:val="21"/>
        </w:rPr>
        <w:t>One mortgage broker offered to pilot the remortgage radar referral flow with 20 clients.</w:t>
      </w:r>
    </w:p>
    <w:p>
      <w:pPr>
        <w:pStyle w:val="ListBullet"/>
        <w:spacing w:after="60"/>
        <w:ind w:left="283"/>
      </w:pPr>
      <w:r>
        <w:rPr>
          <w:color w:val="5E5A52"/>
          <w:sz w:val="21"/>
        </w:rPr>
        <w:t>NRLA membership team expressed interest in co-branded compliance tool for their 100,000+ members — subject to platform maturity and formal partnership agreement.</w:t>
      </w:r>
    </w:p>
    <w:p>
      <w:pPr>
        <w:spacing w:before="160" w:after="160"/>
        <w:pBdr>
          <w:bottom w:val="single" w:sz="4" w:space="1" w:color="D1CEC8"/>
        </w:pBdr>
      </w:pPr>
    </w:p>
    <w:p>
      <w:pPr>
        <w:pStyle w:val="Heading1"/>
        <w:spacing w:before="400" w:after="120"/>
      </w:pPr>
      <w:r>
        <w:rPr>
          <w:color w:val="1D9E75"/>
          <w:sz w:val="32"/>
        </w:rPr>
        <w:t>25. Early Market Validation and Community Engagement</w:t>
      </w:r>
    </w:p>
    <w:p>
      <w:pPr>
        <w:pStyle w:val="ListBullet"/>
        <w:spacing w:after="60"/>
        <w:ind w:left="283"/>
      </w:pPr>
      <w:r>
        <w:rPr>
          <w:color w:val="5E5A52"/>
          <w:sz w:val="21"/>
        </w:rPr>
        <w:t>PropPilot landing page live with email waitlist. 312 organic sign-ups as of April 2026 with zero paid advertising.</w:t>
      </w:r>
    </w:p>
    <w:p>
      <w:pPr>
        <w:pStyle w:val="ListBullet"/>
        <w:spacing w:after="60"/>
        <w:ind w:left="283"/>
      </w:pPr>
      <w:r>
        <w:rPr>
          <w:color w:val="5E5A52"/>
          <w:sz w:val="21"/>
        </w:rPr>
        <w:t>Reddit engagement: Posts in r/HousingUK and r/FirstTimeHomeBuyer discussing PropPilot's free property report tool generated 214 upvotes and 47 comments — overwhelmingly positive responses, with multiple users calling it "exactly what I've been looking for".</w:t>
      </w:r>
    </w:p>
    <w:p>
      <w:pPr>
        <w:pStyle w:val="ListBullet"/>
        <w:spacing w:after="60"/>
        <w:ind w:left="283"/>
      </w:pPr>
      <w:r>
        <w:rPr>
          <w:color w:val="5E5A52"/>
          <w:sz w:val="21"/>
        </w:rPr>
        <w:t>LinkedIn posts by the founder about the PropPilot concept received 1,100+ impressions and 38 connection requests from estate agents, mortgage brokers, and proptech founders.</w:t>
      </w:r>
    </w:p>
    <w:p>
      <w:pPr>
        <w:pStyle w:val="ListBullet"/>
        <w:spacing w:after="60"/>
        <w:ind w:left="283"/>
      </w:pPr>
      <w:r>
        <w:rPr>
          <w:color w:val="5E5A52"/>
          <w:sz w:val="21"/>
        </w:rPr>
        <w:t>Twitter/X thread on "how to check flood risk before buying a house" linking to PropPilot tool received 2,400 impressions and 89 link clicks in 72 hours.</w:t>
      </w:r>
    </w:p>
    <w:p>
      <w:pPr>
        <w:pStyle w:val="ListBullet"/>
        <w:spacing w:after="60"/>
        <w:ind w:left="283"/>
      </w:pPr>
      <w:r>
        <w:rPr>
          <w:color w:val="5E5A52"/>
          <w:sz w:val="21"/>
        </w:rPr>
        <w:t>ProductHunt soft launch planned for Q3 2026 once Stripe payments are live.</w:t>
      </w:r>
    </w:p>
    <w:p>
      <w:pPr>
        <w:spacing w:before="160" w:after="160"/>
        <w:pBdr>
          <w:bottom w:val="single" w:sz="4" w:space="1" w:color="D1CEC8"/>
        </w:pBdr>
      </w:pPr>
    </w:p>
    <w:p>
      <w:r>
        <w:br w:type="page"/>
      </w:r>
    </w:p>
    <w:p>
      <w:pPr>
        <w:pStyle w:val="Heading1"/>
        <w:spacing w:before="400" w:after="120"/>
      </w:pPr>
      <w:r>
        <w:rPr>
          <w:color w:val="1D9E75"/>
          <w:sz w:val="32"/>
        </w:rPr>
        <w:t>26. R&amp;D Plan</w:t>
      </w:r>
    </w:p>
    <w:p>
      <w:pPr>
        <w:pStyle w:val="Heading2"/>
        <w:spacing w:before="240" w:after="80"/>
      </w:pPr>
      <w:r>
        <w:rPr>
          <w:color w:val="1A1917"/>
          <w:sz w:val="26"/>
        </w:rPr>
        <w:t>Research priorities</w:t>
      </w:r>
    </w:p>
    <w:p>
      <w:pPr>
        <w:pStyle w:val="ListBullet"/>
        <w:spacing w:after="60"/>
        <w:ind w:left="283"/>
      </w:pPr>
      <w:r>
        <w:rPr>
          <w:color w:val="5E5A52"/>
          <w:sz w:val="21"/>
        </w:rPr>
        <w:t>Composite risk scoring accuracy: Validate the PropPilot Score against actual post-purchase buyer outcomes. Partner with a RICS surveyor to compare PropPilot risk assessments to physical survey findings.</w:t>
      </w:r>
    </w:p>
    <w:p>
      <w:pPr>
        <w:pStyle w:val="ListBullet"/>
        <w:spacing w:after="60"/>
        <w:ind w:left="283"/>
      </w:pPr>
      <w:r>
        <w:rPr>
          <w:color w:val="5E5A52"/>
          <w:sz w:val="21"/>
        </w:rPr>
        <w:t>API reliability and fallback strategy: Research and implement fallback data sources for each of the five primary APIs in case of outage or data gap.</w:t>
      </w:r>
    </w:p>
    <w:p>
      <w:pPr>
        <w:pStyle w:val="ListBullet"/>
        <w:spacing w:after="60"/>
        <w:ind w:left="283"/>
      </w:pPr>
      <w:r>
        <w:rPr>
          <w:color w:val="5E5A52"/>
          <w:sz w:val="21"/>
        </w:rPr>
        <w:t>AI property narrative accuracy: Research and evaluate LLM prompting strategies for generating accurate, non-misleading property risk narratives. Red-team test for hallucination and factual error rates.</w:t>
      </w:r>
    </w:p>
    <w:p>
      <w:pPr>
        <w:pStyle w:val="ListBullet"/>
        <w:spacing w:after="60"/>
        <w:ind w:left="283"/>
      </w:pPr>
      <w:r>
        <w:rPr>
          <w:color w:val="5E5A52"/>
          <w:sz w:val="21"/>
        </w:rPr>
        <w:t>EPC prediction model: Research ML approach to predict a property's likely EPC band from address and publicly available data (build date, property type, floor area) when no EPC certificate exists.</w:t>
      </w:r>
    </w:p>
    <w:p>
      <w:pPr>
        <w:pStyle w:val="Heading2"/>
        <w:spacing w:before="240" w:after="80"/>
      </w:pPr>
      <w:r>
        <w:rPr>
          <w:color w:val="1A1917"/>
          <w:sz w:val="26"/>
        </w:rPr>
        <w:t>Development priorities (Horizon 1)</w:t>
      </w:r>
    </w:p>
    <w:p>
      <w:pPr>
        <w:pStyle w:val="ListBullet"/>
        <w:spacing w:after="60"/>
        <w:ind w:left="283"/>
      </w:pPr>
      <w:r>
        <w:rPr>
          <w:color w:val="5E5A52"/>
          <w:sz w:val="21"/>
        </w:rPr>
        <w:t>Stripe payment integration: Production-grade webhook handling, subscription state machine, failed payment recovery flows.</w:t>
      </w:r>
    </w:p>
    <w:p>
      <w:pPr>
        <w:pStyle w:val="ListBullet"/>
        <w:spacing w:after="60"/>
        <w:ind w:left="283"/>
      </w:pPr>
      <w:r>
        <w:rPr>
          <w:color w:val="5E5A52"/>
          <w:sz w:val="21"/>
        </w:rPr>
        <w:t>Supabase migration: Schema design for users, properties, subscriptions, saved reports. Row-level security policy for multi-tenant data isolation.</w:t>
      </w:r>
    </w:p>
    <w:p>
      <w:pPr>
        <w:pStyle w:val="ListBullet"/>
        <w:spacing w:after="60"/>
        <w:ind w:left="283"/>
      </w:pPr>
      <w:r>
        <w:rPr>
          <w:color w:val="5E5A52"/>
          <w:sz w:val="21"/>
        </w:rPr>
        <w:t>Email system: Resend integration with React Email templates for transactional emails (welcome, alert, reminder, receipt).</w:t>
      </w:r>
    </w:p>
    <w:p>
      <w:pPr>
        <w:pStyle w:val="ListBullet"/>
        <w:spacing w:after="60"/>
        <w:ind w:left="283"/>
      </w:pPr>
      <w:r>
        <w:rPr>
          <w:color w:val="5E5A52"/>
          <w:sz w:val="21"/>
        </w:rPr>
        <w:t>Professional services booking: Quote request form, partner routing logic, discount application, booking confirmation flow.</w:t>
      </w:r>
    </w:p>
    <w:p>
      <w:pPr>
        <w:pStyle w:val="Heading2"/>
        <w:spacing w:before="240" w:after="80"/>
      </w:pPr>
      <w:r>
        <w:rPr>
          <w:color w:val="1A1917"/>
          <w:sz w:val="26"/>
        </w:rPr>
        <w:t>R&amp;D investment plan</w:t>
      </w:r>
    </w:p>
    <w:tbl>
      <w:tblPr>
        <w:tblStyle w:val="TableGrid"/>
        <w:tblW w:type="auto" w:w="0"/>
        <w:tblLook w:firstColumn="1" w:firstRow="1" w:lastColumn="0" w:lastRow="0" w:noHBand="0" w:noVBand="1" w:val="04A0"/>
      </w:tblPr>
      <w:tblGrid>
        <w:gridCol w:w="2351"/>
        <w:gridCol w:w="2351"/>
        <w:gridCol w:w="2351"/>
        <w:gridCol w:w="2351"/>
      </w:tblGrid>
      <w:tr>
        <w:tc>
          <w:tcPr>
            <w:tcW w:type="dxa" w:w="2351"/>
            <w:vAlign w:val="center"/>
            <w:tcW w:w="1620000" w:type="dxa"/>
            <w:shd w:val="clear" w:color="auto" w:fill="1D9E75"/>
          </w:tcPr>
          <w:p>
            <w:pPr>
              <w:spacing w:before="60" w:after="60"/>
              <w:ind w:left="113"/>
            </w:pPr>
            <w:r>
              <w:rPr>
                <w:b/>
                <w:color w:val="FFFFFF"/>
                <w:sz w:val="19"/>
              </w:rPr>
              <w:t>Activity</w:t>
            </w:r>
          </w:p>
        </w:tc>
        <w:tc>
          <w:tcPr>
            <w:tcW w:type="dxa" w:w="2351"/>
            <w:vAlign w:val="center"/>
            <w:tcW w:w="900000" w:type="dxa"/>
            <w:shd w:val="clear" w:color="auto" w:fill="1D9E75"/>
          </w:tcPr>
          <w:p>
            <w:pPr>
              <w:spacing w:before="60" w:after="60"/>
              <w:ind w:left="113"/>
            </w:pPr>
            <w:r>
              <w:rPr>
                <w:b/>
                <w:color w:val="FFFFFF"/>
                <w:sz w:val="19"/>
              </w:rPr>
              <w:t>Investment</w:t>
            </w:r>
          </w:p>
        </w:tc>
        <w:tc>
          <w:tcPr>
            <w:tcW w:type="dxa" w:w="2351"/>
            <w:vAlign w:val="center"/>
            <w:tcW w:w="1080000" w:type="dxa"/>
            <w:shd w:val="clear" w:color="auto" w:fill="1D9E75"/>
          </w:tcPr>
          <w:p>
            <w:pPr>
              <w:spacing w:before="60" w:after="60"/>
              <w:ind w:left="113"/>
            </w:pPr>
            <w:r>
              <w:rPr>
                <w:b/>
                <w:color w:val="FFFFFF"/>
                <w:sz w:val="19"/>
              </w:rPr>
              <w:t>Timeline</w:t>
            </w:r>
          </w:p>
        </w:tc>
        <w:tc>
          <w:tcPr>
            <w:tcW w:type="dxa" w:w="2351"/>
            <w:vAlign w:val="center"/>
            <w:tcW w:w="2520000" w:type="dxa"/>
            <w:shd w:val="clear" w:color="auto" w:fill="1D9E75"/>
          </w:tcPr>
          <w:p>
            <w:pPr>
              <w:spacing w:before="60" w:after="60"/>
              <w:ind w:left="113"/>
            </w:pPr>
            <w:r>
              <w:rPr>
                <w:b/>
                <w:color w:val="FFFFFF"/>
                <w:sz w:val="19"/>
              </w:rPr>
              <w:t>Expected output</w:t>
            </w:r>
          </w:p>
        </w:tc>
      </w:tr>
      <w:tr>
        <w:tc>
          <w:tcPr>
            <w:tcW w:type="dxa" w:w="2351"/>
            <w:vAlign w:val="center"/>
            <w:tcW w:w="1620000" w:type="dxa"/>
          </w:tcPr>
          <w:p>
            <w:pPr>
              <w:spacing w:before="60" w:after="60"/>
              <w:ind w:left="113"/>
            </w:pPr>
            <w:r>
              <w:rPr>
                <w:b w:val="0"/>
                <w:color w:val="1A1917"/>
                <w:sz w:val="19"/>
              </w:rPr>
              <w:t>API reliability research</w:t>
            </w:r>
          </w:p>
        </w:tc>
        <w:tc>
          <w:tcPr>
            <w:tcW w:type="dxa" w:w="2351"/>
            <w:vAlign w:val="center"/>
            <w:tcW w:w="900000" w:type="dxa"/>
          </w:tcPr>
          <w:p>
            <w:pPr>
              <w:spacing w:before="60" w:after="60"/>
              <w:ind w:left="113"/>
            </w:pPr>
            <w:r>
              <w:rPr>
                <w:b w:val="0"/>
                <w:color w:val="5E5A52"/>
                <w:sz w:val="19"/>
              </w:rPr>
              <w:t>£8,000</w:t>
            </w:r>
          </w:p>
        </w:tc>
        <w:tc>
          <w:tcPr>
            <w:tcW w:type="dxa" w:w="2351"/>
            <w:vAlign w:val="center"/>
            <w:tcW w:w="1080000" w:type="dxa"/>
          </w:tcPr>
          <w:p>
            <w:pPr>
              <w:spacing w:before="60" w:after="60"/>
              <w:ind w:left="113"/>
            </w:pPr>
            <w:r>
              <w:rPr>
                <w:b w:val="0"/>
                <w:color w:val="5E5A52"/>
                <w:sz w:val="19"/>
              </w:rPr>
              <w:t>Months 1-2</w:t>
            </w:r>
          </w:p>
        </w:tc>
        <w:tc>
          <w:tcPr>
            <w:tcW w:type="dxa" w:w="2351"/>
            <w:vAlign w:val="center"/>
            <w:tcW w:w="2520000" w:type="dxa"/>
          </w:tcPr>
          <w:p>
            <w:pPr>
              <w:spacing w:before="60" w:after="60"/>
              <w:ind w:left="113"/>
            </w:pPr>
            <w:r>
              <w:rPr>
                <w:b w:val="0"/>
                <w:color w:val="5E5A52"/>
                <w:sz w:val="19"/>
              </w:rPr>
              <w:t>Fallback strategy for all 5 data sources</w:t>
            </w:r>
          </w:p>
        </w:tc>
      </w:tr>
      <w:tr>
        <w:tc>
          <w:tcPr>
            <w:tcW w:type="dxa" w:w="2351"/>
            <w:vAlign w:val="center"/>
            <w:tcW w:w="1620000" w:type="dxa"/>
            <w:shd w:val="clear" w:color="auto" w:fill="F8F7F4"/>
          </w:tcPr>
          <w:p>
            <w:pPr>
              <w:spacing w:before="60" w:after="60"/>
              <w:ind w:left="113"/>
            </w:pPr>
            <w:r>
              <w:rPr>
                <w:b w:val="0"/>
                <w:color w:val="1A1917"/>
                <w:sz w:val="19"/>
              </w:rPr>
              <w:t>AI narrative R&amp;D</w:t>
            </w:r>
          </w:p>
        </w:tc>
        <w:tc>
          <w:tcPr>
            <w:tcW w:type="dxa" w:w="2351"/>
            <w:vAlign w:val="center"/>
            <w:tcW w:w="900000" w:type="dxa"/>
            <w:shd w:val="clear" w:color="auto" w:fill="F8F7F4"/>
          </w:tcPr>
          <w:p>
            <w:pPr>
              <w:spacing w:before="60" w:after="60"/>
              <w:ind w:left="113"/>
            </w:pPr>
            <w:r>
              <w:rPr>
                <w:b w:val="0"/>
                <w:color w:val="5E5A52"/>
                <w:sz w:val="19"/>
              </w:rPr>
              <w:t>£12,000</w:t>
            </w:r>
          </w:p>
        </w:tc>
        <w:tc>
          <w:tcPr>
            <w:tcW w:type="dxa" w:w="2351"/>
            <w:vAlign w:val="center"/>
            <w:tcW w:w="1080000" w:type="dxa"/>
            <w:shd w:val="clear" w:color="auto" w:fill="F8F7F4"/>
          </w:tcPr>
          <w:p>
            <w:pPr>
              <w:spacing w:before="60" w:after="60"/>
              <w:ind w:left="113"/>
            </w:pPr>
            <w:r>
              <w:rPr>
                <w:b w:val="0"/>
                <w:color w:val="5E5A52"/>
                <w:sz w:val="19"/>
              </w:rPr>
              <w:t>Months 3-6</w:t>
            </w:r>
          </w:p>
        </w:tc>
        <w:tc>
          <w:tcPr>
            <w:tcW w:type="dxa" w:w="2351"/>
            <w:vAlign w:val="center"/>
            <w:tcW w:w="2520000" w:type="dxa"/>
            <w:shd w:val="clear" w:color="auto" w:fill="F8F7F4"/>
          </w:tcPr>
          <w:p>
            <w:pPr>
              <w:spacing w:before="60" w:after="60"/>
              <w:ind w:left="113"/>
            </w:pPr>
            <w:r>
              <w:rPr>
                <w:b w:val="0"/>
                <w:color w:val="5E5A52"/>
                <w:sz w:val="19"/>
              </w:rPr>
              <w:t>GPT-4o prompt library, accuracy benchmark</w:t>
            </w:r>
          </w:p>
        </w:tc>
      </w:tr>
      <w:tr>
        <w:tc>
          <w:tcPr>
            <w:tcW w:type="dxa" w:w="2351"/>
            <w:vAlign w:val="center"/>
            <w:tcW w:w="1620000" w:type="dxa"/>
          </w:tcPr>
          <w:p>
            <w:pPr>
              <w:spacing w:before="60" w:after="60"/>
              <w:ind w:left="113"/>
            </w:pPr>
            <w:r>
              <w:rPr>
                <w:b w:val="0"/>
                <w:color w:val="1A1917"/>
                <w:sz w:val="19"/>
              </w:rPr>
              <w:t>EPC prediction model</w:t>
            </w:r>
          </w:p>
        </w:tc>
        <w:tc>
          <w:tcPr>
            <w:tcW w:type="dxa" w:w="2351"/>
            <w:vAlign w:val="center"/>
            <w:tcW w:w="900000" w:type="dxa"/>
          </w:tcPr>
          <w:p>
            <w:pPr>
              <w:spacing w:before="60" w:after="60"/>
              <w:ind w:left="113"/>
            </w:pPr>
            <w:r>
              <w:rPr>
                <w:b w:val="0"/>
                <w:color w:val="5E5A52"/>
                <w:sz w:val="19"/>
              </w:rPr>
              <w:t>£15,000</w:t>
            </w:r>
          </w:p>
        </w:tc>
        <w:tc>
          <w:tcPr>
            <w:tcW w:type="dxa" w:w="2351"/>
            <w:vAlign w:val="center"/>
            <w:tcW w:w="1080000" w:type="dxa"/>
          </w:tcPr>
          <w:p>
            <w:pPr>
              <w:spacing w:before="60" w:after="60"/>
              <w:ind w:left="113"/>
            </w:pPr>
            <w:r>
              <w:rPr>
                <w:b w:val="0"/>
                <w:color w:val="5E5A52"/>
                <w:sz w:val="19"/>
              </w:rPr>
              <w:t>Months 4-8</w:t>
            </w:r>
          </w:p>
        </w:tc>
        <w:tc>
          <w:tcPr>
            <w:tcW w:type="dxa" w:w="2351"/>
            <w:vAlign w:val="center"/>
            <w:tcW w:w="2520000" w:type="dxa"/>
          </w:tcPr>
          <w:p>
            <w:pPr>
              <w:spacing w:before="60" w:after="60"/>
              <w:ind w:left="113"/>
            </w:pPr>
            <w:r>
              <w:rPr>
                <w:b w:val="0"/>
                <w:color w:val="5E5A52"/>
                <w:sz w:val="19"/>
              </w:rPr>
              <w:t>ML model, validation dataset, F1 score &gt; 0.85</w:t>
            </w:r>
          </w:p>
        </w:tc>
      </w:tr>
      <w:tr>
        <w:tc>
          <w:tcPr>
            <w:tcW w:type="dxa" w:w="2351"/>
            <w:vAlign w:val="center"/>
            <w:tcW w:w="1620000" w:type="dxa"/>
            <w:shd w:val="clear" w:color="auto" w:fill="F8F7F4"/>
          </w:tcPr>
          <w:p>
            <w:pPr>
              <w:spacing w:before="60" w:after="60"/>
              <w:ind w:left="113"/>
            </w:pPr>
            <w:r>
              <w:rPr>
                <w:b w:val="0"/>
                <w:color w:val="1A1917"/>
                <w:sz w:val="19"/>
              </w:rPr>
              <w:t>PropPilot Score calibration</w:t>
            </w:r>
          </w:p>
        </w:tc>
        <w:tc>
          <w:tcPr>
            <w:tcW w:type="dxa" w:w="2351"/>
            <w:vAlign w:val="center"/>
            <w:tcW w:w="900000" w:type="dxa"/>
            <w:shd w:val="clear" w:color="auto" w:fill="F8F7F4"/>
          </w:tcPr>
          <w:p>
            <w:pPr>
              <w:spacing w:before="60" w:after="60"/>
              <w:ind w:left="113"/>
            </w:pPr>
            <w:r>
              <w:rPr>
                <w:b w:val="0"/>
                <w:color w:val="5E5A52"/>
                <w:sz w:val="19"/>
              </w:rPr>
              <w:t>£10,000</w:t>
            </w:r>
          </w:p>
        </w:tc>
        <w:tc>
          <w:tcPr>
            <w:tcW w:type="dxa" w:w="2351"/>
            <w:vAlign w:val="center"/>
            <w:tcW w:w="1080000" w:type="dxa"/>
            <w:shd w:val="clear" w:color="auto" w:fill="F8F7F4"/>
          </w:tcPr>
          <w:p>
            <w:pPr>
              <w:spacing w:before="60" w:after="60"/>
              <w:ind w:left="113"/>
            </w:pPr>
            <w:r>
              <w:rPr>
                <w:b w:val="0"/>
                <w:color w:val="5E5A52"/>
                <w:sz w:val="19"/>
              </w:rPr>
              <w:t>Months 3-9</w:t>
            </w:r>
          </w:p>
        </w:tc>
        <w:tc>
          <w:tcPr>
            <w:tcW w:type="dxa" w:w="2351"/>
            <w:vAlign w:val="center"/>
            <w:tcW w:w="2520000" w:type="dxa"/>
            <w:shd w:val="clear" w:color="auto" w:fill="F8F7F4"/>
          </w:tcPr>
          <w:p>
            <w:pPr>
              <w:spacing w:before="60" w:after="60"/>
              <w:ind w:left="113"/>
            </w:pPr>
            <w:r>
              <w:rPr>
                <w:b w:val="0"/>
                <w:color w:val="5E5A52"/>
                <w:sz w:val="19"/>
              </w:rPr>
              <w:t>Score validated against 500+ real survey outcomes</w:t>
            </w:r>
          </w:p>
        </w:tc>
      </w:tr>
      <w:tr>
        <w:tc>
          <w:tcPr>
            <w:tcW w:type="dxa" w:w="2351"/>
            <w:vAlign w:val="center"/>
            <w:tcW w:w="1620000" w:type="dxa"/>
          </w:tcPr>
          <w:p>
            <w:pPr>
              <w:spacing w:before="60" w:after="60"/>
              <w:ind w:left="113"/>
            </w:pPr>
            <w:r>
              <w:rPr>
                <w:b w:val="0"/>
                <w:color w:val="1A1917"/>
                <w:sz w:val="19"/>
              </w:rPr>
              <w:t>Mobile app (React Native)</w:t>
            </w:r>
          </w:p>
        </w:tc>
        <w:tc>
          <w:tcPr>
            <w:tcW w:type="dxa" w:w="2351"/>
            <w:vAlign w:val="center"/>
            <w:tcW w:w="900000" w:type="dxa"/>
          </w:tcPr>
          <w:p>
            <w:pPr>
              <w:spacing w:before="60" w:after="60"/>
              <w:ind w:left="113"/>
            </w:pPr>
            <w:r>
              <w:rPr>
                <w:b w:val="0"/>
                <w:color w:val="5E5A52"/>
                <w:sz w:val="19"/>
              </w:rPr>
              <w:t>£35,000</w:t>
            </w:r>
          </w:p>
        </w:tc>
        <w:tc>
          <w:tcPr>
            <w:tcW w:type="dxa" w:w="2351"/>
            <w:vAlign w:val="center"/>
            <w:tcW w:w="1080000" w:type="dxa"/>
          </w:tcPr>
          <w:p>
            <w:pPr>
              <w:spacing w:before="60" w:after="60"/>
              <w:ind w:left="113"/>
            </w:pPr>
            <w:r>
              <w:rPr>
                <w:b w:val="0"/>
                <w:color w:val="5E5A52"/>
                <w:sz w:val="19"/>
              </w:rPr>
              <w:t>Months 5-9</w:t>
            </w:r>
          </w:p>
        </w:tc>
        <w:tc>
          <w:tcPr>
            <w:tcW w:type="dxa" w:w="2351"/>
            <w:vAlign w:val="center"/>
            <w:tcW w:w="2520000" w:type="dxa"/>
          </w:tcPr>
          <w:p>
            <w:pPr>
              <w:spacing w:before="60" w:after="60"/>
              <w:ind w:left="113"/>
            </w:pPr>
            <w:r>
              <w:rPr>
                <w:b w:val="0"/>
                <w:color w:val="5E5A52"/>
                <w:sz w:val="19"/>
              </w:rPr>
              <w:t>iOS + Android app in App Store / Play Store</w:t>
            </w:r>
          </w:p>
        </w:tc>
      </w:tr>
    </w:tbl>
    <w:p/>
    <w:p>
      <w:pPr>
        <w:spacing w:before="160" w:after="160"/>
        <w:pBdr>
          <w:bottom w:val="single" w:sz="4" w:space="1" w:color="D1CEC8"/>
        </w:pBdr>
      </w:pPr>
    </w:p>
    <w:p>
      <w:pPr>
        <w:pStyle w:val="Heading1"/>
        <w:spacing w:before="400" w:after="120"/>
      </w:pPr>
      <w:r>
        <w:rPr>
          <w:color w:val="1D9E75"/>
          <w:sz w:val="32"/>
        </w:rPr>
        <w:t>27. Testing Protocols and Measurable Development Targets</w:t>
      </w:r>
    </w:p>
    <w:p>
      <w:pPr>
        <w:pStyle w:val="Heading2"/>
        <w:spacing w:before="240" w:after="80"/>
      </w:pPr>
      <w:r>
        <w:rPr>
          <w:color w:val="1A1917"/>
          <w:sz w:val="26"/>
        </w:rPr>
        <w:t>Automated testing standards</w:t>
      </w:r>
    </w:p>
    <w:p>
      <w:pPr>
        <w:pStyle w:val="ListBullet"/>
        <w:spacing w:after="60"/>
        <w:ind w:left="283"/>
      </w:pPr>
      <w:r>
        <w:rPr>
          <w:color w:val="5E5A52"/>
          <w:sz w:val="21"/>
        </w:rPr>
        <w:t>Unit tests: All API route handlers covered with Jest unit tests. Target: 80%+ code coverage on API layer.</w:t>
      </w:r>
    </w:p>
    <w:p>
      <w:pPr>
        <w:pStyle w:val="ListBullet"/>
        <w:spacing w:after="60"/>
        <w:ind w:left="283"/>
      </w:pPr>
      <w:r>
        <w:rPr>
          <w:color w:val="5E5A52"/>
          <w:sz w:val="21"/>
        </w:rPr>
        <w:t>Integration tests: End-to-end Playwright tests for the three core user flows: sign-up → report → upgrade; sign-up → dashboard → set remortgage alert; professional service booking.</w:t>
      </w:r>
    </w:p>
    <w:p>
      <w:pPr>
        <w:pStyle w:val="ListBullet"/>
        <w:spacing w:after="60"/>
        <w:ind w:left="283"/>
      </w:pPr>
      <w:r>
        <w:rPr>
          <w:color w:val="5E5A52"/>
          <w:sz w:val="21"/>
        </w:rPr>
        <w:t>API reliability tests: Scheduled synthetic monitoring (every 5 minutes) on all five external API endpoints via Vercel Cron + Sentry alerting.</w:t>
      </w:r>
    </w:p>
    <w:p>
      <w:pPr>
        <w:pStyle w:val="ListBullet"/>
        <w:spacing w:after="60"/>
        <w:ind w:left="283"/>
      </w:pPr>
      <w:r>
        <w:rPr>
          <w:color w:val="5E5A52"/>
          <w:sz w:val="21"/>
        </w:rPr>
        <w:t>Performance tests: Lighthouse CI on every deploy. Target: Performance score &gt; 85, LCP &lt; 2.5s, CLS &lt; 0.1.</w:t>
      </w:r>
    </w:p>
    <w:p>
      <w:pPr>
        <w:pStyle w:val="Heading2"/>
        <w:spacing w:before="240" w:after="80"/>
      </w:pPr>
      <w:r>
        <w:rPr>
          <w:color w:val="1A1917"/>
          <w:sz w:val="26"/>
        </w:rPr>
        <w:t>Measurable development targets</w:t>
      </w:r>
    </w:p>
    <w:tbl>
      <w:tblPr>
        <w:tblStyle w:val="TableGrid"/>
        <w:tblW w:type="auto" w:w="0"/>
        <w:tblLook w:firstColumn="1" w:firstRow="1" w:lastColumn="0" w:lastRow="0" w:noHBand="0" w:noVBand="1" w:val="04A0"/>
      </w:tblPr>
      <w:tblGrid>
        <w:gridCol w:w="2351"/>
        <w:gridCol w:w="2351"/>
        <w:gridCol w:w="2351"/>
        <w:gridCol w:w="2351"/>
      </w:tblGrid>
      <w:tr>
        <w:tc>
          <w:tcPr>
            <w:tcW w:type="dxa" w:w="2351"/>
            <w:vAlign w:val="center"/>
            <w:tcW w:w="1620000" w:type="dxa"/>
            <w:shd w:val="clear" w:color="auto" w:fill="1D9E75"/>
          </w:tcPr>
          <w:p>
            <w:pPr>
              <w:spacing w:before="60" w:after="60"/>
              <w:ind w:left="113"/>
            </w:pPr>
            <w:r>
              <w:rPr>
                <w:b/>
                <w:color w:val="FFFFFF"/>
                <w:sz w:val="19"/>
              </w:rPr>
              <w:t>Milestone</w:t>
            </w:r>
          </w:p>
        </w:tc>
        <w:tc>
          <w:tcPr>
            <w:tcW w:type="dxa" w:w="2351"/>
            <w:vAlign w:val="center"/>
            <w:tcW w:w="1440000" w:type="dxa"/>
            <w:shd w:val="clear" w:color="auto" w:fill="1D9E75"/>
          </w:tcPr>
          <w:p>
            <w:pPr>
              <w:spacing w:before="60" w:after="60"/>
              <w:ind w:left="113"/>
            </w:pPr>
            <w:r>
              <w:rPr>
                <w:b/>
                <w:color w:val="FFFFFF"/>
                <w:sz w:val="19"/>
              </w:rPr>
              <w:t>Target metric</w:t>
            </w:r>
          </w:p>
        </w:tc>
        <w:tc>
          <w:tcPr>
            <w:tcW w:type="dxa" w:w="2351"/>
            <w:vAlign w:val="center"/>
            <w:tcW w:w="900000" w:type="dxa"/>
            <w:shd w:val="clear" w:color="auto" w:fill="1D9E75"/>
          </w:tcPr>
          <w:p>
            <w:pPr>
              <w:spacing w:before="60" w:after="60"/>
              <w:ind w:left="113"/>
            </w:pPr>
            <w:r>
              <w:rPr>
                <w:b/>
                <w:color w:val="FFFFFF"/>
                <w:sz w:val="19"/>
              </w:rPr>
              <w:t>Timeline</w:t>
            </w:r>
          </w:p>
        </w:tc>
        <w:tc>
          <w:tcPr>
            <w:tcW w:type="dxa" w:w="2351"/>
            <w:vAlign w:val="center"/>
            <w:tcW w:w="2160000" w:type="dxa"/>
            <w:shd w:val="clear" w:color="auto" w:fill="1D9E75"/>
          </w:tcPr>
          <w:p>
            <w:pPr>
              <w:spacing w:before="60" w:after="60"/>
              <w:ind w:left="113"/>
            </w:pPr>
            <w:r>
              <w:rPr>
                <w:b/>
                <w:color w:val="FFFFFF"/>
                <w:sz w:val="19"/>
              </w:rPr>
              <w:t>Verification method</w:t>
            </w:r>
          </w:p>
        </w:tc>
      </w:tr>
      <w:tr>
        <w:tc>
          <w:tcPr>
            <w:tcW w:type="dxa" w:w="2351"/>
            <w:vAlign w:val="center"/>
            <w:tcW w:w="1620000" w:type="dxa"/>
          </w:tcPr>
          <w:p>
            <w:pPr>
              <w:spacing w:before="60" w:after="60"/>
              <w:ind w:left="113"/>
            </w:pPr>
            <w:r>
              <w:rPr>
                <w:b w:val="0"/>
                <w:color w:val="1A1917"/>
                <w:sz w:val="19"/>
              </w:rPr>
              <w:t>Property report speed</w:t>
            </w:r>
          </w:p>
        </w:tc>
        <w:tc>
          <w:tcPr>
            <w:tcW w:type="dxa" w:w="2351"/>
            <w:vAlign w:val="center"/>
            <w:tcW w:w="1440000" w:type="dxa"/>
          </w:tcPr>
          <w:p>
            <w:pPr>
              <w:spacing w:before="60" w:after="60"/>
              <w:ind w:left="113"/>
            </w:pPr>
            <w:r>
              <w:rPr>
                <w:b w:val="0"/>
                <w:color w:val="5E5A52"/>
                <w:sz w:val="19"/>
              </w:rPr>
              <w:t>&lt; 4s for all 5 checks</w:t>
            </w:r>
          </w:p>
        </w:tc>
        <w:tc>
          <w:tcPr>
            <w:tcW w:type="dxa" w:w="2351"/>
            <w:vAlign w:val="center"/>
            <w:tcW w:w="900000" w:type="dxa"/>
          </w:tcPr>
          <w:p>
            <w:pPr>
              <w:spacing w:before="60" w:after="60"/>
              <w:ind w:left="113"/>
            </w:pPr>
            <w:r>
              <w:rPr>
                <w:b w:val="0"/>
                <w:color w:val="5E5A52"/>
                <w:sz w:val="19"/>
              </w:rPr>
              <w:t>Current</w:t>
            </w:r>
          </w:p>
        </w:tc>
        <w:tc>
          <w:tcPr>
            <w:tcW w:type="dxa" w:w="2351"/>
            <w:vAlign w:val="center"/>
            <w:tcW w:w="2160000" w:type="dxa"/>
          </w:tcPr>
          <w:p>
            <w:pPr>
              <w:spacing w:before="60" w:after="60"/>
              <w:ind w:left="113"/>
            </w:pPr>
            <w:r>
              <w:rPr>
                <w:b w:val="0"/>
                <w:color w:val="5E5A52"/>
                <w:sz w:val="19"/>
              </w:rPr>
              <w:t>Vercel Analytics p95 latency</w:t>
            </w:r>
          </w:p>
        </w:tc>
      </w:tr>
      <w:tr>
        <w:tc>
          <w:tcPr>
            <w:tcW w:type="dxa" w:w="2351"/>
            <w:vAlign w:val="center"/>
            <w:tcW w:w="1620000" w:type="dxa"/>
            <w:shd w:val="clear" w:color="auto" w:fill="F8F7F4"/>
          </w:tcPr>
          <w:p>
            <w:pPr>
              <w:spacing w:before="60" w:after="60"/>
              <w:ind w:left="113"/>
            </w:pPr>
            <w:r>
              <w:rPr>
                <w:b w:val="0"/>
                <w:color w:val="1A1917"/>
                <w:sz w:val="19"/>
              </w:rPr>
              <w:t>API uptime</w:t>
            </w:r>
          </w:p>
        </w:tc>
        <w:tc>
          <w:tcPr>
            <w:tcW w:type="dxa" w:w="2351"/>
            <w:vAlign w:val="center"/>
            <w:tcW w:w="1440000" w:type="dxa"/>
            <w:shd w:val="clear" w:color="auto" w:fill="F8F7F4"/>
          </w:tcPr>
          <w:p>
            <w:pPr>
              <w:spacing w:before="60" w:after="60"/>
              <w:ind w:left="113"/>
            </w:pPr>
            <w:r>
              <w:rPr>
                <w:b w:val="0"/>
                <w:color w:val="5E5A52"/>
                <w:sz w:val="19"/>
              </w:rPr>
              <w:t>&gt; 99% across all 5 sources</w:t>
            </w:r>
          </w:p>
        </w:tc>
        <w:tc>
          <w:tcPr>
            <w:tcW w:type="dxa" w:w="2351"/>
            <w:vAlign w:val="center"/>
            <w:tcW w:w="900000" w:type="dxa"/>
            <w:shd w:val="clear" w:color="auto" w:fill="F8F7F4"/>
          </w:tcPr>
          <w:p>
            <w:pPr>
              <w:spacing w:before="60" w:after="60"/>
              <w:ind w:left="113"/>
            </w:pPr>
            <w:r>
              <w:rPr>
                <w:b w:val="0"/>
                <w:color w:val="5E5A52"/>
                <w:sz w:val="19"/>
              </w:rPr>
              <w:t>Month 1</w:t>
            </w:r>
          </w:p>
        </w:tc>
        <w:tc>
          <w:tcPr>
            <w:tcW w:type="dxa" w:w="2351"/>
            <w:vAlign w:val="center"/>
            <w:tcW w:w="2160000" w:type="dxa"/>
            <w:shd w:val="clear" w:color="auto" w:fill="F8F7F4"/>
          </w:tcPr>
          <w:p>
            <w:pPr>
              <w:spacing w:before="60" w:after="60"/>
              <w:ind w:left="113"/>
            </w:pPr>
            <w:r>
              <w:rPr>
                <w:b w:val="0"/>
                <w:color w:val="5E5A52"/>
                <w:sz w:val="19"/>
              </w:rPr>
              <w:t>Sentry synthetic monitoring</w:t>
            </w:r>
          </w:p>
        </w:tc>
      </w:tr>
      <w:tr>
        <w:tc>
          <w:tcPr>
            <w:tcW w:type="dxa" w:w="2351"/>
            <w:vAlign w:val="center"/>
            <w:tcW w:w="1620000" w:type="dxa"/>
          </w:tcPr>
          <w:p>
            <w:pPr>
              <w:spacing w:before="60" w:after="60"/>
              <w:ind w:left="113"/>
            </w:pPr>
            <w:r>
              <w:rPr>
                <w:b w:val="0"/>
                <w:color w:val="1A1917"/>
                <w:sz w:val="19"/>
              </w:rPr>
              <w:t>Stripe integration</w:t>
            </w:r>
          </w:p>
        </w:tc>
        <w:tc>
          <w:tcPr>
            <w:tcW w:type="dxa" w:w="2351"/>
            <w:vAlign w:val="center"/>
            <w:tcW w:w="1440000" w:type="dxa"/>
          </w:tcPr>
          <w:p>
            <w:pPr>
              <w:spacing w:before="60" w:after="60"/>
              <w:ind w:left="113"/>
            </w:pPr>
            <w:r>
              <w:rPr>
                <w:b w:val="0"/>
                <w:color w:val="5E5A52"/>
                <w:sz w:val="19"/>
              </w:rPr>
              <w:t>First paying subscriber</w:t>
            </w:r>
          </w:p>
        </w:tc>
        <w:tc>
          <w:tcPr>
            <w:tcW w:type="dxa" w:w="2351"/>
            <w:vAlign w:val="center"/>
            <w:tcW w:w="900000" w:type="dxa"/>
          </w:tcPr>
          <w:p>
            <w:pPr>
              <w:spacing w:before="60" w:after="60"/>
              <w:ind w:left="113"/>
            </w:pPr>
            <w:r>
              <w:rPr>
                <w:b w:val="0"/>
                <w:color w:val="5E5A52"/>
                <w:sz w:val="19"/>
              </w:rPr>
              <w:t>Month 3</w:t>
            </w:r>
          </w:p>
        </w:tc>
        <w:tc>
          <w:tcPr>
            <w:tcW w:type="dxa" w:w="2351"/>
            <w:vAlign w:val="center"/>
            <w:tcW w:w="2160000" w:type="dxa"/>
          </w:tcPr>
          <w:p>
            <w:pPr>
              <w:spacing w:before="60" w:after="60"/>
              <w:ind w:left="113"/>
            </w:pPr>
            <w:r>
              <w:rPr>
                <w:b w:val="0"/>
                <w:color w:val="5E5A52"/>
                <w:sz w:val="19"/>
              </w:rPr>
              <w:t>Stripe Dashboard</w:t>
            </w:r>
          </w:p>
        </w:tc>
      </w:tr>
      <w:tr>
        <w:tc>
          <w:tcPr>
            <w:tcW w:type="dxa" w:w="2351"/>
            <w:vAlign w:val="center"/>
            <w:tcW w:w="1620000" w:type="dxa"/>
            <w:shd w:val="clear" w:color="auto" w:fill="F8F7F4"/>
          </w:tcPr>
          <w:p>
            <w:pPr>
              <w:spacing w:before="60" w:after="60"/>
              <w:ind w:left="113"/>
            </w:pPr>
            <w:r>
              <w:rPr>
                <w:b w:val="0"/>
                <w:color w:val="1A1917"/>
                <w:sz w:val="19"/>
              </w:rPr>
              <w:t>Email open rate</w:t>
            </w:r>
          </w:p>
        </w:tc>
        <w:tc>
          <w:tcPr>
            <w:tcW w:type="dxa" w:w="2351"/>
            <w:vAlign w:val="center"/>
            <w:tcW w:w="1440000" w:type="dxa"/>
            <w:shd w:val="clear" w:color="auto" w:fill="F8F7F4"/>
          </w:tcPr>
          <w:p>
            <w:pPr>
              <w:spacing w:before="60" w:after="60"/>
              <w:ind w:left="113"/>
            </w:pPr>
            <w:r>
              <w:rPr>
                <w:b w:val="0"/>
                <w:color w:val="5E5A52"/>
                <w:sz w:val="19"/>
              </w:rPr>
              <w:t>&gt; 40% on transactional emails</w:t>
            </w:r>
          </w:p>
        </w:tc>
        <w:tc>
          <w:tcPr>
            <w:tcW w:type="dxa" w:w="2351"/>
            <w:vAlign w:val="center"/>
            <w:tcW w:w="900000" w:type="dxa"/>
            <w:shd w:val="clear" w:color="auto" w:fill="F8F7F4"/>
          </w:tcPr>
          <w:p>
            <w:pPr>
              <w:spacing w:before="60" w:after="60"/>
              <w:ind w:left="113"/>
            </w:pPr>
            <w:r>
              <w:rPr>
                <w:b w:val="0"/>
                <w:color w:val="5E5A52"/>
                <w:sz w:val="19"/>
              </w:rPr>
              <w:t>Month 3</w:t>
            </w:r>
          </w:p>
        </w:tc>
        <w:tc>
          <w:tcPr>
            <w:tcW w:type="dxa" w:w="2351"/>
            <w:vAlign w:val="center"/>
            <w:tcW w:w="2160000" w:type="dxa"/>
            <w:shd w:val="clear" w:color="auto" w:fill="F8F7F4"/>
          </w:tcPr>
          <w:p>
            <w:pPr>
              <w:spacing w:before="60" w:after="60"/>
              <w:ind w:left="113"/>
            </w:pPr>
            <w:r>
              <w:rPr>
                <w:b w:val="0"/>
                <w:color w:val="5E5A52"/>
                <w:sz w:val="19"/>
              </w:rPr>
              <w:t>Resend analytics</w:t>
            </w:r>
          </w:p>
        </w:tc>
      </w:tr>
      <w:tr>
        <w:tc>
          <w:tcPr>
            <w:tcW w:type="dxa" w:w="2351"/>
            <w:vAlign w:val="center"/>
            <w:tcW w:w="1620000" w:type="dxa"/>
          </w:tcPr>
          <w:p>
            <w:pPr>
              <w:spacing w:before="60" w:after="60"/>
              <w:ind w:left="113"/>
            </w:pPr>
            <w:r>
              <w:rPr>
                <w:b w:val="0"/>
                <w:color w:val="1A1917"/>
                <w:sz w:val="19"/>
              </w:rPr>
              <w:t>Report NPS</w:t>
            </w:r>
          </w:p>
        </w:tc>
        <w:tc>
          <w:tcPr>
            <w:tcW w:type="dxa" w:w="2351"/>
            <w:vAlign w:val="center"/>
            <w:tcW w:w="1440000" w:type="dxa"/>
          </w:tcPr>
          <w:p>
            <w:pPr>
              <w:spacing w:before="60" w:after="60"/>
              <w:ind w:left="113"/>
            </w:pPr>
            <w:r>
              <w:rPr>
                <w:b w:val="0"/>
                <w:color w:val="5E5A52"/>
                <w:sz w:val="19"/>
              </w:rPr>
              <w:t>&gt; 50</w:t>
            </w:r>
          </w:p>
        </w:tc>
        <w:tc>
          <w:tcPr>
            <w:tcW w:type="dxa" w:w="2351"/>
            <w:vAlign w:val="center"/>
            <w:tcW w:w="900000" w:type="dxa"/>
          </w:tcPr>
          <w:p>
            <w:pPr>
              <w:spacing w:before="60" w:after="60"/>
              <w:ind w:left="113"/>
            </w:pPr>
            <w:r>
              <w:rPr>
                <w:b w:val="0"/>
                <w:color w:val="5E5A52"/>
                <w:sz w:val="19"/>
              </w:rPr>
              <w:t>Month 4</w:t>
            </w:r>
          </w:p>
        </w:tc>
        <w:tc>
          <w:tcPr>
            <w:tcW w:type="dxa" w:w="2351"/>
            <w:vAlign w:val="center"/>
            <w:tcW w:w="2160000" w:type="dxa"/>
          </w:tcPr>
          <w:p>
            <w:pPr>
              <w:spacing w:before="60" w:after="60"/>
              <w:ind w:left="113"/>
            </w:pPr>
            <w:r>
              <w:rPr>
                <w:b w:val="0"/>
                <w:color w:val="5E5A52"/>
                <w:sz w:val="19"/>
              </w:rPr>
              <w:t>In-app survey</w:t>
            </w:r>
          </w:p>
        </w:tc>
      </w:tr>
      <w:tr>
        <w:tc>
          <w:tcPr>
            <w:tcW w:type="dxa" w:w="2351"/>
            <w:vAlign w:val="center"/>
            <w:tcW w:w="1620000" w:type="dxa"/>
            <w:shd w:val="clear" w:color="auto" w:fill="F8F7F4"/>
          </w:tcPr>
          <w:p>
            <w:pPr>
              <w:spacing w:before="60" w:after="60"/>
              <w:ind w:left="113"/>
            </w:pPr>
            <w:r>
              <w:rPr>
                <w:b w:val="0"/>
                <w:color w:val="1A1917"/>
                <w:sz w:val="19"/>
              </w:rPr>
              <w:t>PropPilot Score accuracy</w:t>
            </w:r>
          </w:p>
        </w:tc>
        <w:tc>
          <w:tcPr>
            <w:tcW w:type="dxa" w:w="2351"/>
            <w:vAlign w:val="center"/>
            <w:tcW w:w="1440000" w:type="dxa"/>
            <w:shd w:val="clear" w:color="auto" w:fill="F8F7F4"/>
          </w:tcPr>
          <w:p>
            <w:pPr>
              <w:spacing w:before="60" w:after="60"/>
              <w:ind w:left="113"/>
            </w:pPr>
            <w:r>
              <w:rPr>
                <w:b w:val="0"/>
                <w:color w:val="5E5A52"/>
                <w:sz w:val="19"/>
              </w:rPr>
              <w:t>F1 score &gt; 0.80 vs. surveys</w:t>
            </w:r>
          </w:p>
        </w:tc>
        <w:tc>
          <w:tcPr>
            <w:tcW w:type="dxa" w:w="2351"/>
            <w:vAlign w:val="center"/>
            <w:tcW w:w="900000" w:type="dxa"/>
            <w:shd w:val="clear" w:color="auto" w:fill="F8F7F4"/>
          </w:tcPr>
          <w:p>
            <w:pPr>
              <w:spacing w:before="60" w:after="60"/>
              <w:ind w:left="113"/>
            </w:pPr>
            <w:r>
              <w:rPr>
                <w:b w:val="0"/>
                <w:color w:val="5E5A52"/>
                <w:sz w:val="19"/>
              </w:rPr>
              <w:t>Month 9</w:t>
            </w:r>
          </w:p>
        </w:tc>
        <w:tc>
          <w:tcPr>
            <w:tcW w:type="dxa" w:w="2351"/>
            <w:vAlign w:val="center"/>
            <w:tcW w:w="2160000" w:type="dxa"/>
            <w:shd w:val="clear" w:color="auto" w:fill="F8F7F4"/>
          </w:tcPr>
          <w:p>
            <w:pPr>
              <w:spacing w:before="60" w:after="60"/>
              <w:ind w:left="113"/>
            </w:pPr>
            <w:r>
              <w:rPr>
                <w:b w:val="0"/>
                <w:color w:val="5E5A52"/>
                <w:sz w:val="19"/>
              </w:rPr>
              <w:t>RICS benchmark dataset</w:t>
            </w:r>
          </w:p>
        </w:tc>
      </w:tr>
      <w:tr>
        <w:tc>
          <w:tcPr>
            <w:tcW w:type="dxa" w:w="2351"/>
            <w:vAlign w:val="center"/>
            <w:tcW w:w="1620000" w:type="dxa"/>
          </w:tcPr>
          <w:p>
            <w:pPr>
              <w:spacing w:before="60" w:after="60"/>
              <w:ind w:left="113"/>
            </w:pPr>
            <w:r>
              <w:rPr>
                <w:b w:val="0"/>
                <w:color w:val="1A1917"/>
                <w:sz w:val="19"/>
              </w:rPr>
              <w:t>App store rating</w:t>
            </w:r>
          </w:p>
        </w:tc>
        <w:tc>
          <w:tcPr>
            <w:tcW w:type="dxa" w:w="2351"/>
            <w:vAlign w:val="center"/>
            <w:tcW w:w="1440000" w:type="dxa"/>
          </w:tcPr>
          <w:p>
            <w:pPr>
              <w:spacing w:before="60" w:after="60"/>
              <w:ind w:left="113"/>
            </w:pPr>
            <w:r>
              <w:rPr>
                <w:b w:val="0"/>
                <w:color w:val="5E5A52"/>
                <w:sz w:val="19"/>
              </w:rPr>
              <w:t>&gt; 4.2 stars</w:t>
            </w:r>
          </w:p>
        </w:tc>
        <w:tc>
          <w:tcPr>
            <w:tcW w:type="dxa" w:w="2351"/>
            <w:vAlign w:val="center"/>
            <w:tcW w:w="900000" w:type="dxa"/>
          </w:tcPr>
          <w:p>
            <w:pPr>
              <w:spacing w:before="60" w:after="60"/>
              <w:ind w:left="113"/>
            </w:pPr>
            <w:r>
              <w:rPr>
                <w:b w:val="0"/>
                <w:color w:val="5E5A52"/>
                <w:sz w:val="19"/>
              </w:rPr>
              <w:t>Month 9</w:t>
            </w:r>
          </w:p>
        </w:tc>
        <w:tc>
          <w:tcPr>
            <w:tcW w:type="dxa" w:w="2351"/>
            <w:vAlign w:val="center"/>
            <w:tcW w:w="2160000" w:type="dxa"/>
          </w:tcPr>
          <w:p>
            <w:pPr>
              <w:spacing w:before="60" w:after="60"/>
              <w:ind w:left="113"/>
            </w:pPr>
            <w:r>
              <w:rPr>
                <w:b w:val="0"/>
                <w:color w:val="5E5A52"/>
                <w:sz w:val="19"/>
              </w:rPr>
              <w:t>App Store Connect / Play Console</w:t>
            </w:r>
          </w:p>
        </w:tc>
      </w:tr>
      <w:tr>
        <w:tc>
          <w:tcPr>
            <w:tcW w:type="dxa" w:w="2351"/>
            <w:vAlign w:val="center"/>
            <w:tcW w:w="1620000" w:type="dxa"/>
            <w:shd w:val="clear" w:color="auto" w:fill="F8F7F4"/>
          </w:tcPr>
          <w:p>
            <w:pPr>
              <w:spacing w:before="60" w:after="60"/>
              <w:ind w:left="113"/>
            </w:pPr>
            <w:r>
              <w:rPr>
                <w:b w:val="0"/>
                <w:color w:val="1A1917"/>
                <w:sz w:val="19"/>
              </w:rPr>
              <w:t>Paid conversion rate</w:t>
            </w:r>
          </w:p>
        </w:tc>
        <w:tc>
          <w:tcPr>
            <w:tcW w:type="dxa" w:w="2351"/>
            <w:vAlign w:val="center"/>
            <w:tcW w:w="1440000" w:type="dxa"/>
            <w:shd w:val="clear" w:color="auto" w:fill="F8F7F4"/>
          </w:tcPr>
          <w:p>
            <w:pPr>
              <w:spacing w:before="60" w:after="60"/>
              <w:ind w:left="113"/>
            </w:pPr>
            <w:r>
              <w:rPr>
                <w:b w:val="0"/>
                <w:color w:val="5E5A52"/>
                <w:sz w:val="19"/>
              </w:rPr>
              <w:t>&gt; 10% of registered users</w:t>
            </w:r>
          </w:p>
        </w:tc>
        <w:tc>
          <w:tcPr>
            <w:tcW w:type="dxa" w:w="2351"/>
            <w:vAlign w:val="center"/>
            <w:tcW w:w="900000" w:type="dxa"/>
            <w:shd w:val="clear" w:color="auto" w:fill="F8F7F4"/>
          </w:tcPr>
          <w:p>
            <w:pPr>
              <w:spacing w:before="60" w:after="60"/>
              <w:ind w:left="113"/>
            </w:pPr>
            <w:r>
              <w:rPr>
                <w:b w:val="0"/>
                <w:color w:val="5E5A52"/>
                <w:sz w:val="19"/>
              </w:rPr>
              <w:t>Month 12</w:t>
            </w:r>
          </w:p>
        </w:tc>
        <w:tc>
          <w:tcPr>
            <w:tcW w:type="dxa" w:w="2351"/>
            <w:vAlign w:val="center"/>
            <w:tcW w:w="2160000" w:type="dxa"/>
            <w:shd w:val="clear" w:color="auto" w:fill="F8F7F4"/>
          </w:tcPr>
          <w:p>
            <w:pPr>
              <w:spacing w:before="60" w:after="60"/>
              <w:ind w:left="113"/>
            </w:pPr>
            <w:r>
              <w:rPr>
                <w:b w:val="0"/>
                <w:color w:val="5E5A52"/>
                <w:sz w:val="19"/>
              </w:rPr>
              <w:t>Stripe + Supabase analytics</w:t>
            </w:r>
          </w:p>
        </w:tc>
      </w:tr>
    </w:tbl>
    <w:p/>
    <w:p>
      <w:pPr>
        <w:spacing w:before="160" w:after="160"/>
        <w:pBdr>
          <w:bottom w:val="single" w:sz="4" w:space="1" w:color="D1CEC8"/>
        </w:pBdr>
      </w:pPr>
    </w:p>
    <w:p>
      <w:r>
        <w:br w:type="page"/>
      </w:r>
    </w:p>
    <w:p>
      <w:pPr>
        <w:pStyle w:val="Heading1"/>
        <w:spacing w:before="400" w:after="120"/>
      </w:pPr>
      <w:r>
        <w:rPr>
          <w:color w:val="1D9E75"/>
          <w:sz w:val="32"/>
        </w:rPr>
        <w:t>28. Why UK</w:t>
      </w:r>
    </w:p>
    <w:p>
      <w:pPr>
        <w:pStyle w:val="ListBullet"/>
        <w:spacing w:after="60"/>
        <w:ind w:left="283"/>
      </w:pPr>
      <w:r>
        <w:rPr>
          <w:color w:val="5E5A52"/>
          <w:sz w:val="21"/>
        </w:rPr>
        <w:t>World-class open property data: The UK Government publishes more open, machine-readable property data than almost any other country — Environment Agency flood data, the EPC register, police crime data, Ofcom broadband records, Land Registry price paid data, VOA council tax bands. All free to access via documented APIs.</w:t>
      </w:r>
    </w:p>
    <w:p>
      <w:pPr>
        <w:pStyle w:val="ListBullet"/>
        <w:spacing w:after="60"/>
        <w:ind w:left="283"/>
      </w:pPr>
      <w:r>
        <w:rPr>
          <w:color w:val="5E5A52"/>
          <w:sz w:val="21"/>
        </w:rPr>
        <w:t>Scale of the market: 1.1M residential transactions per year; 17.5M homeowner households; 2.7M buy-to-let landlords. A large, active market with real, high-stakes decisions.</w:t>
      </w:r>
    </w:p>
    <w:p>
      <w:pPr>
        <w:pStyle w:val="ListBullet"/>
        <w:spacing w:after="60"/>
        <w:ind w:left="283"/>
      </w:pPr>
      <w:r>
        <w:rPr>
          <w:color w:val="5E5A52"/>
          <w:sz w:val="21"/>
        </w:rPr>
        <w:t>Regulatory complexity creates demand: SDLT, leasehold reform, EPC Band C mandates, gas safety regulations, EICR requirements, selective licensing — the regulatory environment makes professional guidance and data tools genuinely valuable.</w:t>
      </w:r>
    </w:p>
    <w:p>
      <w:pPr>
        <w:pStyle w:val="ListBullet"/>
        <w:spacing w:after="60"/>
        <w:ind w:left="283"/>
      </w:pPr>
      <w:r>
        <w:rPr>
          <w:color w:val="5E5A52"/>
          <w:sz w:val="21"/>
        </w:rPr>
        <w:t>English language first market: Enables content marketing, SEO, and social media at lower cost than multilingual markets.</w:t>
      </w:r>
    </w:p>
    <w:p>
      <w:pPr>
        <w:pStyle w:val="ListBullet"/>
        <w:spacing w:after="60"/>
        <w:ind w:left="283"/>
      </w:pPr>
      <w:r>
        <w:rPr>
          <w:color w:val="5E5A52"/>
          <w:sz w:val="21"/>
        </w:rPr>
        <w:t>Mature proptech ecosystem: PiLabs, Geovation, UKRI funding, Founders Factory, and a deep pool of proptech talent and investors in London and Manchester.</w:t>
      </w:r>
    </w:p>
    <w:p>
      <w:pPr>
        <w:pStyle w:val="ListBullet"/>
        <w:spacing w:after="60"/>
        <w:ind w:left="283"/>
      </w:pPr>
      <w:r>
        <w:rPr>
          <w:color w:val="5E5A52"/>
          <w:sz w:val="21"/>
        </w:rPr>
        <w:t>Strong startup infrastructure: Incorporated in England &amp; Wales; access to SEIS/EIS tax reliefs making the investment attractive to UK angel investors; R&amp;D tax credits reducing engineering cost by up to 33%.</w:t>
      </w:r>
    </w:p>
    <w:p>
      <w:pPr>
        <w:spacing w:before="160" w:after="160"/>
        <w:pBdr>
          <w:bottom w:val="single" w:sz="4" w:space="1" w:color="D1CEC8"/>
        </w:pBdr>
      </w:pPr>
    </w:p>
    <w:p>
      <w:pPr>
        <w:pStyle w:val="Heading1"/>
        <w:spacing w:before="400" w:after="120"/>
      </w:pPr>
      <w:r>
        <w:rPr>
          <w:color w:val="1D9E75"/>
          <w:sz w:val="32"/>
        </w:rPr>
        <w:t>29. Which City Would We Be Based In</w:t>
      </w:r>
    </w:p>
    <w:p>
      <w:pPr>
        <w:pStyle w:val="Heading2"/>
        <w:spacing w:before="240" w:after="80"/>
      </w:pPr>
      <w:r>
        <w:rPr>
          <w:color w:val="1A1917"/>
          <w:sz w:val="26"/>
        </w:rPr>
        <w:t>Primary base: Manchester</w:t>
      </w:r>
    </w:p>
    <w:p>
      <w:pPr>
        <w:spacing w:after="120"/>
      </w:pPr>
      <w:r>
        <w:rPr>
          <w:i w:val="0"/>
          <w:color w:val="5E5A52"/>
          <w:sz w:val="21"/>
        </w:rPr>
        <w:t>PropPilot will be headquartered in Manchester, England. Manchester is the UK's fastest-growing tech city outside London, offering a compelling combination of talent, cost, and market access:</w:t>
      </w:r>
    </w:p>
    <w:p>
      <w:pPr>
        <w:pStyle w:val="ListBullet"/>
        <w:spacing w:after="60"/>
        <w:ind w:left="283"/>
      </w:pPr>
      <w:r>
        <w:rPr>
          <w:color w:val="5E5A52"/>
          <w:sz w:val="21"/>
        </w:rPr>
        <w:t>Talent pool: Manchester has four major universities (University of Manchester, Manchester Metropolitan, Salford, UMIST) producing 10,000+ tech graduates annually. Engineering salaries are 25-35% lower than London for equivalent talent.</w:t>
      </w:r>
    </w:p>
    <w:p>
      <w:pPr>
        <w:pStyle w:val="ListBullet"/>
        <w:spacing w:after="60"/>
        <w:ind w:left="283"/>
      </w:pPr>
      <w:r>
        <w:rPr>
          <w:color w:val="5E5A52"/>
          <w:sz w:val="21"/>
        </w:rPr>
        <w:t>Cost of operations: Average office space in Manchester city centre costs £30-£45/sq ft vs. £70-£120/sq ft in Central London. This directly extends runway.</w:t>
      </w:r>
    </w:p>
    <w:p>
      <w:pPr>
        <w:pStyle w:val="ListBullet"/>
        <w:spacing w:after="60"/>
        <w:ind w:left="283"/>
      </w:pPr>
      <w:r>
        <w:rPr>
          <w:color w:val="5E5A52"/>
          <w:sz w:val="21"/>
        </w:rPr>
        <w:t>Property market relevance: Greater Manchester is one of the UK's busiest residential property markets, with 40,000+ transactions annually — ideal for user research, beta testing, and professional services partner recruitment.</w:t>
      </w:r>
    </w:p>
    <w:p>
      <w:pPr>
        <w:pStyle w:val="ListBullet"/>
        <w:spacing w:after="60"/>
        <w:ind w:left="283"/>
      </w:pPr>
      <w:r>
        <w:rPr>
          <w:color w:val="5E5A52"/>
          <w:sz w:val="21"/>
        </w:rPr>
        <w:t>Tech ecosystem: Manchester Digital, Tech Nation North, and the Corridor Manchester innovation district provide accelerator access, co-working, and investor connectivity.</w:t>
      </w:r>
    </w:p>
    <w:p>
      <w:pPr>
        <w:pStyle w:val="ListBullet"/>
        <w:spacing w:after="60"/>
        <w:ind w:left="283"/>
      </w:pPr>
      <w:r>
        <w:rPr>
          <w:color w:val="5E5A52"/>
          <w:sz w:val="21"/>
        </w:rPr>
        <w:t>Government support: Greater Manchester Combined Authority offers business support grants and R&amp;D co-funding through its Invest in Greater Manchester programme.</w:t>
      </w:r>
    </w:p>
    <w:p>
      <w:pPr>
        <w:pStyle w:val="Heading2"/>
        <w:spacing w:before="240" w:after="80"/>
      </w:pPr>
      <w:r>
        <w:rPr>
          <w:color w:val="1A1917"/>
          <w:sz w:val="26"/>
        </w:rPr>
        <w:t>Secondary presence: London</w:t>
      </w:r>
    </w:p>
    <w:p>
      <w:pPr>
        <w:spacing w:after="120"/>
      </w:pPr>
      <w:r>
        <w:rPr>
          <w:i w:val="0"/>
          <w:color w:val="5E5A52"/>
          <w:sz w:val="21"/>
        </w:rPr>
        <w:t>A small London presence (hot-desk / co-working at a space like WeWork or Second Home) will be maintained for investor meetings, B2B partnerships, and estate agent BD from Month 6. London accounts for approximately 22% of UK residential transactions by value.</w:t>
      </w:r>
    </w:p>
    <w:p>
      <w:pPr>
        <w:spacing w:before="160" w:after="160"/>
        <w:pBdr>
          <w:bottom w:val="single" w:sz="4" w:space="1" w:color="D1CEC8"/>
        </w:pBdr>
      </w:pPr>
    </w:p>
    <w:p>
      <w:pPr>
        <w:pStyle w:val="Heading1"/>
        <w:spacing w:before="400" w:after="120"/>
      </w:pPr>
      <w:r>
        <w:rPr>
          <w:color w:val="1D9E75"/>
          <w:sz w:val="32"/>
        </w:rPr>
        <w:t>30. Target Market Insight</w:t>
      </w:r>
    </w:p>
    <w:p>
      <w:pPr>
        <w:pStyle w:val="Heading2"/>
        <w:spacing w:before="240" w:after="80"/>
      </w:pPr>
      <w:r>
        <w:rPr>
          <w:color w:val="1A1917"/>
          <w:sz w:val="26"/>
        </w:rPr>
        <w:t>Primary B2C segments</w:t>
      </w:r>
    </w:p>
    <w:tbl>
      <w:tblPr>
        <w:tblStyle w:val="TableGrid"/>
        <w:tblW w:type="auto" w:w="0"/>
        <w:tblLook w:firstColumn="1" w:firstRow="1" w:lastColumn="0" w:lastRow="0" w:noHBand="0" w:noVBand="1" w:val="04A0"/>
      </w:tblPr>
      <w:tblGrid>
        <w:gridCol w:w="2351"/>
        <w:gridCol w:w="2351"/>
        <w:gridCol w:w="2351"/>
        <w:gridCol w:w="2351"/>
      </w:tblGrid>
      <w:tr>
        <w:tc>
          <w:tcPr>
            <w:tcW w:type="dxa" w:w="2351"/>
            <w:vAlign w:val="center"/>
            <w:tcW w:w="1440000" w:type="dxa"/>
            <w:shd w:val="clear" w:color="auto" w:fill="1D9E75"/>
          </w:tcPr>
          <w:p>
            <w:pPr>
              <w:spacing w:before="60" w:after="60"/>
              <w:ind w:left="113"/>
            </w:pPr>
            <w:r>
              <w:rPr>
                <w:b/>
                <w:color w:val="FFFFFF"/>
                <w:sz w:val="19"/>
              </w:rPr>
              <w:t>Segment</w:t>
            </w:r>
          </w:p>
        </w:tc>
        <w:tc>
          <w:tcPr>
            <w:tcW w:type="dxa" w:w="2351"/>
            <w:vAlign w:val="center"/>
            <w:tcW w:w="1260000" w:type="dxa"/>
            <w:shd w:val="clear" w:color="auto" w:fill="1D9E75"/>
          </w:tcPr>
          <w:p>
            <w:pPr>
              <w:spacing w:before="60" w:after="60"/>
              <w:ind w:left="113"/>
            </w:pPr>
            <w:r>
              <w:rPr>
                <w:b/>
                <w:color w:val="FFFFFF"/>
                <w:sz w:val="19"/>
              </w:rPr>
              <w:t>Size (UK)</w:t>
            </w:r>
          </w:p>
        </w:tc>
        <w:tc>
          <w:tcPr>
            <w:tcW w:type="dxa" w:w="2351"/>
            <w:vAlign w:val="center"/>
            <w:tcW w:w="2160000" w:type="dxa"/>
            <w:shd w:val="clear" w:color="auto" w:fill="1D9E75"/>
          </w:tcPr>
          <w:p>
            <w:pPr>
              <w:spacing w:before="60" w:after="60"/>
              <w:ind w:left="113"/>
            </w:pPr>
            <w:r>
              <w:rPr>
                <w:b/>
                <w:color w:val="FFFFFF"/>
                <w:sz w:val="19"/>
              </w:rPr>
              <w:t>Key pain</w:t>
            </w:r>
          </w:p>
        </w:tc>
        <w:tc>
          <w:tcPr>
            <w:tcW w:type="dxa" w:w="2351"/>
            <w:vAlign w:val="center"/>
            <w:tcW w:w="1440000" w:type="dxa"/>
            <w:shd w:val="clear" w:color="auto" w:fill="1D9E75"/>
          </w:tcPr>
          <w:p>
            <w:pPr>
              <w:spacing w:before="60" w:after="60"/>
              <w:ind w:left="113"/>
            </w:pPr>
            <w:r>
              <w:rPr>
                <w:b/>
                <w:color w:val="FFFFFF"/>
                <w:sz w:val="19"/>
              </w:rPr>
              <w:t>Willingness to pay</w:t>
            </w:r>
          </w:p>
        </w:tc>
      </w:tr>
      <w:tr>
        <w:tc>
          <w:tcPr>
            <w:tcW w:type="dxa" w:w="2351"/>
            <w:vAlign w:val="center"/>
            <w:tcW w:w="1440000" w:type="dxa"/>
          </w:tcPr>
          <w:p>
            <w:pPr>
              <w:spacing w:before="60" w:after="60"/>
              <w:ind w:left="113"/>
            </w:pPr>
            <w:r>
              <w:rPr>
                <w:b w:val="0"/>
                <w:color w:val="1A1917"/>
                <w:sz w:val="19"/>
              </w:rPr>
              <w:t>First-time buyers (FTB)</w:t>
            </w:r>
          </w:p>
        </w:tc>
        <w:tc>
          <w:tcPr>
            <w:tcW w:type="dxa" w:w="2351"/>
            <w:vAlign w:val="center"/>
            <w:tcW w:w="1260000" w:type="dxa"/>
          </w:tcPr>
          <w:p>
            <w:pPr>
              <w:spacing w:before="60" w:after="60"/>
              <w:ind w:left="113"/>
            </w:pPr>
            <w:r>
              <w:rPr>
                <w:b w:val="0"/>
                <w:color w:val="5E5A52"/>
                <w:sz w:val="19"/>
              </w:rPr>
              <w:t>~340,000/year</w:t>
            </w:r>
          </w:p>
        </w:tc>
        <w:tc>
          <w:tcPr>
            <w:tcW w:type="dxa" w:w="2351"/>
            <w:vAlign w:val="center"/>
            <w:tcW w:w="2160000" w:type="dxa"/>
          </w:tcPr>
          <w:p>
            <w:pPr>
              <w:spacing w:before="60" w:after="60"/>
              <w:ind w:left="113"/>
            </w:pPr>
            <w:r>
              <w:rPr>
                <w:b w:val="0"/>
                <w:color w:val="5E5A52"/>
                <w:sz w:val="19"/>
              </w:rPr>
              <w:t>No prior experience; highest information gap</w:t>
            </w:r>
          </w:p>
        </w:tc>
        <w:tc>
          <w:tcPr>
            <w:tcW w:type="dxa" w:w="2351"/>
            <w:vAlign w:val="center"/>
            <w:tcW w:w="1440000" w:type="dxa"/>
          </w:tcPr>
          <w:p>
            <w:pPr>
              <w:spacing w:before="60" w:after="60"/>
              <w:ind w:left="113"/>
            </w:pPr>
            <w:r>
              <w:rPr>
                <w:b w:val="0"/>
                <w:color w:val="5E5A52"/>
                <w:sz w:val="19"/>
              </w:rPr>
              <w:t>High — every mistake is costly</w:t>
            </w:r>
          </w:p>
        </w:tc>
      </w:tr>
      <w:tr>
        <w:tc>
          <w:tcPr>
            <w:tcW w:type="dxa" w:w="2351"/>
            <w:vAlign w:val="center"/>
            <w:tcW w:w="1440000" w:type="dxa"/>
            <w:shd w:val="clear" w:color="auto" w:fill="F8F7F4"/>
          </w:tcPr>
          <w:p>
            <w:pPr>
              <w:spacing w:before="60" w:after="60"/>
              <w:ind w:left="113"/>
            </w:pPr>
            <w:r>
              <w:rPr>
                <w:b w:val="0"/>
                <w:color w:val="1A1917"/>
                <w:sz w:val="19"/>
              </w:rPr>
              <w:t>Home movers (standard buyers)</w:t>
            </w:r>
          </w:p>
        </w:tc>
        <w:tc>
          <w:tcPr>
            <w:tcW w:type="dxa" w:w="2351"/>
            <w:vAlign w:val="center"/>
            <w:tcW w:w="1260000" w:type="dxa"/>
            <w:shd w:val="clear" w:color="auto" w:fill="F8F7F4"/>
          </w:tcPr>
          <w:p>
            <w:pPr>
              <w:spacing w:before="60" w:after="60"/>
              <w:ind w:left="113"/>
            </w:pPr>
            <w:r>
              <w:rPr>
                <w:b w:val="0"/>
                <w:color w:val="5E5A52"/>
                <w:sz w:val="19"/>
              </w:rPr>
              <w:t>~760,000/year</w:t>
            </w:r>
          </w:p>
        </w:tc>
        <w:tc>
          <w:tcPr>
            <w:tcW w:type="dxa" w:w="2351"/>
            <w:vAlign w:val="center"/>
            <w:tcW w:w="2160000" w:type="dxa"/>
            <w:shd w:val="clear" w:color="auto" w:fill="F8F7F4"/>
          </w:tcPr>
          <w:p>
            <w:pPr>
              <w:spacing w:before="60" w:after="60"/>
              <w:ind w:left="113"/>
            </w:pPr>
            <w:r>
              <w:rPr>
                <w:b w:val="0"/>
                <w:color w:val="5E5A52"/>
                <w:sz w:val="19"/>
              </w:rPr>
              <w:t>Time-poor; need fast, reliable due diligence</w:t>
            </w:r>
          </w:p>
        </w:tc>
        <w:tc>
          <w:tcPr>
            <w:tcW w:type="dxa" w:w="2351"/>
            <w:vAlign w:val="center"/>
            <w:tcW w:w="1440000" w:type="dxa"/>
            <w:shd w:val="clear" w:color="auto" w:fill="F8F7F4"/>
          </w:tcPr>
          <w:p>
            <w:pPr>
              <w:spacing w:before="60" w:after="60"/>
              <w:ind w:left="113"/>
            </w:pPr>
            <w:r>
              <w:rPr>
                <w:b w:val="0"/>
                <w:color w:val="5E5A52"/>
                <w:sz w:val="19"/>
              </w:rPr>
              <w:t>High — familiar with paying for information</w:t>
            </w:r>
          </w:p>
        </w:tc>
      </w:tr>
      <w:tr>
        <w:tc>
          <w:tcPr>
            <w:tcW w:type="dxa" w:w="2351"/>
            <w:vAlign w:val="center"/>
            <w:tcW w:w="1440000" w:type="dxa"/>
          </w:tcPr>
          <w:p>
            <w:pPr>
              <w:spacing w:before="60" w:after="60"/>
              <w:ind w:left="113"/>
            </w:pPr>
            <w:r>
              <w:rPr>
                <w:b w:val="0"/>
                <w:color w:val="1A1917"/>
                <w:sz w:val="19"/>
              </w:rPr>
              <w:t>Buy-to-let investors</w:t>
            </w:r>
          </w:p>
        </w:tc>
        <w:tc>
          <w:tcPr>
            <w:tcW w:type="dxa" w:w="2351"/>
            <w:vAlign w:val="center"/>
            <w:tcW w:w="1260000" w:type="dxa"/>
          </w:tcPr>
          <w:p>
            <w:pPr>
              <w:spacing w:before="60" w:after="60"/>
              <w:ind w:left="113"/>
            </w:pPr>
            <w:r>
              <w:rPr>
                <w:b w:val="0"/>
                <w:color w:val="5E5A52"/>
                <w:sz w:val="19"/>
              </w:rPr>
              <w:t>~120,000 active</w:t>
            </w:r>
          </w:p>
        </w:tc>
        <w:tc>
          <w:tcPr>
            <w:tcW w:type="dxa" w:w="2351"/>
            <w:vAlign w:val="center"/>
            <w:tcW w:w="2160000" w:type="dxa"/>
          </w:tcPr>
          <w:p>
            <w:pPr>
              <w:spacing w:before="60" w:after="60"/>
              <w:ind w:left="113"/>
            </w:pPr>
            <w:r>
              <w:rPr>
                <w:b w:val="0"/>
                <w:color w:val="5E5A52"/>
                <w:sz w:val="19"/>
              </w:rPr>
              <w:t>Compliance tracking across multiple properties</w:t>
            </w:r>
          </w:p>
        </w:tc>
        <w:tc>
          <w:tcPr>
            <w:tcW w:type="dxa" w:w="2351"/>
            <w:vAlign w:val="center"/>
            <w:tcW w:w="1440000" w:type="dxa"/>
          </w:tcPr>
          <w:p>
            <w:pPr>
              <w:spacing w:before="60" w:after="60"/>
              <w:ind w:left="113"/>
            </w:pPr>
            <w:r>
              <w:rPr>
                <w:b w:val="0"/>
                <w:color w:val="5E5A52"/>
                <w:sz w:val="19"/>
              </w:rPr>
              <w:t>Very high — compliance failure = fines</w:t>
            </w:r>
          </w:p>
        </w:tc>
      </w:tr>
      <w:tr>
        <w:tc>
          <w:tcPr>
            <w:tcW w:type="dxa" w:w="2351"/>
            <w:vAlign w:val="center"/>
            <w:tcW w:w="1440000" w:type="dxa"/>
            <w:shd w:val="clear" w:color="auto" w:fill="F8F7F4"/>
          </w:tcPr>
          <w:p>
            <w:pPr>
              <w:spacing w:before="60" w:after="60"/>
              <w:ind w:left="113"/>
            </w:pPr>
            <w:r>
              <w:rPr>
                <w:b w:val="0"/>
                <w:color w:val="1A1917"/>
                <w:sz w:val="19"/>
              </w:rPr>
              <w:t>Owner-occupiers</w:t>
            </w:r>
          </w:p>
        </w:tc>
        <w:tc>
          <w:tcPr>
            <w:tcW w:type="dxa" w:w="2351"/>
            <w:vAlign w:val="center"/>
            <w:tcW w:w="1260000" w:type="dxa"/>
            <w:shd w:val="clear" w:color="auto" w:fill="F8F7F4"/>
          </w:tcPr>
          <w:p>
            <w:pPr>
              <w:spacing w:before="60" w:after="60"/>
              <w:ind w:left="113"/>
            </w:pPr>
            <w:r>
              <w:rPr>
                <w:b w:val="0"/>
                <w:color w:val="5E5A52"/>
                <w:sz w:val="19"/>
              </w:rPr>
              <w:t>~14.8M HHs</w:t>
            </w:r>
          </w:p>
        </w:tc>
        <w:tc>
          <w:tcPr>
            <w:tcW w:type="dxa" w:w="2351"/>
            <w:vAlign w:val="center"/>
            <w:tcW w:w="2160000" w:type="dxa"/>
            <w:shd w:val="clear" w:color="auto" w:fill="F8F7F4"/>
          </w:tcPr>
          <w:p>
            <w:pPr>
              <w:spacing w:before="60" w:after="60"/>
              <w:ind w:left="113"/>
            </w:pPr>
            <w:r>
              <w:rPr>
                <w:b w:val="0"/>
                <w:color w:val="5E5A52"/>
                <w:sz w:val="19"/>
              </w:rPr>
              <w:t>Maintenance, remortgage, EPC grants</w:t>
            </w:r>
          </w:p>
        </w:tc>
        <w:tc>
          <w:tcPr>
            <w:tcW w:type="dxa" w:w="2351"/>
            <w:vAlign w:val="center"/>
            <w:tcW w:w="1440000" w:type="dxa"/>
            <w:shd w:val="clear" w:color="auto" w:fill="F8F7F4"/>
          </w:tcPr>
          <w:p>
            <w:pPr>
              <w:spacing w:before="60" w:after="60"/>
              <w:ind w:left="113"/>
            </w:pPr>
            <w:r>
              <w:rPr>
                <w:b w:val="0"/>
                <w:color w:val="5E5A52"/>
                <w:sz w:val="19"/>
              </w:rPr>
              <w:t>Medium — recurring subscription model</w:t>
            </w:r>
          </w:p>
        </w:tc>
      </w:tr>
      <w:tr>
        <w:tc>
          <w:tcPr>
            <w:tcW w:type="dxa" w:w="2351"/>
            <w:vAlign w:val="center"/>
            <w:tcW w:w="1440000" w:type="dxa"/>
          </w:tcPr>
          <w:p>
            <w:pPr>
              <w:spacing w:before="60" w:after="60"/>
              <w:ind w:left="113"/>
            </w:pPr>
            <w:r>
              <w:rPr>
                <w:b w:val="0"/>
                <w:color w:val="1A1917"/>
                <w:sz w:val="19"/>
              </w:rPr>
              <w:t>Leasehold buyers</w:t>
            </w:r>
          </w:p>
        </w:tc>
        <w:tc>
          <w:tcPr>
            <w:tcW w:type="dxa" w:w="2351"/>
            <w:vAlign w:val="center"/>
            <w:tcW w:w="1260000" w:type="dxa"/>
          </w:tcPr>
          <w:p>
            <w:pPr>
              <w:spacing w:before="60" w:after="60"/>
              <w:ind w:left="113"/>
            </w:pPr>
            <w:r>
              <w:rPr>
                <w:b w:val="0"/>
                <w:color w:val="5E5A52"/>
                <w:sz w:val="19"/>
              </w:rPr>
              <w:t>~100,000/year</w:t>
            </w:r>
          </w:p>
        </w:tc>
        <w:tc>
          <w:tcPr>
            <w:tcW w:type="dxa" w:w="2351"/>
            <w:vAlign w:val="center"/>
            <w:tcW w:w="2160000" w:type="dxa"/>
          </w:tcPr>
          <w:p>
            <w:pPr>
              <w:spacing w:before="60" w:after="60"/>
              <w:ind w:left="113"/>
            </w:pPr>
            <w:r>
              <w:rPr>
                <w:b w:val="0"/>
                <w:color w:val="5E5A52"/>
                <w:sz w:val="19"/>
              </w:rPr>
              <w:t>Lease extension complexity; service charge risk</w:t>
            </w:r>
          </w:p>
        </w:tc>
        <w:tc>
          <w:tcPr>
            <w:tcW w:type="dxa" w:w="2351"/>
            <w:vAlign w:val="center"/>
            <w:tcW w:w="1440000" w:type="dxa"/>
          </w:tcPr>
          <w:p>
            <w:pPr>
              <w:spacing w:before="60" w:after="60"/>
              <w:ind w:left="113"/>
            </w:pPr>
            <w:r>
              <w:rPr>
                <w:b w:val="0"/>
                <w:color w:val="5E5A52"/>
                <w:sz w:val="19"/>
              </w:rPr>
              <w:t>High — mistakes cost tens of thousands</w:t>
            </w:r>
          </w:p>
        </w:tc>
      </w:tr>
    </w:tbl>
    <w:p/>
    <w:p>
      <w:pPr>
        <w:pStyle w:val="Heading2"/>
        <w:spacing w:before="240" w:after="80"/>
      </w:pPr>
      <w:r>
        <w:rPr>
          <w:color w:val="1A1917"/>
          <w:sz w:val="26"/>
        </w:rPr>
        <w:t>Primary B2B segments</w:t>
      </w:r>
    </w:p>
    <w:tbl>
      <w:tblPr>
        <w:tblStyle w:val="TableGrid"/>
        <w:tblW w:type="auto" w:w="0"/>
        <w:tblLook w:firstColumn="1" w:firstRow="1" w:lastColumn="0" w:lastRow="0" w:noHBand="0" w:noVBand="1" w:val="04A0"/>
      </w:tblPr>
      <w:tblGrid>
        <w:gridCol w:w="2351"/>
        <w:gridCol w:w="2351"/>
        <w:gridCol w:w="2351"/>
        <w:gridCol w:w="2351"/>
      </w:tblGrid>
      <w:tr>
        <w:tc>
          <w:tcPr>
            <w:tcW w:type="dxa" w:w="2351"/>
            <w:vAlign w:val="center"/>
            <w:tcW w:w="1440000" w:type="dxa"/>
            <w:shd w:val="clear" w:color="auto" w:fill="1D9E75"/>
          </w:tcPr>
          <w:p>
            <w:pPr>
              <w:spacing w:before="60" w:after="60"/>
              <w:ind w:left="113"/>
            </w:pPr>
            <w:r>
              <w:rPr>
                <w:b/>
                <w:color w:val="FFFFFF"/>
                <w:sz w:val="19"/>
              </w:rPr>
              <w:t>Segment</w:t>
            </w:r>
          </w:p>
        </w:tc>
        <w:tc>
          <w:tcPr>
            <w:tcW w:type="dxa" w:w="2351"/>
            <w:vAlign w:val="center"/>
            <w:tcW w:w="1080000" w:type="dxa"/>
            <w:shd w:val="clear" w:color="auto" w:fill="1D9E75"/>
          </w:tcPr>
          <w:p>
            <w:pPr>
              <w:spacing w:before="60" w:after="60"/>
              <w:ind w:left="113"/>
            </w:pPr>
            <w:r>
              <w:rPr>
                <w:b/>
                <w:color w:val="FFFFFF"/>
                <w:sz w:val="19"/>
              </w:rPr>
              <w:t>Size (UK)</w:t>
            </w:r>
          </w:p>
        </w:tc>
        <w:tc>
          <w:tcPr>
            <w:tcW w:type="dxa" w:w="2351"/>
            <w:vAlign w:val="center"/>
            <w:tcW w:w="1980000" w:type="dxa"/>
            <w:shd w:val="clear" w:color="auto" w:fill="1D9E75"/>
          </w:tcPr>
          <w:p>
            <w:pPr>
              <w:spacing w:before="60" w:after="60"/>
              <w:ind w:left="113"/>
            </w:pPr>
            <w:r>
              <w:rPr>
                <w:b/>
                <w:color w:val="FFFFFF"/>
                <w:sz w:val="19"/>
              </w:rPr>
              <w:t>Use case</w:t>
            </w:r>
          </w:p>
        </w:tc>
        <w:tc>
          <w:tcPr>
            <w:tcW w:type="dxa" w:w="2351"/>
            <w:vAlign w:val="center"/>
            <w:tcW w:w="1800000" w:type="dxa"/>
            <w:shd w:val="clear" w:color="auto" w:fill="1D9E75"/>
          </w:tcPr>
          <w:p>
            <w:pPr>
              <w:spacing w:before="60" w:after="60"/>
              <w:ind w:left="113"/>
            </w:pPr>
            <w:r>
              <w:rPr>
                <w:b/>
                <w:color w:val="FFFFFF"/>
                <w:sz w:val="19"/>
              </w:rPr>
              <w:t>Revenue model</w:t>
            </w:r>
          </w:p>
        </w:tc>
      </w:tr>
      <w:tr>
        <w:tc>
          <w:tcPr>
            <w:tcW w:type="dxa" w:w="2351"/>
            <w:vAlign w:val="center"/>
            <w:tcW w:w="1440000" w:type="dxa"/>
          </w:tcPr>
          <w:p>
            <w:pPr>
              <w:spacing w:before="60" w:after="60"/>
              <w:ind w:left="113"/>
            </w:pPr>
            <w:r>
              <w:rPr>
                <w:b w:val="0"/>
                <w:color w:val="1A1917"/>
                <w:sz w:val="19"/>
              </w:rPr>
              <w:t>Independent estate agents</w:t>
            </w:r>
          </w:p>
        </w:tc>
        <w:tc>
          <w:tcPr>
            <w:tcW w:type="dxa" w:w="2351"/>
            <w:vAlign w:val="center"/>
            <w:tcW w:w="1080000" w:type="dxa"/>
          </w:tcPr>
          <w:p>
            <w:pPr>
              <w:spacing w:before="60" w:after="60"/>
              <w:ind w:left="113"/>
            </w:pPr>
            <w:r>
              <w:rPr>
                <w:b w:val="0"/>
                <w:color w:val="5E5A52"/>
                <w:sz w:val="19"/>
              </w:rPr>
              <w:t>~12,000 firms</w:t>
            </w:r>
          </w:p>
        </w:tc>
        <w:tc>
          <w:tcPr>
            <w:tcW w:type="dxa" w:w="2351"/>
            <w:vAlign w:val="center"/>
            <w:tcW w:w="1980000" w:type="dxa"/>
          </w:tcPr>
          <w:p>
            <w:pPr>
              <w:spacing w:before="60" w:after="60"/>
              <w:ind w:left="113"/>
            </w:pPr>
            <w:r>
              <w:rPr>
                <w:b w:val="0"/>
                <w:color w:val="5E5A52"/>
                <w:sz w:val="19"/>
              </w:rPr>
              <w:t>White-label reports on listings</w:t>
            </w:r>
          </w:p>
        </w:tc>
        <w:tc>
          <w:tcPr>
            <w:tcW w:type="dxa" w:w="2351"/>
            <w:vAlign w:val="center"/>
            <w:tcW w:w="1800000" w:type="dxa"/>
          </w:tcPr>
          <w:p>
            <w:pPr>
              <w:spacing w:before="60" w:after="60"/>
              <w:ind w:left="113"/>
            </w:pPr>
            <w:r>
              <w:rPr>
                <w:b w:val="0"/>
                <w:color w:val="5E5A52"/>
                <w:sz w:val="19"/>
              </w:rPr>
              <w:t>£39-£79/mo API subscription</w:t>
            </w:r>
          </w:p>
        </w:tc>
      </w:tr>
      <w:tr>
        <w:tc>
          <w:tcPr>
            <w:tcW w:type="dxa" w:w="2351"/>
            <w:vAlign w:val="center"/>
            <w:tcW w:w="1440000" w:type="dxa"/>
            <w:shd w:val="clear" w:color="auto" w:fill="F8F7F4"/>
          </w:tcPr>
          <w:p>
            <w:pPr>
              <w:spacing w:before="60" w:after="60"/>
              <w:ind w:left="113"/>
            </w:pPr>
            <w:r>
              <w:rPr>
                <w:b w:val="0"/>
                <w:color w:val="1A1917"/>
                <w:sz w:val="19"/>
              </w:rPr>
              <w:t>Mortgage brokers (DA)</w:t>
            </w:r>
          </w:p>
        </w:tc>
        <w:tc>
          <w:tcPr>
            <w:tcW w:type="dxa" w:w="2351"/>
            <w:vAlign w:val="center"/>
            <w:tcW w:w="1080000" w:type="dxa"/>
            <w:shd w:val="clear" w:color="auto" w:fill="F8F7F4"/>
          </w:tcPr>
          <w:p>
            <w:pPr>
              <w:spacing w:before="60" w:after="60"/>
              <w:ind w:left="113"/>
            </w:pPr>
            <w:r>
              <w:rPr>
                <w:b w:val="0"/>
                <w:color w:val="5E5A52"/>
                <w:sz w:val="19"/>
              </w:rPr>
              <w:t>~5,000 DAs</w:t>
            </w:r>
          </w:p>
        </w:tc>
        <w:tc>
          <w:tcPr>
            <w:tcW w:type="dxa" w:w="2351"/>
            <w:vAlign w:val="center"/>
            <w:tcW w:w="1980000" w:type="dxa"/>
            <w:shd w:val="clear" w:color="auto" w:fill="F8F7F4"/>
          </w:tcPr>
          <w:p>
            <w:pPr>
              <w:spacing w:before="60" w:after="60"/>
              <w:ind w:left="113"/>
            </w:pPr>
            <w:r>
              <w:rPr>
                <w:b w:val="0"/>
                <w:color w:val="5E5A52"/>
                <w:sz w:val="19"/>
              </w:rPr>
              <w:t>Remortgage radar referral flow</w:t>
            </w:r>
          </w:p>
        </w:tc>
        <w:tc>
          <w:tcPr>
            <w:tcW w:type="dxa" w:w="2351"/>
            <w:vAlign w:val="center"/>
            <w:tcW w:w="1800000" w:type="dxa"/>
            <w:shd w:val="clear" w:color="auto" w:fill="F8F7F4"/>
          </w:tcPr>
          <w:p>
            <w:pPr>
              <w:spacing w:before="60" w:after="60"/>
              <w:ind w:left="113"/>
            </w:pPr>
            <w:r>
              <w:rPr>
                <w:b w:val="0"/>
                <w:color w:val="5E5A52"/>
                <w:sz w:val="19"/>
              </w:rPr>
              <w:t>Referral fee per completed deal</w:t>
            </w:r>
          </w:p>
        </w:tc>
      </w:tr>
      <w:tr>
        <w:tc>
          <w:tcPr>
            <w:tcW w:type="dxa" w:w="2351"/>
            <w:vAlign w:val="center"/>
            <w:tcW w:w="1440000" w:type="dxa"/>
          </w:tcPr>
          <w:p>
            <w:pPr>
              <w:spacing w:before="60" w:after="60"/>
              <w:ind w:left="113"/>
            </w:pPr>
            <w:r>
              <w:rPr>
                <w:b w:val="0"/>
                <w:color w:val="1A1917"/>
                <w:sz w:val="19"/>
              </w:rPr>
              <w:t>Property solicitors</w:t>
            </w:r>
          </w:p>
        </w:tc>
        <w:tc>
          <w:tcPr>
            <w:tcW w:type="dxa" w:w="2351"/>
            <w:vAlign w:val="center"/>
            <w:tcW w:w="1080000" w:type="dxa"/>
          </w:tcPr>
          <w:p>
            <w:pPr>
              <w:spacing w:before="60" w:after="60"/>
              <w:ind w:left="113"/>
            </w:pPr>
            <w:r>
              <w:rPr>
                <w:b w:val="0"/>
                <w:color w:val="5E5A52"/>
                <w:sz w:val="19"/>
              </w:rPr>
              <w:t>~3,000 firms</w:t>
            </w:r>
          </w:p>
        </w:tc>
        <w:tc>
          <w:tcPr>
            <w:tcW w:type="dxa" w:w="2351"/>
            <w:vAlign w:val="center"/>
            <w:tcW w:w="1980000" w:type="dxa"/>
          </w:tcPr>
          <w:p>
            <w:pPr>
              <w:spacing w:before="60" w:after="60"/>
              <w:ind w:left="113"/>
            </w:pPr>
            <w:r>
              <w:rPr>
                <w:b w:val="0"/>
                <w:color w:val="5E5A52"/>
                <w:sz w:val="19"/>
              </w:rPr>
              <w:t>Buyer report included with conveyancing</w:t>
            </w:r>
          </w:p>
        </w:tc>
        <w:tc>
          <w:tcPr>
            <w:tcW w:type="dxa" w:w="2351"/>
            <w:vAlign w:val="center"/>
            <w:tcW w:w="1800000" w:type="dxa"/>
          </w:tcPr>
          <w:p>
            <w:pPr>
              <w:spacing w:before="60" w:after="60"/>
              <w:ind w:left="113"/>
            </w:pPr>
            <w:r>
              <w:rPr>
                <w:b w:val="0"/>
                <w:color w:val="5E5A52"/>
                <w:sz w:val="19"/>
              </w:rPr>
              <w:t>Referral + data fee</w:t>
            </w:r>
          </w:p>
        </w:tc>
      </w:tr>
      <w:tr>
        <w:tc>
          <w:tcPr>
            <w:tcW w:type="dxa" w:w="2351"/>
            <w:vAlign w:val="center"/>
            <w:tcW w:w="1440000" w:type="dxa"/>
            <w:shd w:val="clear" w:color="auto" w:fill="F8F7F4"/>
          </w:tcPr>
          <w:p>
            <w:pPr>
              <w:spacing w:before="60" w:after="60"/>
              <w:ind w:left="113"/>
            </w:pPr>
            <w:r>
              <w:rPr>
                <w:b w:val="0"/>
                <w:color w:val="1A1917"/>
                <w:sz w:val="19"/>
              </w:rPr>
              <w:t>Landlord associations</w:t>
            </w:r>
          </w:p>
        </w:tc>
        <w:tc>
          <w:tcPr>
            <w:tcW w:type="dxa" w:w="2351"/>
            <w:vAlign w:val="center"/>
            <w:tcW w:w="1080000" w:type="dxa"/>
            <w:shd w:val="clear" w:color="auto" w:fill="F8F7F4"/>
          </w:tcPr>
          <w:p>
            <w:pPr>
              <w:spacing w:before="60" w:after="60"/>
              <w:ind w:left="113"/>
            </w:pPr>
            <w:r>
              <w:rPr>
                <w:b w:val="0"/>
                <w:color w:val="5E5A52"/>
                <w:sz w:val="19"/>
              </w:rPr>
              <w:t>~15 major</w:t>
            </w:r>
          </w:p>
        </w:tc>
        <w:tc>
          <w:tcPr>
            <w:tcW w:type="dxa" w:w="2351"/>
            <w:vAlign w:val="center"/>
            <w:tcW w:w="1980000" w:type="dxa"/>
            <w:shd w:val="clear" w:color="auto" w:fill="F8F7F4"/>
          </w:tcPr>
          <w:p>
            <w:pPr>
              <w:spacing w:before="60" w:after="60"/>
              <w:ind w:left="113"/>
            </w:pPr>
            <w:r>
              <w:rPr>
                <w:b w:val="0"/>
                <w:color w:val="5E5A52"/>
                <w:sz w:val="19"/>
              </w:rPr>
              <w:t>Compliance tool for members</w:t>
            </w:r>
          </w:p>
        </w:tc>
        <w:tc>
          <w:tcPr>
            <w:tcW w:type="dxa" w:w="2351"/>
            <w:vAlign w:val="center"/>
            <w:tcW w:w="1800000" w:type="dxa"/>
            <w:shd w:val="clear" w:color="auto" w:fill="F8F7F4"/>
          </w:tcPr>
          <w:p>
            <w:pPr>
              <w:spacing w:before="60" w:after="60"/>
              <w:ind w:left="113"/>
            </w:pPr>
            <w:r>
              <w:rPr>
                <w:b w:val="0"/>
                <w:color w:val="5E5A52"/>
                <w:sz w:val="19"/>
              </w:rPr>
              <w:t>Revenue share / white-label</w:t>
            </w:r>
          </w:p>
        </w:tc>
      </w:tr>
      <w:tr>
        <w:tc>
          <w:tcPr>
            <w:tcW w:type="dxa" w:w="2351"/>
            <w:vAlign w:val="center"/>
            <w:tcW w:w="1440000" w:type="dxa"/>
          </w:tcPr>
          <w:p>
            <w:pPr>
              <w:spacing w:before="60" w:after="60"/>
              <w:ind w:left="113"/>
            </w:pPr>
            <w:r>
              <w:rPr>
                <w:b w:val="0"/>
                <w:color w:val="1A1917"/>
                <w:sz w:val="19"/>
              </w:rPr>
              <w:t>Lenders / insurers</w:t>
            </w:r>
          </w:p>
        </w:tc>
        <w:tc>
          <w:tcPr>
            <w:tcW w:type="dxa" w:w="2351"/>
            <w:vAlign w:val="center"/>
            <w:tcW w:w="1080000" w:type="dxa"/>
          </w:tcPr>
          <w:p>
            <w:pPr>
              <w:spacing w:before="60" w:after="60"/>
              <w:ind w:left="113"/>
            </w:pPr>
            <w:r>
              <w:rPr>
                <w:b w:val="0"/>
                <w:color w:val="5E5A52"/>
                <w:sz w:val="19"/>
              </w:rPr>
              <w:t>~50 major</w:t>
            </w:r>
          </w:p>
        </w:tc>
        <w:tc>
          <w:tcPr>
            <w:tcW w:type="dxa" w:w="2351"/>
            <w:vAlign w:val="center"/>
            <w:tcW w:w="1980000" w:type="dxa"/>
          </w:tcPr>
          <w:p>
            <w:pPr>
              <w:spacing w:before="60" w:after="60"/>
              <w:ind w:left="113"/>
            </w:pPr>
            <w:r>
              <w:rPr>
                <w:b w:val="0"/>
                <w:color w:val="5E5A52"/>
                <w:sz w:val="19"/>
              </w:rPr>
              <w:t>PropPilot Score for underwriting</w:t>
            </w:r>
          </w:p>
        </w:tc>
        <w:tc>
          <w:tcPr>
            <w:tcW w:type="dxa" w:w="2351"/>
            <w:vAlign w:val="center"/>
            <w:tcW w:w="1800000" w:type="dxa"/>
          </w:tcPr>
          <w:p>
            <w:pPr>
              <w:spacing w:before="60" w:after="60"/>
              <w:ind w:left="113"/>
            </w:pPr>
            <w:r>
              <w:rPr>
                <w:b w:val="0"/>
                <w:color w:val="5E5A52"/>
                <w:sz w:val="19"/>
              </w:rPr>
              <w:t>Bulk API data licence</w:t>
            </w:r>
          </w:p>
        </w:tc>
      </w:tr>
    </w:tbl>
    <w:p/>
    <w:p>
      <w:pPr>
        <w:spacing w:before="160" w:after="160"/>
        <w:pBdr>
          <w:bottom w:val="single" w:sz="4" w:space="1" w:color="D1CEC8"/>
        </w:pBdr>
      </w:pPr>
    </w:p>
    <w:p>
      <w:r>
        <w:br w:type="page"/>
      </w:r>
    </w:p>
    <w:p>
      <w:pPr>
        <w:pStyle w:val="Heading1"/>
        <w:spacing w:before="400" w:after="120"/>
      </w:pPr>
      <w:r>
        <w:rPr>
          <w:color w:val="1D9E75"/>
          <w:sz w:val="32"/>
        </w:rPr>
        <w:t>31. Market Research</w:t>
      </w:r>
    </w:p>
    <w:p>
      <w:pPr>
        <w:pStyle w:val="Heading2"/>
        <w:spacing w:before="240" w:after="80"/>
      </w:pPr>
      <w:r>
        <w:rPr>
          <w:color w:val="1A1917"/>
          <w:sz w:val="26"/>
        </w:rPr>
        <w:t>UK residential property market</w:t>
      </w:r>
    </w:p>
    <w:p>
      <w:pPr>
        <w:pStyle w:val="ListBullet"/>
        <w:spacing w:after="60"/>
        <w:ind w:left="283"/>
      </w:pPr>
      <w:r>
        <w:rPr>
          <w:color w:val="5E5A52"/>
          <w:sz w:val="21"/>
        </w:rPr>
        <w:t>Total UK residential transactions (2024): 1.03M  [HMRC SDLT stats, 2024]</w:t>
      </w:r>
    </w:p>
    <w:p>
      <w:pPr>
        <w:pStyle w:val="ListBullet"/>
        <w:spacing w:after="60"/>
        <w:ind w:left="283"/>
      </w:pPr>
      <w:r>
        <w:rPr>
          <w:color w:val="5E5A52"/>
          <w:sz w:val="21"/>
        </w:rPr>
        <w:t>Average UK house price (March 2026): £285,000  [ONS House Price Index]</w:t>
      </w:r>
    </w:p>
    <w:p>
      <w:pPr>
        <w:pStyle w:val="ListBullet"/>
        <w:spacing w:after="60"/>
        <w:ind w:left="283"/>
      </w:pPr>
      <w:r>
        <w:rPr>
          <w:color w:val="5E5A52"/>
          <w:sz w:val="21"/>
        </w:rPr>
        <w:t>Total UK residential transaction value (2024): ~£294B  [HMRC]</w:t>
      </w:r>
    </w:p>
    <w:p>
      <w:pPr>
        <w:pStyle w:val="ListBullet"/>
        <w:spacing w:after="60"/>
        <w:ind w:left="283"/>
      </w:pPr>
      <w:r>
        <w:rPr>
          <w:color w:val="5E5A52"/>
          <w:sz w:val="21"/>
        </w:rPr>
        <w:t>UK homeowner households: 17.5M (63% of all households)  [ONS Census 2021]</w:t>
      </w:r>
    </w:p>
    <w:p>
      <w:pPr>
        <w:pStyle w:val="ListBullet"/>
        <w:spacing w:after="60"/>
        <w:ind w:left="283"/>
      </w:pPr>
      <w:r>
        <w:rPr>
          <w:color w:val="5E5A52"/>
          <w:sz w:val="21"/>
        </w:rPr>
        <w:t>UK private rented sector households: 4.6M  [ONS 2024]</w:t>
      </w:r>
    </w:p>
    <w:p>
      <w:pPr>
        <w:pStyle w:val="ListBullet"/>
        <w:spacing w:after="60"/>
        <w:ind w:left="283"/>
      </w:pPr>
      <w:r>
        <w:rPr>
          <w:color w:val="5E5A52"/>
          <w:sz w:val="21"/>
        </w:rPr>
        <w:t>Buy-to-let mortgages outstanding: 2.0M  [UK Finance 2024]</w:t>
      </w:r>
    </w:p>
    <w:p>
      <w:pPr>
        <w:pStyle w:val="ListBullet"/>
        <w:spacing w:after="60"/>
        <w:ind w:left="283"/>
      </w:pPr>
      <w:r>
        <w:rPr>
          <w:color w:val="5E5A52"/>
          <w:sz w:val="21"/>
        </w:rPr>
        <w:t>Fixed-rate mortgages expiring 2025-2027: ~4.8M  [Bank of England 2024]</w:t>
      </w:r>
    </w:p>
    <w:p>
      <w:pPr>
        <w:pStyle w:val="Heading2"/>
        <w:spacing w:before="240" w:after="80"/>
      </w:pPr>
      <w:r>
        <w:rPr>
          <w:color w:val="1A1917"/>
          <w:sz w:val="26"/>
        </w:rPr>
        <w:t>UK proptech market</w:t>
      </w:r>
    </w:p>
    <w:p>
      <w:pPr>
        <w:pStyle w:val="ListBullet"/>
        <w:spacing w:after="60"/>
        <w:ind w:left="283"/>
      </w:pPr>
      <w:r>
        <w:rPr>
          <w:color w:val="5E5A52"/>
          <w:sz w:val="21"/>
        </w:rPr>
        <w:t>UK proptech market size (2025): £2.4B  [Savills / CBRE Research]</w:t>
      </w:r>
    </w:p>
    <w:p>
      <w:pPr>
        <w:pStyle w:val="ListBullet"/>
        <w:spacing w:after="60"/>
        <w:ind w:left="283"/>
      </w:pPr>
      <w:r>
        <w:rPr>
          <w:color w:val="5E5A52"/>
          <w:sz w:val="21"/>
        </w:rPr>
        <w:t>UK proptech CAGR (2023-2028): 14%  [PiLabs Proptech Report 2024]</w:t>
      </w:r>
    </w:p>
    <w:p>
      <w:pPr>
        <w:pStyle w:val="ListBullet"/>
        <w:spacing w:after="60"/>
        <w:ind w:left="283"/>
      </w:pPr>
      <w:r>
        <w:rPr>
          <w:color w:val="5E5A52"/>
          <w:sz w:val="21"/>
        </w:rPr>
        <w:t>Total UK proptech investment (2024): £680M across 94 deals  [Beauhurst]</w:t>
      </w:r>
    </w:p>
    <w:p>
      <w:pPr>
        <w:pStyle w:val="ListBullet"/>
        <w:spacing w:after="60"/>
        <w:ind w:left="283"/>
      </w:pPr>
      <w:r>
        <w:rPr>
          <w:color w:val="5E5A52"/>
          <w:sz w:val="21"/>
        </w:rPr>
        <w:t>Top proptech sub-sectors by investment: property management (28%), transaction platforms (22%), data &amp; analytics (19%)  [PiLabs 2024]</w:t>
      </w:r>
    </w:p>
    <w:p>
      <w:pPr>
        <w:pStyle w:val="Heading2"/>
        <w:spacing w:before="240" w:after="80"/>
      </w:pPr>
      <w:r>
        <w:rPr>
          <w:color w:val="1A1917"/>
          <w:sz w:val="26"/>
        </w:rPr>
        <w:t>Consumer digital behaviour</w:t>
      </w:r>
    </w:p>
    <w:p>
      <w:pPr>
        <w:pStyle w:val="ListBullet"/>
        <w:spacing w:after="60"/>
        <w:ind w:left="283"/>
      </w:pPr>
      <w:r>
        <w:rPr>
          <w:color w:val="5E5A52"/>
          <w:sz w:val="21"/>
        </w:rPr>
        <w:t>89% of UK homebuyers begin their property search online  [Rightmove Consumer Report 2024]</w:t>
      </w:r>
    </w:p>
    <w:p>
      <w:pPr>
        <w:pStyle w:val="ListBullet"/>
        <w:spacing w:after="60"/>
        <w:ind w:left="283"/>
      </w:pPr>
      <w:r>
        <w:rPr>
          <w:color w:val="5E5A52"/>
          <w:sz w:val="21"/>
        </w:rPr>
        <w:t>76% of buyers say they would have liked more property data before making an offer  [Which? Property Survey 2023]</w:t>
      </w:r>
    </w:p>
    <w:p>
      <w:pPr>
        <w:pStyle w:val="ListBullet"/>
        <w:spacing w:after="60"/>
        <w:ind w:left="283"/>
      </w:pPr>
      <w:r>
        <w:rPr>
          <w:color w:val="5E5A52"/>
          <w:sz w:val="21"/>
        </w:rPr>
        <w:t>54% of UK homeowners have never checked their EPC rating  [DESNZ 2024]</w:t>
      </w:r>
    </w:p>
    <w:p>
      <w:pPr>
        <w:pStyle w:val="ListBullet"/>
        <w:spacing w:after="60"/>
        <w:ind w:left="283"/>
      </w:pPr>
      <w:r>
        <w:rPr>
          <w:color w:val="5E5A52"/>
          <w:sz w:val="21"/>
        </w:rPr>
        <w:t>41% of homeowners missed their fixed-rate expiry or acted within 30 days of expiry  [MoneySavingExpert 2024]</w:t>
      </w:r>
    </w:p>
    <w:p>
      <w:pPr>
        <w:spacing w:before="160" w:after="160"/>
        <w:pBdr>
          <w:bottom w:val="single" w:sz="4" w:space="1" w:color="D1CEC8"/>
        </w:pBdr>
      </w:pPr>
    </w:p>
    <w:p>
      <w:pPr>
        <w:pStyle w:val="Heading1"/>
        <w:spacing w:before="400" w:after="120"/>
      </w:pPr>
      <w:r>
        <w:rPr>
          <w:color w:val="1D9E75"/>
          <w:sz w:val="32"/>
        </w:rPr>
        <w:t>32. Market Gap Analysis</w:t>
      </w:r>
    </w:p>
    <w:p>
      <w:pPr>
        <w:spacing w:after="120"/>
      </w:pPr>
      <w:r>
        <w:rPr>
          <w:i w:val="0"/>
          <w:color w:val="5E5A52"/>
          <w:sz w:val="21"/>
        </w:rPr>
        <w:t>The UK property data and tools market has a clear and unmet gap at the intersection of three areas:</w:t>
      </w:r>
    </w:p>
    <w:tbl>
      <w:tblPr>
        <w:tblStyle w:val="TableGrid"/>
        <w:tblW w:type="auto" w:w="0"/>
        <w:tblLook w:firstColumn="1" w:firstRow="1" w:lastColumn="0" w:lastRow="0" w:noHBand="0" w:noVBand="1" w:val="04A0"/>
      </w:tblPr>
      <w:tblGrid>
        <w:gridCol w:w="9406"/>
      </w:tblGrid>
      <w:tr>
        <w:tc>
          <w:tcPr>
            <w:tcW w:type="dxa" w:w="9406"/>
            <w:shd w:val="clear" w:color="auto" w:fill="F0FDF4"/>
            <w:tcW w:w="6120000" w:type="dxa"/>
          </w:tcPr>
          <w:p>
            <w:pPr>
              <w:spacing w:before="80" w:after="60"/>
              <w:ind w:left="227"/>
            </w:pPr>
            <w:r>
              <w:rPr>
                <w:b/>
                <w:color w:val="1D9E75"/>
                <w:sz w:val="22"/>
              </w:rPr>
              <w:t>The gap PropPilot fills</w:t>
            </w:r>
          </w:p>
          <w:p>
            <w:pPr>
              <w:spacing w:after="40"/>
              <w:ind w:left="227"/>
            </w:pPr>
            <w:r>
              <w:rPr>
                <w:color w:val="5E5A52"/>
                <w:sz w:val="20"/>
              </w:rPr>
              <w:t>1. Automated multi-source due diligence (no existing consumer tool combines 5+ data sources)</w:t>
            </w:r>
          </w:p>
          <w:p>
            <w:pPr>
              <w:spacing w:after="40"/>
              <w:ind w:left="227"/>
            </w:pPr>
            <w:r>
              <w:rPr>
                <w:color w:val="5E5A52"/>
                <w:sz w:val="20"/>
              </w:rPr>
              <w:t>2. Role-specific personalisation (buyer vs. owner — no existing tool serves both journeys well)</w:t>
            </w:r>
          </w:p>
          <w:p>
            <w:pPr>
              <w:spacing w:after="40"/>
              <w:ind w:left="227"/>
            </w:pPr>
            <w:r>
              <w:rPr>
                <w:color w:val="5E5A52"/>
                <w:sz w:val="20"/>
              </w:rPr>
              <w:t>3. Professional services marketplace (no tool combines data checks + vetted professional booking)</w:t>
            </w:r>
          </w:p>
        </w:tc>
      </w:tr>
    </w:tbl>
    <w:p/>
    <w:p>
      <w:pPr>
        <w:pStyle w:val="Heading2"/>
        <w:spacing w:before="240" w:after="80"/>
      </w:pPr>
      <w:r>
        <w:rPr>
          <w:color w:val="1A1917"/>
          <w:sz w:val="26"/>
        </w:rPr>
        <w:t>Gap evidence</w:t>
      </w:r>
    </w:p>
    <w:p>
      <w:pPr>
        <w:pStyle w:val="ListBullet"/>
        <w:spacing w:after="60"/>
        <w:ind w:left="283"/>
      </w:pPr>
      <w:r>
        <w:rPr>
          <w:color w:val="5E5A52"/>
          <w:sz w:val="21"/>
        </w:rPr>
        <w:t>Rightmove and Zoopla: Focus entirely on property discovery and listing. No due diligence tools. No post-purchase owner tools.</w:t>
      </w:r>
    </w:p>
    <w:p>
      <w:pPr>
        <w:pStyle w:val="ListBullet"/>
        <w:spacing w:after="60"/>
        <w:ind w:left="283"/>
      </w:pPr>
      <w:r>
        <w:rPr>
          <w:color w:val="5E5A52"/>
          <w:sz w:val="21"/>
        </w:rPr>
        <w:t>HomeCheck / Property Detective: Sell individual property reports (£10-£30/report) but are transactional, not subscription-based, and have no professional services integration.</w:t>
      </w:r>
    </w:p>
    <w:p>
      <w:pPr>
        <w:pStyle w:val="ListBullet"/>
        <w:spacing w:after="60"/>
        <w:ind w:left="283"/>
      </w:pPr>
      <w:r>
        <w:rPr>
          <w:color w:val="5E5A52"/>
          <w:sz w:val="21"/>
        </w:rPr>
        <w:t>Property Log / Homey: Owner dashboards but no buyer tools, no automated data checks, no marketplace.</w:t>
      </w:r>
    </w:p>
    <w:p>
      <w:pPr>
        <w:pStyle w:val="ListBullet"/>
        <w:spacing w:after="60"/>
        <w:ind w:left="283"/>
      </w:pPr>
      <w:r>
        <w:rPr>
          <w:color w:val="5E5A52"/>
          <w:sz w:val="21"/>
        </w:rPr>
        <w:t>myhomemove / eConveyancer: Conveyancing platforms with no data tools for buyers or owners.</w:t>
      </w:r>
    </w:p>
    <w:p>
      <w:pPr>
        <w:pStyle w:val="ListBullet"/>
        <w:spacing w:after="60"/>
        <w:ind w:left="283"/>
      </w:pPr>
      <w:r>
        <w:rPr>
          <w:color w:val="5E5A52"/>
          <w:sz w:val="21"/>
        </w:rPr>
        <w:t>No existing platform offers the combination of: (a) automated multi-source property checks, (b) interactive buying tools (checklists, calculators), (c) an owner dashboard with alerts, and (d) a professional services marketplace — all in one subscription.</w:t>
      </w:r>
    </w:p>
    <w:p>
      <w:pPr>
        <w:spacing w:before="160" w:after="160"/>
        <w:pBdr>
          <w:bottom w:val="single" w:sz="4" w:space="1" w:color="D1CEC8"/>
        </w:pBdr>
      </w:pPr>
    </w:p>
    <w:p>
      <w:pPr>
        <w:pStyle w:val="Heading1"/>
        <w:spacing w:before="400" w:after="120"/>
      </w:pPr>
      <w:r>
        <w:rPr>
          <w:color w:val="1D9E75"/>
          <w:sz w:val="32"/>
        </w:rPr>
        <w:t>33. Competitor Analysis</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vAlign w:val="center"/>
            <w:tcW w:w="1260000" w:type="dxa"/>
            <w:shd w:val="clear" w:color="auto" w:fill="1D9E75"/>
          </w:tcPr>
          <w:p>
            <w:pPr>
              <w:spacing w:before="60" w:after="60"/>
              <w:ind w:left="113"/>
            </w:pPr>
            <w:r>
              <w:rPr>
                <w:b/>
                <w:color w:val="FFFFFF"/>
                <w:sz w:val="19"/>
              </w:rPr>
              <w:t>Company</w:t>
            </w:r>
          </w:p>
        </w:tc>
        <w:tc>
          <w:tcPr>
            <w:tcW w:type="dxa" w:w="1568"/>
            <w:vAlign w:val="center"/>
            <w:tcW w:w="720000" w:type="dxa"/>
            <w:shd w:val="clear" w:color="auto" w:fill="1D9E75"/>
          </w:tcPr>
          <w:p>
            <w:pPr>
              <w:spacing w:before="60" w:after="60"/>
              <w:ind w:left="113"/>
            </w:pPr>
            <w:r>
              <w:rPr>
                <w:b/>
                <w:color w:val="FFFFFF"/>
                <w:sz w:val="19"/>
              </w:rPr>
              <w:t>Founded</w:t>
            </w:r>
          </w:p>
        </w:tc>
        <w:tc>
          <w:tcPr>
            <w:tcW w:type="dxa" w:w="1568"/>
            <w:vAlign w:val="center"/>
            <w:tcW w:w="1260000" w:type="dxa"/>
            <w:shd w:val="clear" w:color="auto" w:fill="1D9E75"/>
          </w:tcPr>
          <w:p>
            <w:pPr>
              <w:spacing w:before="60" w:after="60"/>
              <w:ind w:left="113"/>
            </w:pPr>
            <w:r>
              <w:rPr>
                <w:b/>
                <w:color w:val="FFFFFF"/>
                <w:sz w:val="19"/>
              </w:rPr>
              <w:t>Funding</w:t>
            </w:r>
          </w:p>
        </w:tc>
        <w:tc>
          <w:tcPr>
            <w:tcW w:type="dxa" w:w="1568"/>
            <w:vAlign w:val="center"/>
            <w:tcW w:w="1440000" w:type="dxa"/>
            <w:shd w:val="clear" w:color="auto" w:fill="1D9E75"/>
          </w:tcPr>
          <w:p>
            <w:pPr>
              <w:spacing w:before="60" w:after="60"/>
              <w:ind w:left="113"/>
            </w:pPr>
            <w:r>
              <w:rPr>
                <w:b/>
                <w:color w:val="FFFFFF"/>
                <w:sz w:val="19"/>
              </w:rPr>
              <w:t>Revenue model</w:t>
            </w:r>
          </w:p>
        </w:tc>
        <w:tc>
          <w:tcPr>
            <w:tcW w:type="dxa" w:w="1568"/>
            <w:vAlign w:val="center"/>
            <w:tcW w:w="1080000" w:type="dxa"/>
            <w:shd w:val="clear" w:color="auto" w:fill="1D9E75"/>
          </w:tcPr>
          <w:p>
            <w:pPr>
              <w:spacing w:before="60" w:after="60"/>
              <w:ind w:left="113"/>
            </w:pPr>
            <w:r>
              <w:rPr>
                <w:b/>
                <w:color w:val="FFFFFF"/>
                <w:sz w:val="19"/>
              </w:rPr>
              <w:t>Users (est.)</w:t>
            </w:r>
          </w:p>
        </w:tc>
        <w:tc>
          <w:tcPr>
            <w:tcW w:type="dxa" w:w="1568"/>
            <w:vAlign w:val="center"/>
            <w:tcW w:w="1440000" w:type="dxa"/>
            <w:shd w:val="clear" w:color="auto" w:fill="1D9E75"/>
          </w:tcPr>
          <w:p>
            <w:pPr>
              <w:spacing w:before="60" w:after="60"/>
              <w:ind w:left="113"/>
            </w:pPr>
            <w:r>
              <w:rPr>
                <w:b/>
                <w:color w:val="FFFFFF"/>
                <w:sz w:val="19"/>
              </w:rPr>
              <w:t>Key weakness</w:t>
            </w:r>
          </w:p>
        </w:tc>
      </w:tr>
      <w:tr>
        <w:tc>
          <w:tcPr>
            <w:tcW w:type="dxa" w:w="1568"/>
            <w:vAlign w:val="center"/>
            <w:tcW w:w="1260000" w:type="dxa"/>
          </w:tcPr>
          <w:p>
            <w:pPr>
              <w:spacing w:before="60" w:after="60"/>
              <w:ind w:left="113"/>
            </w:pPr>
            <w:r>
              <w:rPr>
                <w:b w:val="0"/>
                <w:color w:val="1A1917"/>
                <w:sz w:val="19"/>
              </w:rPr>
              <w:t>Rightmove</w:t>
            </w:r>
          </w:p>
        </w:tc>
        <w:tc>
          <w:tcPr>
            <w:tcW w:type="dxa" w:w="1568"/>
            <w:vAlign w:val="center"/>
            <w:tcW w:w="720000" w:type="dxa"/>
          </w:tcPr>
          <w:p>
            <w:pPr>
              <w:spacing w:before="60" w:after="60"/>
              <w:ind w:left="113"/>
            </w:pPr>
            <w:r>
              <w:rPr>
                <w:b w:val="0"/>
                <w:color w:val="5E5A52"/>
                <w:sz w:val="19"/>
              </w:rPr>
              <w:t>2000</w:t>
            </w:r>
          </w:p>
        </w:tc>
        <w:tc>
          <w:tcPr>
            <w:tcW w:type="dxa" w:w="1568"/>
            <w:vAlign w:val="center"/>
            <w:tcW w:w="1260000" w:type="dxa"/>
          </w:tcPr>
          <w:p>
            <w:pPr>
              <w:spacing w:before="60" w:after="60"/>
              <w:ind w:left="113"/>
            </w:pPr>
            <w:r>
              <w:rPr>
                <w:b w:val="0"/>
                <w:color w:val="5E5A52"/>
                <w:sz w:val="19"/>
              </w:rPr>
              <w:t>LSE Listed</w:t>
            </w:r>
          </w:p>
        </w:tc>
        <w:tc>
          <w:tcPr>
            <w:tcW w:type="dxa" w:w="1568"/>
            <w:vAlign w:val="center"/>
            <w:tcW w:w="1440000" w:type="dxa"/>
          </w:tcPr>
          <w:p>
            <w:pPr>
              <w:spacing w:before="60" w:after="60"/>
              <w:ind w:left="113"/>
            </w:pPr>
            <w:r>
              <w:rPr>
                <w:b w:val="0"/>
                <w:color w:val="5E5A52"/>
                <w:sz w:val="19"/>
              </w:rPr>
              <w:t>Agent subscriptions</w:t>
            </w:r>
          </w:p>
        </w:tc>
        <w:tc>
          <w:tcPr>
            <w:tcW w:type="dxa" w:w="1568"/>
            <w:vAlign w:val="center"/>
            <w:tcW w:w="1080000" w:type="dxa"/>
          </w:tcPr>
          <w:p>
            <w:pPr>
              <w:spacing w:before="60" w:after="60"/>
              <w:ind w:left="113"/>
            </w:pPr>
            <w:r>
              <w:rPr>
                <w:b w:val="0"/>
                <w:color w:val="5E5A52"/>
                <w:sz w:val="19"/>
              </w:rPr>
              <w:t>~20M MAU</w:t>
            </w:r>
          </w:p>
        </w:tc>
        <w:tc>
          <w:tcPr>
            <w:tcW w:type="dxa" w:w="1568"/>
            <w:vAlign w:val="center"/>
            <w:tcW w:w="1440000" w:type="dxa"/>
          </w:tcPr>
          <w:p>
            <w:pPr>
              <w:spacing w:before="60" w:after="60"/>
              <w:ind w:left="113"/>
            </w:pPr>
            <w:r>
              <w:rPr>
                <w:b w:val="0"/>
                <w:color w:val="5E5A52"/>
                <w:sz w:val="19"/>
              </w:rPr>
              <w:t>Zero due diligence or ownership tools</w:t>
            </w:r>
          </w:p>
        </w:tc>
      </w:tr>
      <w:tr>
        <w:tc>
          <w:tcPr>
            <w:tcW w:type="dxa" w:w="1568"/>
            <w:vAlign w:val="center"/>
            <w:tcW w:w="1260000" w:type="dxa"/>
            <w:shd w:val="clear" w:color="auto" w:fill="F8F7F4"/>
          </w:tcPr>
          <w:p>
            <w:pPr>
              <w:spacing w:before="60" w:after="60"/>
              <w:ind w:left="113"/>
            </w:pPr>
            <w:r>
              <w:rPr>
                <w:b w:val="0"/>
                <w:color w:val="1A1917"/>
                <w:sz w:val="19"/>
              </w:rPr>
              <w:t>Zoopla</w:t>
            </w:r>
          </w:p>
        </w:tc>
        <w:tc>
          <w:tcPr>
            <w:tcW w:type="dxa" w:w="1568"/>
            <w:vAlign w:val="center"/>
            <w:tcW w:w="720000" w:type="dxa"/>
            <w:shd w:val="clear" w:color="auto" w:fill="F8F7F4"/>
          </w:tcPr>
          <w:p>
            <w:pPr>
              <w:spacing w:before="60" w:after="60"/>
              <w:ind w:left="113"/>
            </w:pPr>
            <w:r>
              <w:rPr>
                <w:b w:val="0"/>
                <w:color w:val="5E5A52"/>
                <w:sz w:val="19"/>
              </w:rPr>
              <w:t>2007</w:t>
            </w:r>
          </w:p>
        </w:tc>
        <w:tc>
          <w:tcPr>
            <w:tcW w:type="dxa" w:w="1568"/>
            <w:vAlign w:val="center"/>
            <w:tcW w:w="1260000" w:type="dxa"/>
            <w:shd w:val="clear" w:color="auto" w:fill="F8F7F4"/>
          </w:tcPr>
          <w:p>
            <w:pPr>
              <w:spacing w:before="60" w:after="60"/>
              <w:ind w:left="113"/>
            </w:pPr>
            <w:r>
              <w:rPr>
                <w:b w:val="0"/>
                <w:color w:val="5E5A52"/>
                <w:sz w:val="19"/>
              </w:rPr>
              <w:t>Private (PE)</w:t>
            </w:r>
          </w:p>
        </w:tc>
        <w:tc>
          <w:tcPr>
            <w:tcW w:type="dxa" w:w="1568"/>
            <w:vAlign w:val="center"/>
            <w:tcW w:w="1440000" w:type="dxa"/>
            <w:shd w:val="clear" w:color="auto" w:fill="F8F7F4"/>
          </w:tcPr>
          <w:p>
            <w:pPr>
              <w:spacing w:before="60" w:after="60"/>
              <w:ind w:left="113"/>
            </w:pPr>
            <w:r>
              <w:rPr>
                <w:b w:val="0"/>
                <w:color w:val="5E5A52"/>
                <w:sz w:val="19"/>
              </w:rPr>
              <w:t>Agent subscriptions + ads</w:t>
            </w:r>
          </w:p>
        </w:tc>
        <w:tc>
          <w:tcPr>
            <w:tcW w:type="dxa" w:w="1568"/>
            <w:vAlign w:val="center"/>
            <w:tcW w:w="1080000" w:type="dxa"/>
            <w:shd w:val="clear" w:color="auto" w:fill="F8F7F4"/>
          </w:tcPr>
          <w:p>
            <w:pPr>
              <w:spacing w:before="60" w:after="60"/>
              <w:ind w:left="113"/>
            </w:pPr>
            <w:r>
              <w:rPr>
                <w:b w:val="0"/>
                <w:color w:val="5E5A52"/>
                <w:sz w:val="19"/>
              </w:rPr>
              <w:t>~12M MAU</w:t>
            </w:r>
          </w:p>
        </w:tc>
        <w:tc>
          <w:tcPr>
            <w:tcW w:type="dxa" w:w="1568"/>
            <w:vAlign w:val="center"/>
            <w:tcW w:w="1440000" w:type="dxa"/>
            <w:shd w:val="clear" w:color="auto" w:fill="F8F7F4"/>
          </w:tcPr>
          <w:p>
            <w:pPr>
              <w:spacing w:before="60" w:after="60"/>
              <w:ind w:left="113"/>
            </w:pPr>
            <w:r>
              <w:rPr>
                <w:b w:val="0"/>
                <w:color w:val="5E5A52"/>
                <w:sz w:val="19"/>
              </w:rPr>
              <w:t>No buyer data tools; no owner dashboard</w:t>
            </w:r>
          </w:p>
        </w:tc>
      </w:tr>
      <w:tr>
        <w:tc>
          <w:tcPr>
            <w:tcW w:type="dxa" w:w="1568"/>
            <w:vAlign w:val="center"/>
            <w:tcW w:w="1260000" w:type="dxa"/>
          </w:tcPr>
          <w:p>
            <w:pPr>
              <w:spacing w:before="60" w:after="60"/>
              <w:ind w:left="113"/>
            </w:pPr>
            <w:r>
              <w:rPr>
                <w:b w:val="0"/>
                <w:color w:val="1A1917"/>
                <w:sz w:val="19"/>
              </w:rPr>
              <w:t>HomeCheck</w:t>
            </w:r>
          </w:p>
        </w:tc>
        <w:tc>
          <w:tcPr>
            <w:tcW w:type="dxa" w:w="1568"/>
            <w:vAlign w:val="center"/>
            <w:tcW w:w="720000" w:type="dxa"/>
          </w:tcPr>
          <w:p>
            <w:pPr>
              <w:spacing w:before="60" w:after="60"/>
              <w:ind w:left="113"/>
            </w:pPr>
            <w:r>
              <w:rPr>
                <w:b w:val="0"/>
                <w:color w:val="5E5A52"/>
                <w:sz w:val="19"/>
              </w:rPr>
              <w:t>2015</w:t>
            </w:r>
          </w:p>
        </w:tc>
        <w:tc>
          <w:tcPr>
            <w:tcW w:type="dxa" w:w="1568"/>
            <w:vAlign w:val="center"/>
            <w:tcW w:w="1260000" w:type="dxa"/>
          </w:tcPr>
          <w:p>
            <w:pPr>
              <w:spacing w:before="60" w:after="60"/>
              <w:ind w:left="113"/>
            </w:pPr>
            <w:r>
              <w:rPr>
                <w:b w:val="0"/>
                <w:color w:val="5E5A52"/>
                <w:sz w:val="19"/>
              </w:rPr>
              <w:t>Self-funded</w:t>
            </w:r>
          </w:p>
        </w:tc>
        <w:tc>
          <w:tcPr>
            <w:tcW w:type="dxa" w:w="1568"/>
            <w:vAlign w:val="center"/>
            <w:tcW w:w="1440000" w:type="dxa"/>
          </w:tcPr>
          <w:p>
            <w:pPr>
              <w:spacing w:before="60" w:after="60"/>
              <w:ind w:left="113"/>
            </w:pPr>
            <w:r>
              <w:rPr>
                <w:b w:val="0"/>
                <w:color w:val="5E5A52"/>
                <w:sz w:val="19"/>
              </w:rPr>
              <w:t>Pay-per-report (£10-£30)</w:t>
            </w:r>
          </w:p>
        </w:tc>
        <w:tc>
          <w:tcPr>
            <w:tcW w:type="dxa" w:w="1568"/>
            <w:vAlign w:val="center"/>
            <w:tcW w:w="1080000" w:type="dxa"/>
          </w:tcPr>
          <w:p>
            <w:pPr>
              <w:spacing w:before="60" w:after="60"/>
              <w:ind w:left="113"/>
            </w:pPr>
            <w:r>
              <w:rPr>
                <w:b w:val="0"/>
                <w:color w:val="5E5A52"/>
                <w:sz w:val="19"/>
              </w:rPr>
              <w:t>~50K/year</w:t>
            </w:r>
          </w:p>
        </w:tc>
        <w:tc>
          <w:tcPr>
            <w:tcW w:type="dxa" w:w="1568"/>
            <w:vAlign w:val="center"/>
            <w:tcW w:w="1440000" w:type="dxa"/>
          </w:tcPr>
          <w:p>
            <w:pPr>
              <w:spacing w:before="60" w:after="60"/>
              <w:ind w:left="113"/>
            </w:pPr>
            <w:r>
              <w:rPr>
                <w:b w:val="0"/>
                <w:color w:val="5E5A52"/>
                <w:sz w:val="19"/>
              </w:rPr>
              <w:t>No subscription; no ownership tools</w:t>
            </w:r>
          </w:p>
        </w:tc>
      </w:tr>
      <w:tr>
        <w:tc>
          <w:tcPr>
            <w:tcW w:type="dxa" w:w="1568"/>
            <w:vAlign w:val="center"/>
            <w:tcW w:w="1260000" w:type="dxa"/>
            <w:shd w:val="clear" w:color="auto" w:fill="F8F7F4"/>
          </w:tcPr>
          <w:p>
            <w:pPr>
              <w:spacing w:before="60" w:after="60"/>
              <w:ind w:left="113"/>
            </w:pPr>
            <w:r>
              <w:rPr>
                <w:b w:val="0"/>
                <w:color w:val="1A1917"/>
                <w:sz w:val="19"/>
              </w:rPr>
              <w:t>Property Detective</w:t>
            </w:r>
          </w:p>
        </w:tc>
        <w:tc>
          <w:tcPr>
            <w:tcW w:type="dxa" w:w="1568"/>
            <w:vAlign w:val="center"/>
            <w:tcW w:w="720000" w:type="dxa"/>
            <w:shd w:val="clear" w:color="auto" w:fill="F8F7F4"/>
          </w:tcPr>
          <w:p>
            <w:pPr>
              <w:spacing w:before="60" w:after="60"/>
              <w:ind w:left="113"/>
            </w:pPr>
            <w:r>
              <w:rPr>
                <w:b w:val="0"/>
                <w:color w:val="5E5A52"/>
                <w:sz w:val="19"/>
              </w:rPr>
              <w:t>2018</w:t>
            </w:r>
          </w:p>
        </w:tc>
        <w:tc>
          <w:tcPr>
            <w:tcW w:type="dxa" w:w="1568"/>
            <w:vAlign w:val="center"/>
            <w:tcW w:w="1260000" w:type="dxa"/>
            <w:shd w:val="clear" w:color="auto" w:fill="F8F7F4"/>
          </w:tcPr>
          <w:p>
            <w:pPr>
              <w:spacing w:before="60" w:after="60"/>
              <w:ind w:left="113"/>
            </w:pPr>
            <w:r>
              <w:rPr>
                <w:b w:val="0"/>
                <w:color w:val="5E5A52"/>
                <w:sz w:val="19"/>
              </w:rPr>
              <w:t>Self-funded</w:t>
            </w:r>
          </w:p>
        </w:tc>
        <w:tc>
          <w:tcPr>
            <w:tcW w:type="dxa" w:w="1568"/>
            <w:vAlign w:val="center"/>
            <w:tcW w:w="1440000" w:type="dxa"/>
            <w:shd w:val="clear" w:color="auto" w:fill="F8F7F4"/>
          </w:tcPr>
          <w:p>
            <w:pPr>
              <w:spacing w:before="60" w:after="60"/>
              <w:ind w:left="113"/>
            </w:pPr>
            <w:r>
              <w:rPr>
                <w:b w:val="0"/>
                <w:color w:val="5E5A52"/>
                <w:sz w:val="19"/>
              </w:rPr>
              <w:t>Pay-per-report (£9.99)</w:t>
            </w:r>
          </w:p>
        </w:tc>
        <w:tc>
          <w:tcPr>
            <w:tcW w:type="dxa" w:w="1568"/>
            <w:vAlign w:val="center"/>
            <w:tcW w:w="1080000" w:type="dxa"/>
            <w:shd w:val="clear" w:color="auto" w:fill="F8F7F4"/>
          </w:tcPr>
          <w:p>
            <w:pPr>
              <w:spacing w:before="60" w:after="60"/>
              <w:ind w:left="113"/>
            </w:pPr>
            <w:r>
              <w:rPr>
                <w:b w:val="0"/>
                <w:color w:val="5E5A52"/>
                <w:sz w:val="19"/>
              </w:rPr>
              <w:t>~30K/year</w:t>
            </w:r>
          </w:p>
        </w:tc>
        <w:tc>
          <w:tcPr>
            <w:tcW w:type="dxa" w:w="1568"/>
            <w:vAlign w:val="center"/>
            <w:tcW w:w="1440000" w:type="dxa"/>
            <w:shd w:val="clear" w:color="auto" w:fill="F8F7F4"/>
          </w:tcPr>
          <w:p>
            <w:pPr>
              <w:spacing w:before="60" w:after="60"/>
              <w:ind w:left="113"/>
            </w:pPr>
            <w:r>
              <w:rPr>
                <w:b w:val="0"/>
                <w:color w:val="5E5A52"/>
                <w:sz w:val="19"/>
              </w:rPr>
              <w:t>Limited data sources; no marketplace</w:t>
            </w:r>
          </w:p>
        </w:tc>
      </w:tr>
      <w:tr>
        <w:tc>
          <w:tcPr>
            <w:tcW w:type="dxa" w:w="1568"/>
            <w:vAlign w:val="center"/>
            <w:tcW w:w="1260000" w:type="dxa"/>
          </w:tcPr>
          <w:p>
            <w:pPr>
              <w:spacing w:before="60" w:after="60"/>
              <w:ind w:left="113"/>
            </w:pPr>
            <w:r>
              <w:rPr>
                <w:b w:val="0"/>
                <w:color w:val="1A1917"/>
                <w:sz w:val="19"/>
              </w:rPr>
              <w:t>Property Log</w:t>
            </w:r>
          </w:p>
        </w:tc>
        <w:tc>
          <w:tcPr>
            <w:tcW w:type="dxa" w:w="1568"/>
            <w:vAlign w:val="center"/>
            <w:tcW w:w="720000" w:type="dxa"/>
          </w:tcPr>
          <w:p>
            <w:pPr>
              <w:spacing w:before="60" w:after="60"/>
              <w:ind w:left="113"/>
            </w:pPr>
            <w:r>
              <w:rPr>
                <w:b w:val="0"/>
                <w:color w:val="5E5A52"/>
                <w:sz w:val="19"/>
              </w:rPr>
              <w:t>2019</w:t>
            </w:r>
          </w:p>
        </w:tc>
        <w:tc>
          <w:tcPr>
            <w:tcW w:type="dxa" w:w="1568"/>
            <w:vAlign w:val="center"/>
            <w:tcW w:w="1260000" w:type="dxa"/>
          </w:tcPr>
          <w:p>
            <w:pPr>
              <w:spacing w:before="60" w:after="60"/>
              <w:ind w:left="113"/>
            </w:pPr>
            <w:r>
              <w:rPr>
                <w:b w:val="0"/>
                <w:color w:val="5E5A52"/>
                <w:sz w:val="19"/>
              </w:rPr>
              <w:t>£500K (est.)</w:t>
            </w:r>
          </w:p>
        </w:tc>
        <w:tc>
          <w:tcPr>
            <w:tcW w:type="dxa" w:w="1568"/>
            <w:vAlign w:val="center"/>
            <w:tcW w:w="1440000" w:type="dxa"/>
          </w:tcPr>
          <w:p>
            <w:pPr>
              <w:spacing w:before="60" w:after="60"/>
              <w:ind w:left="113"/>
            </w:pPr>
            <w:r>
              <w:rPr>
                <w:b w:val="0"/>
                <w:color w:val="5E5A52"/>
                <w:sz w:val="19"/>
              </w:rPr>
              <w:t>Freemium subscription</w:t>
            </w:r>
          </w:p>
        </w:tc>
        <w:tc>
          <w:tcPr>
            <w:tcW w:type="dxa" w:w="1568"/>
            <w:vAlign w:val="center"/>
            <w:tcW w:w="1080000" w:type="dxa"/>
          </w:tcPr>
          <w:p>
            <w:pPr>
              <w:spacing w:before="60" w:after="60"/>
              <w:ind w:left="113"/>
            </w:pPr>
            <w:r>
              <w:rPr>
                <w:b w:val="0"/>
                <w:color w:val="5E5A52"/>
                <w:sz w:val="19"/>
              </w:rPr>
              <w:t>~10K users</w:t>
            </w:r>
          </w:p>
        </w:tc>
        <w:tc>
          <w:tcPr>
            <w:tcW w:type="dxa" w:w="1568"/>
            <w:vAlign w:val="center"/>
            <w:tcW w:w="1440000" w:type="dxa"/>
          </w:tcPr>
          <w:p>
            <w:pPr>
              <w:spacing w:before="60" w:after="60"/>
              <w:ind w:left="113"/>
            </w:pPr>
            <w:r>
              <w:rPr>
                <w:b w:val="0"/>
                <w:color w:val="5E5A52"/>
                <w:sz w:val="19"/>
              </w:rPr>
              <w:t>Owner-only; no buyer or marketplace</w:t>
            </w:r>
          </w:p>
        </w:tc>
      </w:tr>
      <w:tr>
        <w:tc>
          <w:tcPr>
            <w:tcW w:type="dxa" w:w="1568"/>
            <w:vAlign w:val="center"/>
            <w:tcW w:w="1260000" w:type="dxa"/>
            <w:shd w:val="clear" w:color="auto" w:fill="F8F7F4"/>
          </w:tcPr>
          <w:p>
            <w:pPr>
              <w:spacing w:before="60" w:after="60"/>
              <w:ind w:left="113"/>
            </w:pPr>
            <w:r>
              <w:rPr>
                <w:b w:val="0"/>
                <w:color w:val="1A1917"/>
                <w:sz w:val="19"/>
              </w:rPr>
              <w:t>Veya (GetAgent)</w:t>
            </w:r>
          </w:p>
        </w:tc>
        <w:tc>
          <w:tcPr>
            <w:tcW w:type="dxa" w:w="1568"/>
            <w:vAlign w:val="center"/>
            <w:tcW w:w="720000" w:type="dxa"/>
            <w:shd w:val="clear" w:color="auto" w:fill="F8F7F4"/>
          </w:tcPr>
          <w:p>
            <w:pPr>
              <w:spacing w:before="60" w:after="60"/>
              <w:ind w:left="113"/>
            </w:pPr>
            <w:r>
              <w:rPr>
                <w:b w:val="0"/>
                <w:color w:val="5E5A52"/>
                <w:sz w:val="19"/>
              </w:rPr>
              <w:t>2021</w:t>
            </w:r>
          </w:p>
        </w:tc>
        <w:tc>
          <w:tcPr>
            <w:tcW w:type="dxa" w:w="1568"/>
            <w:vAlign w:val="center"/>
            <w:tcW w:w="1260000" w:type="dxa"/>
            <w:shd w:val="clear" w:color="auto" w:fill="F8F7F4"/>
          </w:tcPr>
          <w:p>
            <w:pPr>
              <w:spacing w:before="60" w:after="60"/>
              <w:ind w:left="113"/>
            </w:pPr>
            <w:r>
              <w:rPr>
                <w:b w:val="0"/>
                <w:color w:val="5E5A52"/>
                <w:sz w:val="19"/>
              </w:rPr>
              <w:t>£2.5M seed</w:t>
            </w:r>
          </w:p>
        </w:tc>
        <w:tc>
          <w:tcPr>
            <w:tcW w:type="dxa" w:w="1568"/>
            <w:vAlign w:val="center"/>
            <w:tcW w:w="1440000" w:type="dxa"/>
            <w:shd w:val="clear" w:color="auto" w:fill="F8F7F4"/>
          </w:tcPr>
          <w:p>
            <w:pPr>
              <w:spacing w:before="60" w:after="60"/>
              <w:ind w:left="113"/>
            </w:pPr>
            <w:r>
              <w:rPr>
                <w:b w:val="0"/>
                <w:color w:val="5E5A52"/>
                <w:sz w:val="19"/>
              </w:rPr>
              <w:t>B2B SaaS to agents</w:t>
            </w:r>
          </w:p>
        </w:tc>
        <w:tc>
          <w:tcPr>
            <w:tcW w:type="dxa" w:w="1568"/>
            <w:vAlign w:val="center"/>
            <w:tcW w:w="1080000" w:type="dxa"/>
            <w:shd w:val="clear" w:color="auto" w:fill="F8F7F4"/>
          </w:tcPr>
          <w:p>
            <w:pPr>
              <w:spacing w:before="60" w:after="60"/>
              <w:ind w:left="113"/>
            </w:pPr>
            <w:r>
              <w:rPr>
                <w:b w:val="0"/>
                <w:color w:val="5E5A52"/>
                <w:sz w:val="19"/>
              </w:rPr>
              <w:t>~200 agents</w:t>
            </w:r>
          </w:p>
        </w:tc>
        <w:tc>
          <w:tcPr>
            <w:tcW w:type="dxa" w:w="1568"/>
            <w:vAlign w:val="center"/>
            <w:tcW w:w="1440000" w:type="dxa"/>
            <w:shd w:val="clear" w:color="auto" w:fill="F8F7F4"/>
          </w:tcPr>
          <w:p>
            <w:pPr>
              <w:spacing w:before="60" w:after="60"/>
              <w:ind w:left="113"/>
            </w:pPr>
            <w:r>
              <w:rPr>
                <w:b w:val="0"/>
                <w:color w:val="5E5A52"/>
                <w:sz w:val="19"/>
              </w:rPr>
              <w:t>B2B only; no consumer product</w:t>
            </w:r>
          </w:p>
        </w:tc>
      </w:tr>
      <w:tr>
        <w:tc>
          <w:tcPr>
            <w:tcW w:type="dxa" w:w="1568"/>
            <w:vAlign w:val="center"/>
            <w:tcW w:w="1260000" w:type="dxa"/>
          </w:tcPr>
          <w:p>
            <w:pPr>
              <w:spacing w:before="60" w:after="60"/>
              <w:ind w:left="113"/>
            </w:pPr>
            <w:r>
              <w:rPr>
                <w:b w:val="0"/>
                <w:color w:val="1A1917"/>
                <w:sz w:val="19"/>
              </w:rPr>
              <w:t>myhomemove</w:t>
            </w:r>
          </w:p>
        </w:tc>
        <w:tc>
          <w:tcPr>
            <w:tcW w:type="dxa" w:w="1568"/>
            <w:vAlign w:val="center"/>
            <w:tcW w:w="720000" w:type="dxa"/>
          </w:tcPr>
          <w:p>
            <w:pPr>
              <w:spacing w:before="60" w:after="60"/>
              <w:ind w:left="113"/>
            </w:pPr>
            <w:r>
              <w:rPr>
                <w:b w:val="0"/>
                <w:color w:val="5E5A52"/>
                <w:sz w:val="19"/>
              </w:rPr>
              <w:t>2004</w:t>
            </w:r>
          </w:p>
        </w:tc>
        <w:tc>
          <w:tcPr>
            <w:tcW w:type="dxa" w:w="1568"/>
            <w:vAlign w:val="center"/>
            <w:tcW w:w="1260000" w:type="dxa"/>
          </w:tcPr>
          <w:p>
            <w:pPr>
              <w:spacing w:before="60" w:after="60"/>
              <w:ind w:left="113"/>
            </w:pPr>
            <w:r>
              <w:rPr>
                <w:b w:val="0"/>
                <w:color w:val="5E5A52"/>
                <w:sz w:val="19"/>
              </w:rPr>
              <w:t>Private</w:t>
            </w:r>
          </w:p>
        </w:tc>
        <w:tc>
          <w:tcPr>
            <w:tcW w:type="dxa" w:w="1568"/>
            <w:vAlign w:val="center"/>
            <w:tcW w:w="1440000" w:type="dxa"/>
          </w:tcPr>
          <w:p>
            <w:pPr>
              <w:spacing w:before="60" w:after="60"/>
              <w:ind w:left="113"/>
            </w:pPr>
            <w:r>
              <w:rPr>
                <w:b w:val="0"/>
                <w:color w:val="5E5A52"/>
                <w:sz w:val="19"/>
              </w:rPr>
              <w:t>Conveyancing fees</w:t>
            </w:r>
          </w:p>
        </w:tc>
        <w:tc>
          <w:tcPr>
            <w:tcW w:type="dxa" w:w="1568"/>
            <w:vAlign w:val="center"/>
            <w:tcW w:w="1080000" w:type="dxa"/>
          </w:tcPr>
          <w:p>
            <w:pPr>
              <w:spacing w:before="60" w:after="60"/>
              <w:ind w:left="113"/>
            </w:pPr>
            <w:r>
              <w:rPr>
                <w:b w:val="0"/>
                <w:color w:val="5E5A52"/>
                <w:sz w:val="19"/>
              </w:rPr>
              <w:t>~80K/year</w:t>
            </w:r>
          </w:p>
        </w:tc>
        <w:tc>
          <w:tcPr>
            <w:tcW w:type="dxa" w:w="1568"/>
            <w:vAlign w:val="center"/>
            <w:tcW w:w="1440000" w:type="dxa"/>
          </w:tcPr>
          <w:p>
            <w:pPr>
              <w:spacing w:before="60" w:after="60"/>
              <w:ind w:left="113"/>
            </w:pPr>
            <w:r>
              <w:rPr>
                <w:b w:val="0"/>
                <w:color w:val="5E5A52"/>
                <w:sz w:val="19"/>
              </w:rPr>
              <w:t>Transaction only; no data tools</w:t>
            </w:r>
          </w:p>
        </w:tc>
      </w:tr>
      <w:tr>
        <w:tc>
          <w:tcPr>
            <w:tcW w:type="dxa" w:w="1568"/>
            <w:vAlign w:val="center"/>
            <w:tcW w:w="1260000" w:type="dxa"/>
            <w:shd w:val="clear" w:color="auto" w:fill="F8F7F4"/>
          </w:tcPr>
          <w:p>
            <w:pPr>
              <w:spacing w:before="60" w:after="60"/>
              <w:ind w:left="113"/>
            </w:pPr>
            <w:r>
              <w:rPr>
                <w:b w:val="0"/>
                <w:color w:val="1A1917"/>
                <w:sz w:val="19"/>
              </w:rPr>
              <w:t>Homely</w:t>
            </w:r>
          </w:p>
        </w:tc>
        <w:tc>
          <w:tcPr>
            <w:tcW w:type="dxa" w:w="1568"/>
            <w:vAlign w:val="center"/>
            <w:tcW w:w="720000" w:type="dxa"/>
            <w:shd w:val="clear" w:color="auto" w:fill="F8F7F4"/>
          </w:tcPr>
          <w:p>
            <w:pPr>
              <w:spacing w:before="60" w:after="60"/>
              <w:ind w:left="113"/>
            </w:pPr>
            <w:r>
              <w:rPr>
                <w:b w:val="0"/>
                <w:color w:val="5E5A52"/>
                <w:sz w:val="19"/>
              </w:rPr>
              <w:t>2020</w:t>
            </w:r>
          </w:p>
        </w:tc>
        <w:tc>
          <w:tcPr>
            <w:tcW w:type="dxa" w:w="1568"/>
            <w:vAlign w:val="center"/>
            <w:tcW w:w="1260000" w:type="dxa"/>
            <w:shd w:val="clear" w:color="auto" w:fill="F8F7F4"/>
          </w:tcPr>
          <w:p>
            <w:pPr>
              <w:spacing w:before="60" w:after="60"/>
              <w:ind w:left="113"/>
            </w:pPr>
            <w:r>
              <w:rPr>
                <w:b w:val="0"/>
                <w:color w:val="5E5A52"/>
                <w:sz w:val="19"/>
              </w:rPr>
              <w:t>Self-funded</w:t>
            </w:r>
          </w:p>
        </w:tc>
        <w:tc>
          <w:tcPr>
            <w:tcW w:type="dxa" w:w="1568"/>
            <w:vAlign w:val="center"/>
            <w:tcW w:w="1440000" w:type="dxa"/>
            <w:shd w:val="clear" w:color="auto" w:fill="F8F7F4"/>
          </w:tcPr>
          <w:p>
            <w:pPr>
              <w:spacing w:before="60" w:after="60"/>
              <w:ind w:left="113"/>
            </w:pPr>
            <w:r>
              <w:rPr>
                <w:b w:val="0"/>
                <w:color w:val="5E5A52"/>
                <w:sz w:val="19"/>
              </w:rPr>
              <w:t>Freemium checklists</w:t>
            </w:r>
          </w:p>
        </w:tc>
        <w:tc>
          <w:tcPr>
            <w:tcW w:type="dxa" w:w="1568"/>
            <w:vAlign w:val="center"/>
            <w:tcW w:w="1080000" w:type="dxa"/>
            <w:shd w:val="clear" w:color="auto" w:fill="F8F7F4"/>
          </w:tcPr>
          <w:p>
            <w:pPr>
              <w:spacing w:before="60" w:after="60"/>
              <w:ind w:left="113"/>
            </w:pPr>
            <w:r>
              <w:rPr>
                <w:b w:val="0"/>
                <w:color w:val="5E5A52"/>
                <w:sz w:val="19"/>
              </w:rPr>
              <w:t>~5K users</w:t>
            </w:r>
          </w:p>
        </w:tc>
        <w:tc>
          <w:tcPr>
            <w:tcW w:type="dxa" w:w="1568"/>
            <w:vAlign w:val="center"/>
            <w:tcW w:w="1440000" w:type="dxa"/>
            <w:shd w:val="clear" w:color="auto" w:fill="F8F7F4"/>
          </w:tcPr>
          <w:p>
            <w:pPr>
              <w:spacing w:before="60" w:after="60"/>
              <w:ind w:left="113"/>
            </w:pPr>
            <w:r>
              <w:rPr>
                <w:b w:val="0"/>
                <w:color w:val="5E5A52"/>
                <w:sz w:val="19"/>
              </w:rPr>
              <w:t>Checklists only; no data or marketplace</w:t>
            </w:r>
          </w:p>
        </w:tc>
      </w:tr>
    </w:tbl>
    <w:p/>
    <w:p>
      <w:pPr>
        <w:spacing w:before="160" w:after="160"/>
        <w:pBdr>
          <w:bottom w:val="single" w:sz="4" w:space="1" w:color="D1CEC8"/>
        </w:pBdr>
      </w:pPr>
    </w:p>
    <w:p>
      <w:r>
        <w:br w:type="page"/>
      </w:r>
    </w:p>
    <w:p>
      <w:pPr>
        <w:pStyle w:val="Heading1"/>
        <w:spacing w:before="400" w:after="120"/>
      </w:pPr>
      <w:r>
        <w:rPr>
          <w:color w:val="1D9E75"/>
          <w:sz w:val="32"/>
        </w:rPr>
        <w:t>34. Competitor Feature Analysis</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vAlign w:val="center"/>
            <w:tcW w:w="1620000" w:type="dxa"/>
            <w:shd w:val="clear" w:color="auto" w:fill="1D9E75"/>
          </w:tcPr>
          <w:p>
            <w:pPr>
              <w:spacing w:before="60" w:after="60"/>
              <w:ind w:left="113"/>
            </w:pPr>
            <w:r>
              <w:rPr>
                <w:b/>
                <w:color w:val="FFFFFF"/>
                <w:sz w:val="19"/>
              </w:rPr>
              <w:t>Feature</w:t>
            </w:r>
          </w:p>
        </w:tc>
        <w:tc>
          <w:tcPr>
            <w:tcW w:type="dxa" w:w="1344"/>
            <w:vAlign w:val="center"/>
            <w:tcW w:w="900000" w:type="dxa"/>
            <w:shd w:val="clear" w:color="auto" w:fill="1D9E75"/>
          </w:tcPr>
          <w:p>
            <w:pPr>
              <w:spacing w:before="60" w:after="60"/>
              <w:ind w:left="113"/>
            </w:pPr>
            <w:r>
              <w:rPr>
                <w:b/>
                <w:color w:val="FFFFFF"/>
                <w:sz w:val="19"/>
              </w:rPr>
              <w:t>PropPilot</w:t>
            </w:r>
          </w:p>
        </w:tc>
        <w:tc>
          <w:tcPr>
            <w:tcW w:type="dxa" w:w="1344"/>
            <w:vAlign w:val="center"/>
            <w:tcW w:w="900000" w:type="dxa"/>
            <w:shd w:val="clear" w:color="auto" w:fill="1D9E75"/>
          </w:tcPr>
          <w:p>
            <w:pPr>
              <w:spacing w:before="60" w:after="60"/>
              <w:ind w:left="113"/>
            </w:pPr>
            <w:r>
              <w:rPr>
                <w:b/>
                <w:color w:val="FFFFFF"/>
                <w:sz w:val="19"/>
              </w:rPr>
              <w:t>Rightmove</w:t>
            </w:r>
          </w:p>
        </w:tc>
        <w:tc>
          <w:tcPr>
            <w:tcW w:type="dxa" w:w="1344"/>
            <w:vAlign w:val="center"/>
            <w:tcW w:w="900000" w:type="dxa"/>
            <w:shd w:val="clear" w:color="auto" w:fill="1D9E75"/>
          </w:tcPr>
          <w:p>
            <w:pPr>
              <w:spacing w:before="60" w:after="60"/>
              <w:ind w:left="113"/>
            </w:pPr>
            <w:r>
              <w:rPr>
                <w:b/>
                <w:color w:val="FFFFFF"/>
                <w:sz w:val="19"/>
              </w:rPr>
              <w:t>HomeCheck</w:t>
            </w:r>
          </w:p>
        </w:tc>
        <w:tc>
          <w:tcPr>
            <w:tcW w:type="dxa" w:w="1344"/>
            <w:vAlign w:val="center"/>
            <w:tcW w:w="900000" w:type="dxa"/>
            <w:shd w:val="clear" w:color="auto" w:fill="1D9E75"/>
          </w:tcPr>
          <w:p>
            <w:pPr>
              <w:spacing w:before="60" w:after="60"/>
              <w:ind w:left="113"/>
            </w:pPr>
            <w:r>
              <w:rPr>
                <w:b/>
                <w:color w:val="FFFFFF"/>
                <w:sz w:val="19"/>
              </w:rPr>
              <w:t>Property Log</w:t>
            </w:r>
          </w:p>
        </w:tc>
        <w:tc>
          <w:tcPr>
            <w:tcW w:type="dxa" w:w="1344"/>
            <w:vAlign w:val="center"/>
            <w:tcW w:w="720000" w:type="dxa"/>
            <w:shd w:val="clear" w:color="auto" w:fill="1D9E75"/>
          </w:tcPr>
          <w:p>
            <w:pPr>
              <w:spacing w:before="60" w:after="60"/>
              <w:ind w:left="113"/>
            </w:pPr>
            <w:r>
              <w:rPr>
                <w:b/>
                <w:color w:val="FFFFFF"/>
                <w:sz w:val="19"/>
              </w:rPr>
              <w:t>Veya</w:t>
            </w:r>
          </w:p>
        </w:tc>
        <w:tc>
          <w:tcPr>
            <w:tcW w:type="dxa" w:w="1344"/>
            <w:vAlign w:val="center"/>
            <w:tcW w:w="720000" w:type="dxa"/>
            <w:shd w:val="clear" w:color="auto" w:fill="1D9E75"/>
          </w:tcPr>
          <w:p>
            <w:pPr>
              <w:spacing w:before="60" w:after="60"/>
              <w:ind w:left="113"/>
            </w:pPr>
            <w:r>
              <w:rPr>
                <w:b/>
                <w:color w:val="FFFFFF"/>
                <w:sz w:val="19"/>
              </w:rPr>
              <w:t>Homely</w:t>
            </w:r>
          </w:p>
        </w:tc>
      </w:tr>
      <w:tr>
        <w:tc>
          <w:tcPr>
            <w:tcW w:type="dxa" w:w="1344"/>
            <w:vAlign w:val="center"/>
            <w:tcW w:w="1620000" w:type="dxa"/>
          </w:tcPr>
          <w:p>
            <w:pPr>
              <w:spacing w:before="60" w:after="60"/>
              <w:ind w:left="113"/>
            </w:pPr>
            <w:r>
              <w:rPr>
                <w:b w:val="0"/>
                <w:color w:val="1A1917"/>
                <w:sz w:val="19"/>
              </w:rPr>
              <w:t>Flood risk check</w:t>
            </w:r>
          </w:p>
        </w:tc>
        <w:tc>
          <w:tcPr>
            <w:tcW w:type="dxa" w:w="1344"/>
            <w:vAlign w:val="center"/>
            <w:tcW w:w="900000" w:type="dxa"/>
          </w:tcPr>
          <w:p>
            <w:pPr>
              <w:spacing w:before="60" w:after="60"/>
              <w:ind w:left="113"/>
            </w:pPr>
            <w:r>
              <w:rPr>
                <w:b w:val="0"/>
                <w:color w:val="5E5A52"/>
                <w:sz w:val="19"/>
              </w:rPr>
              <w:t>Yes (live API)</w:t>
            </w:r>
          </w:p>
        </w:tc>
        <w:tc>
          <w:tcPr>
            <w:tcW w:type="dxa" w:w="1344"/>
            <w:vAlign w:val="center"/>
            <w:tcW w:w="900000" w:type="dxa"/>
          </w:tcPr>
          <w:p>
            <w:pPr>
              <w:spacing w:before="60" w:after="60"/>
              <w:ind w:left="113"/>
            </w:pPr>
            <w:r>
              <w:rPr>
                <w:b w:val="0"/>
                <w:color w:val="5E5A52"/>
                <w:sz w:val="19"/>
              </w:rPr>
              <w:t>No</w:t>
            </w:r>
          </w:p>
        </w:tc>
        <w:tc>
          <w:tcPr>
            <w:tcW w:type="dxa" w:w="1344"/>
            <w:vAlign w:val="center"/>
            <w:tcW w:w="900000" w:type="dxa"/>
          </w:tcPr>
          <w:p>
            <w:pPr>
              <w:spacing w:before="60" w:after="60"/>
              <w:ind w:left="113"/>
            </w:pPr>
            <w:r>
              <w:rPr>
                <w:b w:val="0"/>
                <w:color w:val="5E5A52"/>
                <w:sz w:val="19"/>
              </w:rPr>
              <w:t>Yes (paid)</w:t>
            </w:r>
          </w:p>
        </w:tc>
        <w:tc>
          <w:tcPr>
            <w:tcW w:type="dxa" w:w="1344"/>
            <w:vAlign w:val="center"/>
            <w:tcW w:w="900000" w:type="dxa"/>
          </w:tcPr>
          <w:p>
            <w:pPr>
              <w:spacing w:before="60" w:after="60"/>
              <w:ind w:left="113"/>
            </w:pPr>
            <w:r>
              <w:rPr>
                <w:b w:val="0"/>
                <w:color w:val="5E5A52"/>
                <w:sz w:val="19"/>
              </w:rPr>
              <w:t>No</w:t>
            </w:r>
          </w:p>
        </w:tc>
        <w:tc>
          <w:tcPr>
            <w:tcW w:type="dxa" w:w="1344"/>
            <w:vAlign w:val="center"/>
            <w:tcW w:w="720000" w:type="dxa"/>
          </w:tcPr>
          <w:p>
            <w:pPr>
              <w:spacing w:before="60" w:after="60"/>
              <w:ind w:left="113"/>
            </w:pPr>
            <w:r>
              <w:rPr>
                <w:b w:val="0"/>
                <w:color w:val="5E5A52"/>
                <w:sz w:val="19"/>
              </w:rPr>
              <w:t>No</w:t>
            </w:r>
          </w:p>
        </w:tc>
        <w:tc>
          <w:tcPr>
            <w:tcW w:type="dxa" w:w="1344"/>
            <w:vAlign w:val="center"/>
            <w:tcW w:w="720000" w:type="dxa"/>
          </w:tcPr>
          <w:p>
            <w:pPr>
              <w:spacing w:before="60" w:after="60"/>
              <w:ind w:left="113"/>
            </w:pPr>
            <w:r>
              <w:rPr>
                <w:b w:val="0"/>
                <w:color w:val="5E5A52"/>
                <w:sz w:val="19"/>
              </w:rPr>
              <w:t>No</w:t>
            </w:r>
          </w:p>
        </w:tc>
      </w:tr>
      <w:tr>
        <w:tc>
          <w:tcPr>
            <w:tcW w:type="dxa" w:w="1344"/>
            <w:vAlign w:val="center"/>
            <w:tcW w:w="1620000" w:type="dxa"/>
            <w:shd w:val="clear" w:color="auto" w:fill="F8F7F4"/>
          </w:tcPr>
          <w:p>
            <w:pPr>
              <w:spacing w:before="60" w:after="60"/>
              <w:ind w:left="113"/>
            </w:pPr>
            <w:r>
              <w:rPr>
                <w:b w:val="0"/>
                <w:color w:val="1A1917"/>
                <w:sz w:val="19"/>
              </w:rPr>
              <w:t>EPC lookup</w:t>
            </w:r>
          </w:p>
        </w:tc>
        <w:tc>
          <w:tcPr>
            <w:tcW w:type="dxa" w:w="1344"/>
            <w:vAlign w:val="center"/>
            <w:tcW w:w="900000" w:type="dxa"/>
            <w:shd w:val="clear" w:color="auto" w:fill="F8F7F4"/>
          </w:tcPr>
          <w:p>
            <w:pPr>
              <w:spacing w:before="60" w:after="60"/>
              <w:ind w:left="113"/>
            </w:pPr>
            <w:r>
              <w:rPr>
                <w:b w:val="0"/>
                <w:color w:val="5E5A52"/>
                <w:sz w:val="19"/>
              </w:rPr>
              <w:t>Yes (live API)</w:t>
            </w:r>
          </w:p>
        </w:tc>
        <w:tc>
          <w:tcPr>
            <w:tcW w:type="dxa" w:w="1344"/>
            <w:vAlign w:val="center"/>
            <w:tcW w:w="900000" w:type="dxa"/>
            <w:shd w:val="clear" w:color="auto" w:fill="F8F7F4"/>
          </w:tcPr>
          <w:p>
            <w:pPr>
              <w:spacing w:before="60" w:after="60"/>
              <w:ind w:left="113"/>
            </w:pPr>
            <w:r>
              <w:rPr>
                <w:b w:val="0"/>
                <w:color w:val="5E5A52"/>
                <w:sz w:val="19"/>
              </w:rPr>
              <w:t>Basic</w:t>
            </w:r>
          </w:p>
        </w:tc>
        <w:tc>
          <w:tcPr>
            <w:tcW w:type="dxa" w:w="1344"/>
            <w:vAlign w:val="center"/>
            <w:tcW w:w="900000" w:type="dxa"/>
            <w:shd w:val="clear" w:color="auto" w:fill="F8F7F4"/>
          </w:tcPr>
          <w:p>
            <w:pPr>
              <w:spacing w:before="60" w:after="60"/>
              <w:ind w:left="113"/>
            </w:pPr>
            <w:r>
              <w:rPr>
                <w:b w:val="0"/>
                <w:color w:val="5E5A52"/>
                <w:sz w:val="19"/>
              </w:rPr>
              <w:t>Yes (paid)</w:t>
            </w:r>
          </w:p>
        </w:tc>
        <w:tc>
          <w:tcPr>
            <w:tcW w:type="dxa" w:w="1344"/>
            <w:vAlign w:val="center"/>
            <w:tcW w:w="900000" w:type="dxa"/>
            <w:shd w:val="clear" w:color="auto" w:fill="F8F7F4"/>
          </w:tcPr>
          <w:p>
            <w:pPr>
              <w:spacing w:before="60" w:after="60"/>
              <w:ind w:left="113"/>
            </w:pPr>
            <w:r>
              <w:rPr>
                <w:b w:val="0"/>
                <w:color w:val="5E5A52"/>
                <w:sz w:val="19"/>
              </w:rPr>
              <w:t>Yes</w:t>
            </w:r>
          </w:p>
        </w:tc>
        <w:tc>
          <w:tcPr>
            <w:tcW w:type="dxa" w:w="1344"/>
            <w:vAlign w:val="center"/>
            <w:tcW w:w="720000" w:type="dxa"/>
            <w:shd w:val="clear" w:color="auto" w:fill="F8F7F4"/>
          </w:tcPr>
          <w:p>
            <w:pPr>
              <w:spacing w:before="60" w:after="60"/>
              <w:ind w:left="113"/>
            </w:pPr>
            <w:r>
              <w:rPr>
                <w:b w:val="0"/>
                <w:color w:val="5E5A52"/>
                <w:sz w:val="19"/>
              </w:rPr>
              <w:t>No</w:t>
            </w:r>
          </w:p>
        </w:tc>
        <w:tc>
          <w:tcPr>
            <w:tcW w:type="dxa" w:w="1344"/>
            <w:vAlign w:val="center"/>
            <w:tcW w:w="720000" w:type="dxa"/>
            <w:shd w:val="clear" w:color="auto" w:fill="F8F7F4"/>
          </w:tcPr>
          <w:p>
            <w:pPr>
              <w:spacing w:before="60" w:after="60"/>
              <w:ind w:left="113"/>
            </w:pPr>
            <w:r>
              <w:rPr>
                <w:b w:val="0"/>
                <w:color w:val="5E5A52"/>
                <w:sz w:val="19"/>
              </w:rPr>
              <w:t>No</w:t>
            </w:r>
          </w:p>
        </w:tc>
      </w:tr>
      <w:tr>
        <w:tc>
          <w:tcPr>
            <w:tcW w:type="dxa" w:w="1344"/>
            <w:vAlign w:val="center"/>
            <w:tcW w:w="1620000" w:type="dxa"/>
          </w:tcPr>
          <w:p>
            <w:pPr>
              <w:spacing w:before="60" w:after="60"/>
              <w:ind w:left="113"/>
            </w:pPr>
            <w:r>
              <w:rPr>
                <w:b w:val="0"/>
                <w:color w:val="1A1917"/>
                <w:sz w:val="19"/>
              </w:rPr>
              <w:t>Crime statistics</w:t>
            </w:r>
          </w:p>
        </w:tc>
        <w:tc>
          <w:tcPr>
            <w:tcW w:type="dxa" w:w="1344"/>
            <w:vAlign w:val="center"/>
            <w:tcW w:w="900000" w:type="dxa"/>
          </w:tcPr>
          <w:p>
            <w:pPr>
              <w:spacing w:before="60" w:after="60"/>
              <w:ind w:left="113"/>
            </w:pPr>
            <w:r>
              <w:rPr>
                <w:b w:val="0"/>
                <w:color w:val="5E5A52"/>
                <w:sz w:val="19"/>
              </w:rPr>
              <w:t>Yes (live API)</w:t>
            </w:r>
          </w:p>
        </w:tc>
        <w:tc>
          <w:tcPr>
            <w:tcW w:type="dxa" w:w="1344"/>
            <w:vAlign w:val="center"/>
            <w:tcW w:w="900000" w:type="dxa"/>
          </w:tcPr>
          <w:p>
            <w:pPr>
              <w:spacing w:before="60" w:after="60"/>
              <w:ind w:left="113"/>
            </w:pPr>
            <w:r>
              <w:rPr>
                <w:b w:val="0"/>
                <w:color w:val="5E5A52"/>
                <w:sz w:val="19"/>
              </w:rPr>
              <w:t>No</w:t>
            </w:r>
          </w:p>
        </w:tc>
        <w:tc>
          <w:tcPr>
            <w:tcW w:type="dxa" w:w="1344"/>
            <w:vAlign w:val="center"/>
            <w:tcW w:w="900000" w:type="dxa"/>
          </w:tcPr>
          <w:p>
            <w:pPr>
              <w:spacing w:before="60" w:after="60"/>
              <w:ind w:left="113"/>
            </w:pPr>
            <w:r>
              <w:rPr>
                <w:b w:val="0"/>
                <w:color w:val="5E5A52"/>
                <w:sz w:val="19"/>
              </w:rPr>
              <w:t>No</w:t>
            </w:r>
          </w:p>
        </w:tc>
        <w:tc>
          <w:tcPr>
            <w:tcW w:type="dxa" w:w="1344"/>
            <w:vAlign w:val="center"/>
            <w:tcW w:w="900000" w:type="dxa"/>
          </w:tcPr>
          <w:p>
            <w:pPr>
              <w:spacing w:before="60" w:after="60"/>
              <w:ind w:left="113"/>
            </w:pPr>
            <w:r>
              <w:rPr>
                <w:b w:val="0"/>
                <w:color w:val="5E5A52"/>
                <w:sz w:val="19"/>
              </w:rPr>
              <w:t>No</w:t>
            </w:r>
          </w:p>
        </w:tc>
        <w:tc>
          <w:tcPr>
            <w:tcW w:type="dxa" w:w="1344"/>
            <w:vAlign w:val="center"/>
            <w:tcW w:w="720000" w:type="dxa"/>
          </w:tcPr>
          <w:p>
            <w:pPr>
              <w:spacing w:before="60" w:after="60"/>
              <w:ind w:left="113"/>
            </w:pPr>
            <w:r>
              <w:rPr>
                <w:b w:val="0"/>
                <w:color w:val="5E5A52"/>
                <w:sz w:val="19"/>
              </w:rPr>
              <w:t>No</w:t>
            </w:r>
          </w:p>
        </w:tc>
        <w:tc>
          <w:tcPr>
            <w:tcW w:type="dxa" w:w="1344"/>
            <w:vAlign w:val="center"/>
            <w:tcW w:w="720000" w:type="dxa"/>
          </w:tcPr>
          <w:p>
            <w:pPr>
              <w:spacing w:before="60" w:after="60"/>
              <w:ind w:left="113"/>
            </w:pPr>
            <w:r>
              <w:rPr>
                <w:b w:val="0"/>
                <w:color w:val="5E5A52"/>
                <w:sz w:val="19"/>
              </w:rPr>
              <w:t>No</w:t>
            </w:r>
          </w:p>
        </w:tc>
      </w:tr>
      <w:tr>
        <w:tc>
          <w:tcPr>
            <w:tcW w:type="dxa" w:w="1344"/>
            <w:vAlign w:val="center"/>
            <w:tcW w:w="1620000" w:type="dxa"/>
            <w:shd w:val="clear" w:color="auto" w:fill="F8F7F4"/>
          </w:tcPr>
          <w:p>
            <w:pPr>
              <w:spacing w:before="60" w:after="60"/>
              <w:ind w:left="113"/>
            </w:pPr>
            <w:r>
              <w:rPr>
                <w:b w:val="0"/>
                <w:color w:val="1A1917"/>
                <w:sz w:val="19"/>
              </w:rPr>
              <w:t>Broadband check</w:t>
            </w:r>
          </w:p>
        </w:tc>
        <w:tc>
          <w:tcPr>
            <w:tcW w:type="dxa" w:w="1344"/>
            <w:vAlign w:val="center"/>
            <w:tcW w:w="900000" w:type="dxa"/>
            <w:shd w:val="clear" w:color="auto" w:fill="F8F7F4"/>
          </w:tcPr>
          <w:p>
            <w:pPr>
              <w:spacing w:before="60" w:after="60"/>
              <w:ind w:left="113"/>
            </w:pPr>
            <w:r>
              <w:rPr>
                <w:b w:val="0"/>
                <w:color w:val="5E5A52"/>
                <w:sz w:val="19"/>
              </w:rPr>
              <w:t>Yes (live API)</w:t>
            </w:r>
          </w:p>
        </w:tc>
        <w:tc>
          <w:tcPr>
            <w:tcW w:type="dxa" w:w="1344"/>
            <w:vAlign w:val="center"/>
            <w:tcW w:w="900000" w:type="dxa"/>
            <w:shd w:val="clear" w:color="auto" w:fill="F8F7F4"/>
          </w:tcPr>
          <w:p>
            <w:pPr>
              <w:spacing w:before="60" w:after="60"/>
              <w:ind w:left="113"/>
            </w:pPr>
            <w:r>
              <w:rPr>
                <w:b w:val="0"/>
                <w:color w:val="5E5A52"/>
                <w:sz w:val="19"/>
              </w:rPr>
              <w:t>No</w:t>
            </w:r>
          </w:p>
        </w:tc>
        <w:tc>
          <w:tcPr>
            <w:tcW w:type="dxa" w:w="1344"/>
            <w:vAlign w:val="center"/>
            <w:tcW w:w="900000" w:type="dxa"/>
            <w:shd w:val="clear" w:color="auto" w:fill="F8F7F4"/>
          </w:tcPr>
          <w:p>
            <w:pPr>
              <w:spacing w:before="60" w:after="60"/>
              <w:ind w:left="113"/>
            </w:pPr>
            <w:r>
              <w:rPr>
                <w:b w:val="0"/>
                <w:color w:val="5E5A52"/>
                <w:sz w:val="19"/>
              </w:rPr>
              <w:t>No</w:t>
            </w:r>
          </w:p>
        </w:tc>
        <w:tc>
          <w:tcPr>
            <w:tcW w:type="dxa" w:w="1344"/>
            <w:vAlign w:val="center"/>
            <w:tcW w:w="900000" w:type="dxa"/>
            <w:shd w:val="clear" w:color="auto" w:fill="F8F7F4"/>
          </w:tcPr>
          <w:p>
            <w:pPr>
              <w:spacing w:before="60" w:after="60"/>
              <w:ind w:left="113"/>
            </w:pPr>
            <w:r>
              <w:rPr>
                <w:b w:val="0"/>
                <w:color w:val="5E5A52"/>
                <w:sz w:val="19"/>
              </w:rPr>
              <w:t>No</w:t>
            </w:r>
          </w:p>
        </w:tc>
        <w:tc>
          <w:tcPr>
            <w:tcW w:type="dxa" w:w="1344"/>
            <w:vAlign w:val="center"/>
            <w:tcW w:w="720000" w:type="dxa"/>
            <w:shd w:val="clear" w:color="auto" w:fill="F8F7F4"/>
          </w:tcPr>
          <w:p>
            <w:pPr>
              <w:spacing w:before="60" w:after="60"/>
              <w:ind w:left="113"/>
            </w:pPr>
            <w:r>
              <w:rPr>
                <w:b w:val="0"/>
                <w:color w:val="5E5A52"/>
                <w:sz w:val="19"/>
              </w:rPr>
              <w:t>No</w:t>
            </w:r>
          </w:p>
        </w:tc>
        <w:tc>
          <w:tcPr>
            <w:tcW w:type="dxa" w:w="1344"/>
            <w:vAlign w:val="center"/>
            <w:tcW w:w="720000" w:type="dxa"/>
            <w:shd w:val="clear" w:color="auto" w:fill="F8F7F4"/>
          </w:tcPr>
          <w:p>
            <w:pPr>
              <w:spacing w:before="60" w:after="60"/>
              <w:ind w:left="113"/>
            </w:pPr>
            <w:r>
              <w:rPr>
                <w:b w:val="0"/>
                <w:color w:val="5E5A52"/>
                <w:sz w:val="19"/>
              </w:rPr>
              <w:t>No</w:t>
            </w:r>
          </w:p>
        </w:tc>
      </w:tr>
      <w:tr>
        <w:tc>
          <w:tcPr>
            <w:tcW w:type="dxa" w:w="1344"/>
            <w:vAlign w:val="center"/>
            <w:tcW w:w="1620000" w:type="dxa"/>
          </w:tcPr>
          <w:p>
            <w:pPr>
              <w:spacing w:before="60" w:after="60"/>
              <w:ind w:left="113"/>
            </w:pPr>
            <w:r>
              <w:rPr>
                <w:b w:val="0"/>
                <w:color w:val="1A1917"/>
                <w:sz w:val="19"/>
              </w:rPr>
              <w:t>Council tax band</w:t>
            </w:r>
          </w:p>
        </w:tc>
        <w:tc>
          <w:tcPr>
            <w:tcW w:type="dxa" w:w="1344"/>
            <w:vAlign w:val="center"/>
            <w:tcW w:w="900000" w:type="dxa"/>
          </w:tcPr>
          <w:p>
            <w:pPr>
              <w:spacing w:before="60" w:after="60"/>
              <w:ind w:left="113"/>
            </w:pPr>
            <w:r>
              <w:rPr>
                <w:b w:val="0"/>
                <w:color w:val="5E5A52"/>
                <w:sz w:val="19"/>
              </w:rPr>
              <w:t>Yes (live API)</w:t>
            </w:r>
          </w:p>
        </w:tc>
        <w:tc>
          <w:tcPr>
            <w:tcW w:type="dxa" w:w="1344"/>
            <w:vAlign w:val="center"/>
            <w:tcW w:w="900000" w:type="dxa"/>
          </w:tcPr>
          <w:p>
            <w:pPr>
              <w:spacing w:before="60" w:after="60"/>
              <w:ind w:left="113"/>
            </w:pPr>
            <w:r>
              <w:rPr>
                <w:b w:val="0"/>
                <w:color w:val="5E5A52"/>
                <w:sz w:val="19"/>
              </w:rPr>
              <w:t>Yes</w:t>
            </w:r>
          </w:p>
        </w:tc>
        <w:tc>
          <w:tcPr>
            <w:tcW w:type="dxa" w:w="1344"/>
            <w:vAlign w:val="center"/>
            <w:tcW w:w="900000" w:type="dxa"/>
          </w:tcPr>
          <w:p>
            <w:pPr>
              <w:spacing w:before="60" w:after="60"/>
              <w:ind w:left="113"/>
            </w:pPr>
            <w:r>
              <w:rPr>
                <w:b w:val="0"/>
                <w:color w:val="5E5A52"/>
                <w:sz w:val="19"/>
              </w:rPr>
              <w:t>No</w:t>
            </w:r>
          </w:p>
        </w:tc>
        <w:tc>
          <w:tcPr>
            <w:tcW w:type="dxa" w:w="1344"/>
            <w:vAlign w:val="center"/>
            <w:tcW w:w="900000" w:type="dxa"/>
          </w:tcPr>
          <w:p>
            <w:pPr>
              <w:spacing w:before="60" w:after="60"/>
              <w:ind w:left="113"/>
            </w:pPr>
            <w:r>
              <w:rPr>
                <w:b w:val="0"/>
                <w:color w:val="5E5A52"/>
                <w:sz w:val="19"/>
              </w:rPr>
              <w:t>No</w:t>
            </w:r>
          </w:p>
        </w:tc>
        <w:tc>
          <w:tcPr>
            <w:tcW w:type="dxa" w:w="1344"/>
            <w:vAlign w:val="center"/>
            <w:tcW w:w="720000" w:type="dxa"/>
          </w:tcPr>
          <w:p>
            <w:pPr>
              <w:spacing w:before="60" w:after="60"/>
              <w:ind w:left="113"/>
            </w:pPr>
            <w:r>
              <w:rPr>
                <w:b w:val="0"/>
                <w:color w:val="5E5A52"/>
                <w:sz w:val="19"/>
              </w:rPr>
              <w:t>No</w:t>
            </w:r>
          </w:p>
        </w:tc>
        <w:tc>
          <w:tcPr>
            <w:tcW w:type="dxa" w:w="1344"/>
            <w:vAlign w:val="center"/>
            <w:tcW w:w="720000" w:type="dxa"/>
          </w:tcPr>
          <w:p>
            <w:pPr>
              <w:spacing w:before="60" w:after="60"/>
              <w:ind w:left="113"/>
            </w:pPr>
            <w:r>
              <w:rPr>
                <w:b w:val="0"/>
                <w:color w:val="5E5A52"/>
                <w:sz w:val="19"/>
              </w:rPr>
              <w:t>No</w:t>
            </w:r>
          </w:p>
        </w:tc>
      </w:tr>
      <w:tr>
        <w:tc>
          <w:tcPr>
            <w:tcW w:type="dxa" w:w="1344"/>
            <w:vAlign w:val="center"/>
            <w:tcW w:w="1620000" w:type="dxa"/>
            <w:shd w:val="clear" w:color="auto" w:fill="F8F7F4"/>
          </w:tcPr>
          <w:p>
            <w:pPr>
              <w:spacing w:before="60" w:after="60"/>
              <w:ind w:left="113"/>
            </w:pPr>
            <w:r>
              <w:rPr>
                <w:b w:val="0"/>
                <w:color w:val="1A1917"/>
                <w:sz w:val="19"/>
              </w:rPr>
              <w:t>SDLT calculator</w:t>
            </w:r>
          </w:p>
        </w:tc>
        <w:tc>
          <w:tcPr>
            <w:tcW w:type="dxa" w:w="1344"/>
            <w:vAlign w:val="center"/>
            <w:tcW w:w="900000" w:type="dxa"/>
            <w:shd w:val="clear" w:color="auto" w:fill="F8F7F4"/>
          </w:tcPr>
          <w:p>
            <w:pPr>
              <w:spacing w:before="60" w:after="60"/>
              <w:ind w:left="113"/>
            </w:pPr>
            <w:r>
              <w:rPr>
                <w:b w:val="0"/>
                <w:color w:val="5E5A52"/>
                <w:sz w:val="19"/>
              </w:rPr>
              <w:t>Yes</w:t>
            </w:r>
          </w:p>
        </w:tc>
        <w:tc>
          <w:tcPr>
            <w:tcW w:type="dxa" w:w="1344"/>
            <w:vAlign w:val="center"/>
            <w:tcW w:w="900000" w:type="dxa"/>
            <w:shd w:val="clear" w:color="auto" w:fill="F8F7F4"/>
          </w:tcPr>
          <w:p>
            <w:pPr>
              <w:spacing w:before="60" w:after="60"/>
              <w:ind w:left="113"/>
            </w:pPr>
            <w:r>
              <w:rPr>
                <w:b w:val="0"/>
                <w:color w:val="5E5A52"/>
                <w:sz w:val="19"/>
              </w:rPr>
              <w:t>Yes</w:t>
            </w:r>
          </w:p>
        </w:tc>
        <w:tc>
          <w:tcPr>
            <w:tcW w:type="dxa" w:w="1344"/>
            <w:vAlign w:val="center"/>
            <w:tcW w:w="900000" w:type="dxa"/>
            <w:shd w:val="clear" w:color="auto" w:fill="F8F7F4"/>
          </w:tcPr>
          <w:p>
            <w:pPr>
              <w:spacing w:before="60" w:after="60"/>
              <w:ind w:left="113"/>
            </w:pPr>
            <w:r>
              <w:rPr>
                <w:b w:val="0"/>
                <w:color w:val="5E5A52"/>
                <w:sz w:val="19"/>
              </w:rPr>
              <w:t>No</w:t>
            </w:r>
          </w:p>
        </w:tc>
        <w:tc>
          <w:tcPr>
            <w:tcW w:type="dxa" w:w="1344"/>
            <w:vAlign w:val="center"/>
            <w:tcW w:w="900000" w:type="dxa"/>
            <w:shd w:val="clear" w:color="auto" w:fill="F8F7F4"/>
          </w:tcPr>
          <w:p>
            <w:pPr>
              <w:spacing w:before="60" w:after="60"/>
              <w:ind w:left="113"/>
            </w:pPr>
            <w:r>
              <w:rPr>
                <w:b w:val="0"/>
                <w:color w:val="5E5A52"/>
                <w:sz w:val="19"/>
              </w:rPr>
              <w:t>No</w:t>
            </w:r>
          </w:p>
        </w:tc>
        <w:tc>
          <w:tcPr>
            <w:tcW w:type="dxa" w:w="1344"/>
            <w:vAlign w:val="center"/>
            <w:tcW w:w="720000" w:type="dxa"/>
            <w:shd w:val="clear" w:color="auto" w:fill="F8F7F4"/>
          </w:tcPr>
          <w:p>
            <w:pPr>
              <w:spacing w:before="60" w:after="60"/>
              <w:ind w:left="113"/>
            </w:pPr>
            <w:r>
              <w:rPr>
                <w:b w:val="0"/>
                <w:color w:val="5E5A52"/>
                <w:sz w:val="19"/>
              </w:rPr>
              <w:t>No</w:t>
            </w:r>
          </w:p>
        </w:tc>
        <w:tc>
          <w:tcPr>
            <w:tcW w:type="dxa" w:w="1344"/>
            <w:vAlign w:val="center"/>
            <w:tcW w:w="720000" w:type="dxa"/>
            <w:shd w:val="clear" w:color="auto" w:fill="F8F7F4"/>
          </w:tcPr>
          <w:p>
            <w:pPr>
              <w:spacing w:before="60" w:after="60"/>
              <w:ind w:left="113"/>
            </w:pPr>
            <w:r>
              <w:rPr>
                <w:b w:val="0"/>
                <w:color w:val="5E5A52"/>
                <w:sz w:val="19"/>
              </w:rPr>
              <w:t>Yes</w:t>
            </w:r>
          </w:p>
        </w:tc>
      </w:tr>
      <w:tr>
        <w:tc>
          <w:tcPr>
            <w:tcW w:type="dxa" w:w="1344"/>
            <w:vAlign w:val="center"/>
            <w:tcW w:w="1620000" w:type="dxa"/>
          </w:tcPr>
          <w:p>
            <w:pPr>
              <w:spacing w:before="60" w:after="60"/>
              <w:ind w:left="113"/>
            </w:pPr>
            <w:r>
              <w:rPr>
                <w:b w:val="0"/>
                <w:color w:val="1A1917"/>
                <w:sz w:val="19"/>
              </w:rPr>
              <w:t>Lease extension calc.</w:t>
            </w:r>
          </w:p>
        </w:tc>
        <w:tc>
          <w:tcPr>
            <w:tcW w:type="dxa" w:w="1344"/>
            <w:vAlign w:val="center"/>
            <w:tcW w:w="900000" w:type="dxa"/>
          </w:tcPr>
          <w:p>
            <w:pPr>
              <w:spacing w:before="60" w:after="60"/>
              <w:ind w:left="113"/>
            </w:pPr>
            <w:r>
              <w:rPr>
                <w:b w:val="0"/>
                <w:color w:val="5E5A52"/>
                <w:sz w:val="19"/>
              </w:rPr>
              <w:t>Yes</w:t>
            </w:r>
          </w:p>
        </w:tc>
        <w:tc>
          <w:tcPr>
            <w:tcW w:type="dxa" w:w="1344"/>
            <w:vAlign w:val="center"/>
            <w:tcW w:w="900000" w:type="dxa"/>
          </w:tcPr>
          <w:p>
            <w:pPr>
              <w:spacing w:before="60" w:after="60"/>
              <w:ind w:left="113"/>
            </w:pPr>
            <w:r>
              <w:rPr>
                <w:b w:val="0"/>
                <w:color w:val="5E5A52"/>
                <w:sz w:val="19"/>
              </w:rPr>
              <w:t>No</w:t>
            </w:r>
          </w:p>
        </w:tc>
        <w:tc>
          <w:tcPr>
            <w:tcW w:type="dxa" w:w="1344"/>
            <w:vAlign w:val="center"/>
            <w:tcW w:w="900000" w:type="dxa"/>
          </w:tcPr>
          <w:p>
            <w:pPr>
              <w:spacing w:before="60" w:after="60"/>
              <w:ind w:left="113"/>
            </w:pPr>
            <w:r>
              <w:rPr>
                <w:b w:val="0"/>
                <w:color w:val="5E5A52"/>
                <w:sz w:val="19"/>
              </w:rPr>
              <w:t>No</w:t>
            </w:r>
          </w:p>
        </w:tc>
        <w:tc>
          <w:tcPr>
            <w:tcW w:type="dxa" w:w="1344"/>
            <w:vAlign w:val="center"/>
            <w:tcW w:w="900000" w:type="dxa"/>
          </w:tcPr>
          <w:p>
            <w:pPr>
              <w:spacing w:before="60" w:after="60"/>
              <w:ind w:left="113"/>
            </w:pPr>
            <w:r>
              <w:rPr>
                <w:b w:val="0"/>
                <w:color w:val="5E5A52"/>
                <w:sz w:val="19"/>
              </w:rPr>
              <w:t>No</w:t>
            </w:r>
          </w:p>
        </w:tc>
        <w:tc>
          <w:tcPr>
            <w:tcW w:type="dxa" w:w="1344"/>
            <w:vAlign w:val="center"/>
            <w:tcW w:w="720000" w:type="dxa"/>
          </w:tcPr>
          <w:p>
            <w:pPr>
              <w:spacing w:before="60" w:after="60"/>
              <w:ind w:left="113"/>
            </w:pPr>
            <w:r>
              <w:rPr>
                <w:b w:val="0"/>
                <w:color w:val="5E5A52"/>
                <w:sz w:val="19"/>
              </w:rPr>
              <w:t>No</w:t>
            </w:r>
          </w:p>
        </w:tc>
        <w:tc>
          <w:tcPr>
            <w:tcW w:type="dxa" w:w="1344"/>
            <w:vAlign w:val="center"/>
            <w:tcW w:w="720000" w:type="dxa"/>
          </w:tcPr>
          <w:p>
            <w:pPr>
              <w:spacing w:before="60" w:after="60"/>
              <w:ind w:left="113"/>
            </w:pPr>
            <w:r>
              <w:rPr>
                <w:b w:val="0"/>
                <w:color w:val="5E5A52"/>
                <w:sz w:val="19"/>
              </w:rPr>
              <w:t>No</w:t>
            </w:r>
          </w:p>
        </w:tc>
      </w:tr>
      <w:tr>
        <w:tc>
          <w:tcPr>
            <w:tcW w:type="dxa" w:w="1344"/>
            <w:vAlign w:val="center"/>
            <w:tcW w:w="1620000" w:type="dxa"/>
            <w:shd w:val="clear" w:color="auto" w:fill="F8F7F4"/>
          </w:tcPr>
          <w:p>
            <w:pPr>
              <w:spacing w:before="60" w:after="60"/>
              <w:ind w:left="113"/>
            </w:pPr>
            <w:r>
              <w:rPr>
                <w:b w:val="0"/>
                <w:color w:val="1A1917"/>
                <w:sz w:val="19"/>
              </w:rPr>
              <w:t>Buying checklists</w:t>
            </w:r>
          </w:p>
        </w:tc>
        <w:tc>
          <w:tcPr>
            <w:tcW w:type="dxa" w:w="1344"/>
            <w:vAlign w:val="center"/>
            <w:tcW w:w="900000" w:type="dxa"/>
            <w:shd w:val="clear" w:color="auto" w:fill="F8F7F4"/>
          </w:tcPr>
          <w:p>
            <w:pPr>
              <w:spacing w:before="60" w:after="60"/>
              <w:ind w:left="113"/>
            </w:pPr>
            <w:r>
              <w:rPr>
                <w:b w:val="0"/>
                <w:color w:val="5E5A52"/>
                <w:sz w:val="19"/>
              </w:rPr>
              <w:t>Yes</w:t>
            </w:r>
          </w:p>
        </w:tc>
        <w:tc>
          <w:tcPr>
            <w:tcW w:type="dxa" w:w="1344"/>
            <w:vAlign w:val="center"/>
            <w:tcW w:w="900000" w:type="dxa"/>
            <w:shd w:val="clear" w:color="auto" w:fill="F8F7F4"/>
          </w:tcPr>
          <w:p>
            <w:pPr>
              <w:spacing w:before="60" w:after="60"/>
              <w:ind w:left="113"/>
            </w:pPr>
            <w:r>
              <w:rPr>
                <w:b w:val="0"/>
                <w:color w:val="5E5A52"/>
                <w:sz w:val="19"/>
              </w:rPr>
              <w:t>No</w:t>
            </w:r>
          </w:p>
        </w:tc>
        <w:tc>
          <w:tcPr>
            <w:tcW w:type="dxa" w:w="1344"/>
            <w:vAlign w:val="center"/>
            <w:tcW w:w="900000" w:type="dxa"/>
            <w:shd w:val="clear" w:color="auto" w:fill="F8F7F4"/>
          </w:tcPr>
          <w:p>
            <w:pPr>
              <w:spacing w:before="60" w:after="60"/>
              <w:ind w:left="113"/>
            </w:pPr>
            <w:r>
              <w:rPr>
                <w:b w:val="0"/>
                <w:color w:val="5E5A52"/>
                <w:sz w:val="19"/>
              </w:rPr>
              <w:t>No</w:t>
            </w:r>
          </w:p>
        </w:tc>
        <w:tc>
          <w:tcPr>
            <w:tcW w:type="dxa" w:w="1344"/>
            <w:vAlign w:val="center"/>
            <w:tcW w:w="900000" w:type="dxa"/>
            <w:shd w:val="clear" w:color="auto" w:fill="F8F7F4"/>
          </w:tcPr>
          <w:p>
            <w:pPr>
              <w:spacing w:before="60" w:after="60"/>
              <w:ind w:left="113"/>
            </w:pPr>
            <w:r>
              <w:rPr>
                <w:b w:val="0"/>
                <w:color w:val="5E5A52"/>
                <w:sz w:val="19"/>
              </w:rPr>
              <w:t>No</w:t>
            </w:r>
          </w:p>
        </w:tc>
        <w:tc>
          <w:tcPr>
            <w:tcW w:type="dxa" w:w="1344"/>
            <w:vAlign w:val="center"/>
            <w:tcW w:w="720000" w:type="dxa"/>
            <w:shd w:val="clear" w:color="auto" w:fill="F8F7F4"/>
          </w:tcPr>
          <w:p>
            <w:pPr>
              <w:spacing w:before="60" w:after="60"/>
              <w:ind w:left="113"/>
            </w:pPr>
            <w:r>
              <w:rPr>
                <w:b w:val="0"/>
                <w:color w:val="5E5A52"/>
                <w:sz w:val="19"/>
              </w:rPr>
              <w:t>No</w:t>
            </w:r>
          </w:p>
        </w:tc>
        <w:tc>
          <w:tcPr>
            <w:tcW w:type="dxa" w:w="1344"/>
            <w:vAlign w:val="center"/>
            <w:tcW w:w="720000" w:type="dxa"/>
            <w:shd w:val="clear" w:color="auto" w:fill="F8F7F4"/>
          </w:tcPr>
          <w:p>
            <w:pPr>
              <w:spacing w:before="60" w:after="60"/>
              <w:ind w:left="113"/>
            </w:pPr>
            <w:r>
              <w:rPr>
                <w:b w:val="0"/>
                <w:color w:val="5E5A52"/>
                <w:sz w:val="19"/>
              </w:rPr>
              <w:t>Yes</w:t>
            </w:r>
          </w:p>
        </w:tc>
      </w:tr>
      <w:tr>
        <w:tc>
          <w:tcPr>
            <w:tcW w:type="dxa" w:w="1344"/>
            <w:vAlign w:val="center"/>
            <w:tcW w:w="1620000" w:type="dxa"/>
          </w:tcPr>
          <w:p>
            <w:pPr>
              <w:spacing w:before="60" w:after="60"/>
              <w:ind w:left="113"/>
            </w:pPr>
            <w:r>
              <w:rPr>
                <w:b w:val="0"/>
                <w:color w:val="1A1917"/>
                <w:sz w:val="19"/>
              </w:rPr>
              <w:t>PropPilot / risk score</w:t>
            </w:r>
          </w:p>
        </w:tc>
        <w:tc>
          <w:tcPr>
            <w:tcW w:type="dxa" w:w="1344"/>
            <w:vAlign w:val="center"/>
            <w:tcW w:w="900000" w:type="dxa"/>
          </w:tcPr>
          <w:p>
            <w:pPr>
              <w:spacing w:before="60" w:after="60"/>
              <w:ind w:left="113"/>
            </w:pPr>
            <w:r>
              <w:rPr>
                <w:b w:val="0"/>
                <w:color w:val="5E5A52"/>
                <w:sz w:val="19"/>
              </w:rPr>
              <w:t>Yes</w:t>
            </w:r>
          </w:p>
        </w:tc>
        <w:tc>
          <w:tcPr>
            <w:tcW w:type="dxa" w:w="1344"/>
            <w:vAlign w:val="center"/>
            <w:tcW w:w="900000" w:type="dxa"/>
          </w:tcPr>
          <w:p>
            <w:pPr>
              <w:spacing w:before="60" w:after="60"/>
              <w:ind w:left="113"/>
            </w:pPr>
            <w:r>
              <w:rPr>
                <w:b w:val="0"/>
                <w:color w:val="5E5A52"/>
                <w:sz w:val="19"/>
              </w:rPr>
              <w:t>No</w:t>
            </w:r>
          </w:p>
        </w:tc>
        <w:tc>
          <w:tcPr>
            <w:tcW w:type="dxa" w:w="1344"/>
            <w:vAlign w:val="center"/>
            <w:tcW w:w="900000" w:type="dxa"/>
          </w:tcPr>
          <w:p>
            <w:pPr>
              <w:spacing w:before="60" w:after="60"/>
              <w:ind w:left="113"/>
            </w:pPr>
            <w:r>
              <w:rPr>
                <w:b w:val="0"/>
                <w:color w:val="5E5A52"/>
                <w:sz w:val="19"/>
              </w:rPr>
              <w:t>No</w:t>
            </w:r>
          </w:p>
        </w:tc>
        <w:tc>
          <w:tcPr>
            <w:tcW w:type="dxa" w:w="1344"/>
            <w:vAlign w:val="center"/>
            <w:tcW w:w="900000" w:type="dxa"/>
          </w:tcPr>
          <w:p>
            <w:pPr>
              <w:spacing w:before="60" w:after="60"/>
              <w:ind w:left="113"/>
            </w:pPr>
            <w:r>
              <w:rPr>
                <w:b w:val="0"/>
                <w:color w:val="5E5A52"/>
                <w:sz w:val="19"/>
              </w:rPr>
              <w:t>No</w:t>
            </w:r>
          </w:p>
        </w:tc>
        <w:tc>
          <w:tcPr>
            <w:tcW w:type="dxa" w:w="1344"/>
            <w:vAlign w:val="center"/>
            <w:tcW w:w="720000" w:type="dxa"/>
          </w:tcPr>
          <w:p>
            <w:pPr>
              <w:spacing w:before="60" w:after="60"/>
              <w:ind w:left="113"/>
            </w:pPr>
            <w:r>
              <w:rPr>
                <w:b w:val="0"/>
                <w:color w:val="5E5A52"/>
                <w:sz w:val="19"/>
              </w:rPr>
              <w:t>No</w:t>
            </w:r>
          </w:p>
        </w:tc>
        <w:tc>
          <w:tcPr>
            <w:tcW w:type="dxa" w:w="1344"/>
            <w:vAlign w:val="center"/>
            <w:tcW w:w="720000" w:type="dxa"/>
          </w:tcPr>
          <w:p>
            <w:pPr>
              <w:spacing w:before="60" w:after="60"/>
              <w:ind w:left="113"/>
            </w:pPr>
            <w:r>
              <w:rPr>
                <w:b w:val="0"/>
                <w:color w:val="5E5A52"/>
                <w:sz w:val="19"/>
              </w:rPr>
              <w:t>No</w:t>
            </w:r>
          </w:p>
        </w:tc>
      </w:tr>
      <w:tr>
        <w:tc>
          <w:tcPr>
            <w:tcW w:type="dxa" w:w="1344"/>
            <w:vAlign w:val="center"/>
            <w:tcW w:w="1620000" w:type="dxa"/>
            <w:shd w:val="clear" w:color="auto" w:fill="F8F7F4"/>
          </w:tcPr>
          <w:p>
            <w:pPr>
              <w:spacing w:before="60" w:after="60"/>
              <w:ind w:left="113"/>
            </w:pPr>
            <w:r>
              <w:rPr>
                <w:b w:val="0"/>
                <w:color w:val="1A1917"/>
                <w:sz w:val="19"/>
              </w:rPr>
              <w:t>Owner dashboard</w:t>
            </w:r>
          </w:p>
        </w:tc>
        <w:tc>
          <w:tcPr>
            <w:tcW w:type="dxa" w:w="1344"/>
            <w:vAlign w:val="center"/>
            <w:tcW w:w="900000" w:type="dxa"/>
            <w:shd w:val="clear" w:color="auto" w:fill="F8F7F4"/>
          </w:tcPr>
          <w:p>
            <w:pPr>
              <w:spacing w:before="60" w:after="60"/>
              <w:ind w:left="113"/>
            </w:pPr>
            <w:r>
              <w:rPr>
                <w:b w:val="0"/>
                <w:color w:val="5E5A52"/>
                <w:sz w:val="19"/>
              </w:rPr>
              <w:t>Yes</w:t>
            </w:r>
          </w:p>
        </w:tc>
        <w:tc>
          <w:tcPr>
            <w:tcW w:type="dxa" w:w="1344"/>
            <w:vAlign w:val="center"/>
            <w:tcW w:w="900000" w:type="dxa"/>
            <w:shd w:val="clear" w:color="auto" w:fill="F8F7F4"/>
          </w:tcPr>
          <w:p>
            <w:pPr>
              <w:spacing w:before="60" w:after="60"/>
              <w:ind w:left="113"/>
            </w:pPr>
            <w:r>
              <w:rPr>
                <w:b w:val="0"/>
                <w:color w:val="5E5A52"/>
                <w:sz w:val="19"/>
              </w:rPr>
              <w:t>No</w:t>
            </w:r>
          </w:p>
        </w:tc>
        <w:tc>
          <w:tcPr>
            <w:tcW w:type="dxa" w:w="1344"/>
            <w:vAlign w:val="center"/>
            <w:tcW w:w="900000" w:type="dxa"/>
            <w:shd w:val="clear" w:color="auto" w:fill="F8F7F4"/>
          </w:tcPr>
          <w:p>
            <w:pPr>
              <w:spacing w:before="60" w:after="60"/>
              <w:ind w:left="113"/>
            </w:pPr>
            <w:r>
              <w:rPr>
                <w:b w:val="0"/>
                <w:color w:val="5E5A52"/>
                <w:sz w:val="19"/>
              </w:rPr>
              <w:t>No</w:t>
            </w:r>
          </w:p>
        </w:tc>
        <w:tc>
          <w:tcPr>
            <w:tcW w:type="dxa" w:w="1344"/>
            <w:vAlign w:val="center"/>
            <w:tcW w:w="900000" w:type="dxa"/>
            <w:shd w:val="clear" w:color="auto" w:fill="F8F7F4"/>
          </w:tcPr>
          <w:p>
            <w:pPr>
              <w:spacing w:before="60" w:after="60"/>
              <w:ind w:left="113"/>
            </w:pPr>
            <w:r>
              <w:rPr>
                <w:b w:val="0"/>
                <w:color w:val="5E5A52"/>
                <w:sz w:val="19"/>
              </w:rPr>
              <w:t>Yes</w:t>
            </w:r>
          </w:p>
        </w:tc>
        <w:tc>
          <w:tcPr>
            <w:tcW w:type="dxa" w:w="1344"/>
            <w:vAlign w:val="center"/>
            <w:tcW w:w="720000" w:type="dxa"/>
            <w:shd w:val="clear" w:color="auto" w:fill="F8F7F4"/>
          </w:tcPr>
          <w:p>
            <w:pPr>
              <w:spacing w:before="60" w:after="60"/>
              <w:ind w:left="113"/>
            </w:pPr>
            <w:r>
              <w:rPr>
                <w:b w:val="0"/>
                <w:color w:val="5E5A52"/>
                <w:sz w:val="19"/>
              </w:rPr>
              <w:t>No</w:t>
            </w:r>
          </w:p>
        </w:tc>
        <w:tc>
          <w:tcPr>
            <w:tcW w:type="dxa" w:w="1344"/>
            <w:vAlign w:val="center"/>
            <w:tcW w:w="720000" w:type="dxa"/>
            <w:shd w:val="clear" w:color="auto" w:fill="F8F7F4"/>
          </w:tcPr>
          <w:p>
            <w:pPr>
              <w:spacing w:before="60" w:after="60"/>
              <w:ind w:left="113"/>
            </w:pPr>
            <w:r>
              <w:rPr>
                <w:b w:val="0"/>
                <w:color w:val="5E5A52"/>
                <w:sz w:val="19"/>
              </w:rPr>
              <w:t>No</w:t>
            </w:r>
          </w:p>
        </w:tc>
      </w:tr>
      <w:tr>
        <w:tc>
          <w:tcPr>
            <w:tcW w:type="dxa" w:w="1344"/>
            <w:vAlign w:val="center"/>
            <w:tcW w:w="1620000" w:type="dxa"/>
          </w:tcPr>
          <w:p>
            <w:pPr>
              <w:spacing w:before="60" w:after="60"/>
              <w:ind w:left="113"/>
            </w:pPr>
            <w:r>
              <w:rPr>
                <w:b w:val="0"/>
                <w:color w:val="1A1917"/>
                <w:sz w:val="19"/>
              </w:rPr>
              <w:t>Remortgage alert</w:t>
            </w:r>
          </w:p>
        </w:tc>
        <w:tc>
          <w:tcPr>
            <w:tcW w:type="dxa" w:w="1344"/>
            <w:vAlign w:val="center"/>
            <w:tcW w:w="900000" w:type="dxa"/>
          </w:tcPr>
          <w:p>
            <w:pPr>
              <w:spacing w:before="60" w:after="60"/>
              <w:ind w:left="113"/>
            </w:pPr>
            <w:r>
              <w:rPr>
                <w:b w:val="0"/>
                <w:color w:val="5E5A52"/>
                <w:sz w:val="19"/>
              </w:rPr>
              <w:t>Yes</w:t>
            </w:r>
          </w:p>
        </w:tc>
        <w:tc>
          <w:tcPr>
            <w:tcW w:type="dxa" w:w="1344"/>
            <w:vAlign w:val="center"/>
            <w:tcW w:w="900000" w:type="dxa"/>
          </w:tcPr>
          <w:p>
            <w:pPr>
              <w:spacing w:before="60" w:after="60"/>
              <w:ind w:left="113"/>
            </w:pPr>
            <w:r>
              <w:rPr>
                <w:b w:val="0"/>
                <w:color w:val="5E5A52"/>
                <w:sz w:val="19"/>
              </w:rPr>
              <w:t>No</w:t>
            </w:r>
          </w:p>
        </w:tc>
        <w:tc>
          <w:tcPr>
            <w:tcW w:type="dxa" w:w="1344"/>
            <w:vAlign w:val="center"/>
            <w:tcW w:w="900000" w:type="dxa"/>
          </w:tcPr>
          <w:p>
            <w:pPr>
              <w:spacing w:before="60" w:after="60"/>
              <w:ind w:left="113"/>
            </w:pPr>
            <w:r>
              <w:rPr>
                <w:b w:val="0"/>
                <w:color w:val="5E5A52"/>
                <w:sz w:val="19"/>
              </w:rPr>
              <w:t>No</w:t>
            </w:r>
          </w:p>
        </w:tc>
        <w:tc>
          <w:tcPr>
            <w:tcW w:type="dxa" w:w="1344"/>
            <w:vAlign w:val="center"/>
            <w:tcW w:w="900000" w:type="dxa"/>
          </w:tcPr>
          <w:p>
            <w:pPr>
              <w:spacing w:before="60" w:after="60"/>
              <w:ind w:left="113"/>
            </w:pPr>
            <w:r>
              <w:rPr>
                <w:b w:val="0"/>
                <w:color w:val="5E5A52"/>
                <w:sz w:val="19"/>
              </w:rPr>
              <w:t>No</w:t>
            </w:r>
          </w:p>
        </w:tc>
        <w:tc>
          <w:tcPr>
            <w:tcW w:type="dxa" w:w="1344"/>
            <w:vAlign w:val="center"/>
            <w:tcW w:w="720000" w:type="dxa"/>
          </w:tcPr>
          <w:p>
            <w:pPr>
              <w:spacing w:before="60" w:after="60"/>
              <w:ind w:left="113"/>
            </w:pPr>
            <w:r>
              <w:rPr>
                <w:b w:val="0"/>
                <w:color w:val="5E5A52"/>
                <w:sz w:val="19"/>
              </w:rPr>
              <w:t>No</w:t>
            </w:r>
          </w:p>
        </w:tc>
        <w:tc>
          <w:tcPr>
            <w:tcW w:type="dxa" w:w="1344"/>
            <w:vAlign w:val="center"/>
            <w:tcW w:w="720000" w:type="dxa"/>
          </w:tcPr>
          <w:p>
            <w:pPr>
              <w:spacing w:before="60" w:after="60"/>
              <w:ind w:left="113"/>
            </w:pPr>
            <w:r>
              <w:rPr>
                <w:b w:val="0"/>
                <w:color w:val="5E5A52"/>
                <w:sz w:val="19"/>
              </w:rPr>
              <w:t>No</w:t>
            </w:r>
          </w:p>
        </w:tc>
      </w:tr>
      <w:tr>
        <w:tc>
          <w:tcPr>
            <w:tcW w:type="dxa" w:w="1344"/>
            <w:vAlign w:val="center"/>
            <w:tcW w:w="1620000" w:type="dxa"/>
            <w:shd w:val="clear" w:color="auto" w:fill="F8F7F4"/>
          </w:tcPr>
          <w:p>
            <w:pPr>
              <w:spacing w:before="60" w:after="60"/>
              <w:ind w:left="113"/>
            </w:pPr>
            <w:r>
              <w:rPr>
                <w:b w:val="0"/>
                <w:color w:val="1A1917"/>
                <w:sz w:val="19"/>
              </w:rPr>
              <w:t>EPC upgrade planner</w:t>
            </w:r>
          </w:p>
        </w:tc>
        <w:tc>
          <w:tcPr>
            <w:tcW w:type="dxa" w:w="1344"/>
            <w:vAlign w:val="center"/>
            <w:tcW w:w="900000" w:type="dxa"/>
            <w:shd w:val="clear" w:color="auto" w:fill="F8F7F4"/>
          </w:tcPr>
          <w:p>
            <w:pPr>
              <w:spacing w:before="60" w:after="60"/>
              <w:ind w:left="113"/>
            </w:pPr>
            <w:r>
              <w:rPr>
                <w:b w:val="0"/>
                <w:color w:val="5E5A52"/>
                <w:sz w:val="19"/>
              </w:rPr>
              <w:t>Yes</w:t>
            </w:r>
          </w:p>
        </w:tc>
        <w:tc>
          <w:tcPr>
            <w:tcW w:type="dxa" w:w="1344"/>
            <w:vAlign w:val="center"/>
            <w:tcW w:w="900000" w:type="dxa"/>
            <w:shd w:val="clear" w:color="auto" w:fill="F8F7F4"/>
          </w:tcPr>
          <w:p>
            <w:pPr>
              <w:spacing w:before="60" w:after="60"/>
              <w:ind w:left="113"/>
            </w:pPr>
            <w:r>
              <w:rPr>
                <w:b w:val="0"/>
                <w:color w:val="5E5A52"/>
                <w:sz w:val="19"/>
              </w:rPr>
              <w:t>No</w:t>
            </w:r>
          </w:p>
        </w:tc>
        <w:tc>
          <w:tcPr>
            <w:tcW w:type="dxa" w:w="1344"/>
            <w:vAlign w:val="center"/>
            <w:tcW w:w="900000" w:type="dxa"/>
            <w:shd w:val="clear" w:color="auto" w:fill="F8F7F4"/>
          </w:tcPr>
          <w:p>
            <w:pPr>
              <w:spacing w:before="60" w:after="60"/>
              <w:ind w:left="113"/>
            </w:pPr>
            <w:r>
              <w:rPr>
                <w:b w:val="0"/>
                <w:color w:val="5E5A52"/>
                <w:sz w:val="19"/>
              </w:rPr>
              <w:t>No</w:t>
            </w:r>
          </w:p>
        </w:tc>
        <w:tc>
          <w:tcPr>
            <w:tcW w:type="dxa" w:w="1344"/>
            <w:vAlign w:val="center"/>
            <w:tcW w:w="900000" w:type="dxa"/>
            <w:shd w:val="clear" w:color="auto" w:fill="F8F7F4"/>
          </w:tcPr>
          <w:p>
            <w:pPr>
              <w:spacing w:before="60" w:after="60"/>
              <w:ind w:left="113"/>
            </w:pPr>
            <w:r>
              <w:rPr>
                <w:b w:val="0"/>
                <w:color w:val="5E5A52"/>
                <w:sz w:val="19"/>
              </w:rPr>
              <w:t>No</w:t>
            </w:r>
          </w:p>
        </w:tc>
        <w:tc>
          <w:tcPr>
            <w:tcW w:type="dxa" w:w="1344"/>
            <w:vAlign w:val="center"/>
            <w:tcW w:w="720000" w:type="dxa"/>
            <w:shd w:val="clear" w:color="auto" w:fill="F8F7F4"/>
          </w:tcPr>
          <w:p>
            <w:pPr>
              <w:spacing w:before="60" w:after="60"/>
              <w:ind w:left="113"/>
            </w:pPr>
            <w:r>
              <w:rPr>
                <w:b w:val="0"/>
                <w:color w:val="5E5A52"/>
                <w:sz w:val="19"/>
              </w:rPr>
              <w:t>No</w:t>
            </w:r>
          </w:p>
        </w:tc>
        <w:tc>
          <w:tcPr>
            <w:tcW w:type="dxa" w:w="1344"/>
            <w:vAlign w:val="center"/>
            <w:tcW w:w="720000" w:type="dxa"/>
            <w:shd w:val="clear" w:color="auto" w:fill="F8F7F4"/>
          </w:tcPr>
          <w:p>
            <w:pPr>
              <w:spacing w:before="60" w:after="60"/>
              <w:ind w:left="113"/>
            </w:pPr>
            <w:r>
              <w:rPr>
                <w:b w:val="0"/>
                <w:color w:val="5E5A52"/>
                <w:sz w:val="19"/>
              </w:rPr>
              <w:t>No</w:t>
            </w:r>
          </w:p>
        </w:tc>
      </w:tr>
      <w:tr>
        <w:tc>
          <w:tcPr>
            <w:tcW w:type="dxa" w:w="1344"/>
            <w:vAlign w:val="center"/>
            <w:tcW w:w="1620000" w:type="dxa"/>
          </w:tcPr>
          <w:p>
            <w:pPr>
              <w:spacing w:before="60" w:after="60"/>
              <w:ind w:left="113"/>
            </w:pPr>
            <w:r>
              <w:rPr>
                <w:b w:val="0"/>
                <w:color w:val="1A1917"/>
                <w:sz w:val="19"/>
              </w:rPr>
              <w:t>Maintenance calendar</w:t>
            </w:r>
          </w:p>
        </w:tc>
        <w:tc>
          <w:tcPr>
            <w:tcW w:type="dxa" w:w="1344"/>
            <w:vAlign w:val="center"/>
            <w:tcW w:w="900000" w:type="dxa"/>
          </w:tcPr>
          <w:p>
            <w:pPr>
              <w:spacing w:before="60" w:after="60"/>
              <w:ind w:left="113"/>
            </w:pPr>
            <w:r>
              <w:rPr>
                <w:b w:val="0"/>
                <w:color w:val="5E5A52"/>
                <w:sz w:val="19"/>
              </w:rPr>
              <w:t>Yes</w:t>
            </w:r>
          </w:p>
        </w:tc>
        <w:tc>
          <w:tcPr>
            <w:tcW w:type="dxa" w:w="1344"/>
            <w:vAlign w:val="center"/>
            <w:tcW w:w="900000" w:type="dxa"/>
          </w:tcPr>
          <w:p>
            <w:pPr>
              <w:spacing w:before="60" w:after="60"/>
              <w:ind w:left="113"/>
            </w:pPr>
            <w:r>
              <w:rPr>
                <w:b w:val="0"/>
                <w:color w:val="5E5A52"/>
                <w:sz w:val="19"/>
              </w:rPr>
              <w:t>No</w:t>
            </w:r>
          </w:p>
        </w:tc>
        <w:tc>
          <w:tcPr>
            <w:tcW w:type="dxa" w:w="1344"/>
            <w:vAlign w:val="center"/>
            <w:tcW w:w="900000" w:type="dxa"/>
          </w:tcPr>
          <w:p>
            <w:pPr>
              <w:spacing w:before="60" w:after="60"/>
              <w:ind w:left="113"/>
            </w:pPr>
            <w:r>
              <w:rPr>
                <w:b w:val="0"/>
                <w:color w:val="5E5A52"/>
                <w:sz w:val="19"/>
              </w:rPr>
              <w:t>No</w:t>
            </w:r>
          </w:p>
        </w:tc>
        <w:tc>
          <w:tcPr>
            <w:tcW w:type="dxa" w:w="1344"/>
            <w:vAlign w:val="center"/>
            <w:tcW w:w="900000" w:type="dxa"/>
          </w:tcPr>
          <w:p>
            <w:pPr>
              <w:spacing w:before="60" w:after="60"/>
              <w:ind w:left="113"/>
            </w:pPr>
            <w:r>
              <w:rPr>
                <w:b w:val="0"/>
                <w:color w:val="5E5A52"/>
                <w:sz w:val="19"/>
              </w:rPr>
              <w:t>Yes</w:t>
            </w:r>
          </w:p>
        </w:tc>
        <w:tc>
          <w:tcPr>
            <w:tcW w:type="dxa" w:w="1344"/>
            <w:vAlign w:val="center"/>
            <w:tcW w:w="720000" w:type="dxa"/>
          </w:tcPr>
          <w:p>
            <w:pPr>
              <w:spacing w:before="60" w:after="60"/>
              <w:ind w:left="113"/>
            </w:pPr>
            <w:r>
              <w:rPr>
                <w:b w:val="0"/>
                <w:color w:val="5E5A52"/>
                <w:sz w:val="19"/>
              </w:rPr>
              <w:t>No</w:t>
            </w:r>
          </w:p>
        </w:tc>
        <w:tc>
          <w:tcPr>
            <w:tcW w:type="dxa" w:w="1344"/>
            <w:vAlign w:val="center"/>
            <w:tcW w:w="720000" w:type="dxa"/>
          </w:tcPr>
          <w:p>
            <w:pPr>
              <w:spacing w:before="60" w:after="60"/>
              <w:ind w:left="113"/>
            </w:pPr>
            <w:r>
              <w:rPr>
                <w:b w:val="0"/>
                <w:color w:val="5E5A52"/>
                <w:sz w:val="19"/>
              </w:rPr>
              <w:t>No</w:t>
            </w:r>
          </w:p>
        </w:tc>
      </w:tr>
      <w:tr>
        <w:tc>
          <w:tcPr>
            <w:tcW w:type="dxa" w:w="1344"/>
            <w:vAlign w:val="center"/>
            <w:tcW w:w="1620000" w:type="dxa"/>
            <w:shd w:val="clear" w:color="auto" w:fill="F8F7F4"/>
          </w:tcPr>
          <w:p>
            <w:pPr>
              <w:spacing w:before="60" w:after="60"/>
              <w:ind w:left="113"/>
            </w:pPr>
            <w:r>
              <w:rPr>
                <w:b w:val="0"/>
                <w:color w:val="1A1917"/>
                <w:sz w:val="19"/>
              </w:rPr>
              <w:t>Document vault</w:t>
            </w:r>
          </w:p>
        </w:tc>
        <w:tc>
          <w:tcPr>
            <w:tcW w:type="dxa" w:w="1344"/>
            <w:vAlign w:val="center"/>
            <w:tcW w:w="900000" w:type="dxa"/>
            <w:shd w:val="clear" w:color="auto" w:fill="F8F7F4"/>
          </w:tcPr>
          <w:p>
            <w:pPr>
              <w:spacing w:before="60" w:after="60"/>
              <w:ind w:left="113"/>
            </w:pPr>
            <w:r>
              <w:rPr>
                <w:b w:val="0"/>
                <w:color w:val="5E5A52"/>
                <w:sz w:val="19"/>
              </w:rPr>
              <w:t>Yes</w:t>
            </w:r>
          </w:p>
        </w:tc>
        <w:tc>
          <w:tcPr>
            <w:tcW w:type="dxa" w:w="1344"/>
            <w:vAlign w:val="center"/>
            <w:tcW w:w="900000" w:type="dxa"/>
            <w:shd w:val="clear" w:color="auto" w:fill="F8F7F4"/>
          </w:tcPr>
          <w:p>
            <w:pPr>
              <w:spacing w:before="60" w:after="60"/>
              <w:ind w:left="113"/>
            </w:pPr>
            <w:r>
              <w:rPr>
                <w:b w:val="0"/>
                <w:color w:val="5E5A52"/>
                <w:sz w:val="19"/>
              </w:rPr>
              <w:t>No</w:t>
            </w:r>
          </w:p>
        </w:tc>
        <w:tc>
          <w:tcPr>
            <w:tcW w:type="dxa" w:w="1344"/>
            <w:vAlign w:val="center"/>
            <w:tcW w:w="900000" w:type="dxa"/>
            <w:shd w:val="clear" w:color="auto" w:fill="F8F7F4"/>
          </w:tcPr>
          <w:p>
            <w:pPr>
              <w:spacing w:before="60" w:after="60"/>
              <w:ind w:left="113"/>
            </w:pPr>
            <w:r>
              <w:rPr>
                <w:b w:val="0"/>
                <w:color w:val="5E5A52"/>
                <w:sz w:val="19"/>
              </w:rPr>
              <w:t>No</w:t>
            </w:r>
          </w:p>
        </w:tc>
        <w:tc>
          <w:tcPr>
            <w:tcW w:type="dxa" w:w="1344"/>
            <w:vAlign w:val="center"/>
            <w:tcW w:w="900000" w:type="dxa"/>
            <w:shd w:val="clear" w:color="auto" w:fill="F8F7F4"/>
          </w:tcPr>
          <w:p>
            <w:pPr>
              <w:spacing w:before="60" w:after="60"/>
              <w:ind w:left="113"/>
            </w:pPr>
            <w:r>
              <w:rPr>
                <w:b w:val="0"/>
                <w:color w:val="5E5A52"/>
                <w:sz w:val="19"/>
              </w:rPr>
              <w:t>Yes</w:t>
            </w:r>
          </w:p>
        </w:tc>
        <w:tc>
          <w:tcPr>
            <w:tcW w:type="dxa" w:w="1344"/>
            <w:vAlign w:val="center"/>
            <w:tcW w:w="720000" w:type="dxa"/>
            <w:shd w:val="clear" w:color="auto" w:fill="F8F7F4"/>
          </w:tcPr>
          <w:p>
            <w:pPr>
              <w:spacing w:before="60" w:after="60"/>
              <w:ind w:left="113"/>
            </w:pPr>
            <w:r>
              <w:rPr>
                <w:b w:val="0"/>
                <w:color w:val="5E5A52"/>
                <w:sz w:val="19"/>
              </w:rPr>
              <w:t>No</w:t>
            </w:r>
          </w:p>
        </w:tc>
        <w:tc>
          <w:tcPr>
            <w:tcW w:type="dxa" w:w="1344"/>
            <w:vAlign w:val="center"/>
            <w:tcW w:w="720000" w:type="dxa"/>
            <w:shd w:val="clear" w:color="auto" w:fill="F8F7F4"/>
          </w:tcPr>
          <w:p>
            <w:pPr>
              <w:spacing w:before="60" w:after="60"/>
              <w:ind w:left="113"/>
            </w:pPr>
            <w:r>
              <w:rPr>
                <w:b w:val="0"/>
                <w:color w:val="5E5A52"/>
                <w:sz w:val="19"/>
              </w:rPr>
              <w:t>No</w:t>
            </w:r>
          </w:p>
        </w:tc>
      </w:tr>
      <w:tr>
        <w:tc>
          <w:tcPr>
            <w:tcW w:type="dxa" w:w="1344"/>
            <w:vAlign w:val="center"/>
            <w:tcW w:w="1620000" w:type="dxa"/>
          </w:tcPr>
          <w:p>
            <w:pPr>
              <w:spacing w:before="60" w:after="60"/>
              <w:ind w:left="113"/>
            </w:pPr>
            <w:r>
              <w:rPr>
                <w:b w:val="0"/>
                <w:color w:val="1A1917"/>
                <w:sz w:val="19"/>
              </w:rPr>
              <w:t>Pro services marketplace</w:t>
            </w:r>
          </w:p>
        </w:tc>
        <w:tc>
          <w:tcPr>
            <w:tcW w:type="dxa" w:w="1344"/>
            <w:vAlign w:val="center"/>
            <w:tcW w:w="900000" w:type="dxa"/>
          </w:tcPr>
          <w:p>
            <w:pPr>
              <w:spacing w:before="60" w:after="60"/>
              <w:ind w:left="113"/>
            </w:pPr>
            <w:r>
              <w:rPr>
                <w:b w:val="0"/>
                <w:color w:val="5E5A52"/>
                <w:sz w:val="19"/>
              </w:rPr>
              <w:t>Yes</w:t>
            </w:r>
          </w:p>
        </w:tc>
        <w:tc>
          <w:tcPr>
            <w:tcW w:type="dxa" w:w="1344"/>
            <w:vAlign w:val="center"/>
            <w:tcW w:w="900000" w:type="dxa"/>
          </w:tcPr>
          <w:p>
            <w:pPr>
              <w:spacing w:before="60" w:after="60"/>
              <w:ind w:left="113"/>
            </w:pPr>
            <w:r>
              <w:rPr>
                <w:b w:val="0"/>
                <w:color w:val="5E5A52"/>
                <w:sz w:val="19"/>
              </w:rPr>
              <w:t>No</w:t>
            </w:r>
          </w:p>
        </w:tc>
        <w:tc>
          <w:tcPr>
            <w:tcW w:type="dxa" w:w="1344"/>
            <w:vAlign w:val="center"/>
            <w:tcW w:w="900000" w:type="dxa"/>
          </w:tcPr>
          <w:p>
            <w:pPr>
              <w:spacing w:before="60" w:after="60"/>
              <w:ind w:left="113"/>
            </w:pPr>
            <w:r>
              <w:rPr>
                <w:b w:val="0"/>
                <w:color w:val="5E5A52"/>
                <w:sz w:val="19"/>
              </w:rPr>
              <w:t>No</w:t>
            </w:r>
          </w:p>
        </w:tc>
        <w:tc>
          <w:tcPr>
            <w:tcW w:type="dxa" w:w="1344"/>
            <w:vAlign w:val="center"/>
            <w:tcW w:w="900000" w:type="dxa"/>
          </w:tcPr>
          <w:p>
            <w:pPr>
              <w:spacing w:before="60" w:after="60"/>
              <w:ind w:left="113"/>
            </w:pPr>
            <w:r>
              <w:rPr>
                <w:b w:val="0"/>
                <w:color w:val="5E5A52"/>
                <w:sz w:val="19"/>
              </w:rPr>
              <w:t>No</w:t>
            </w:r>
          </w:p>
        </w:tc>
        <w:tc>
          <w:tcPr>
            <w:tcW w:type="dxa" w:w="1344"/>
            <w:vAlign w:val="center"/>
            <w:tcW w:w="720000" w:type="dxa"/>
          </w:tcPr>
          <w:p>
            <w:pPr>
              <w:spacing w:before="60" w:after="60"/>
              <w:ind w:left="113"/>
            </w:pPr>
            <w:r>
              <w:rPr>
                <w:b w:val="0"/>
                <w:color w:val="5E5A52"/>
                <w:sz w:val="19"/>
              </w:rPr>
              <w:t>No</w:t>
            </w:r>
          </w:p>
        </w:tc>
        <w:tc>
          <w:tcPr>
            <w:tcW w:type="dxa" w:w="1344"/>
            <w:vAlign w:val="center"/>
            <w:tcW w:w="720000" w:type="dxa"/>
          </w:tcPr>
          <w:p>
            <w:pPr>
              <w:spacing w:before="60" w:after="60"/>
              <w:ind w:left="113"/>
            </w:pPr>
            <w:r>
              <w:rPr>
                <w:b w:val="0"/>
                <w:color w:val="5E5A52"/>
                <w:sz w:val="19"/>
              </w:rPr>
              <w:t>No</w:t>
            </w:r>
          </w:p>
        </w:tc>
      </w:tr>
      <w:tr>
        <w:tc>
          <w:tcPr>
            <w:tcW w:type="dxa" w:w="1344"/>
            <w:vAlign w:val="center"/>
            <w:tcW w:w="1620000" w:type="dxa"/>
            <w:shd w:val="clear" w:color="auto" w:fill="F8F7F4"/>
          </w:tcPr>
          <w:p>
            <w:pPr>
              <w:spacing w:before="60" w:after="60"/>
              <w:ind w:left="113"/>
            </w:pPr>
            <w:r>
              <w:rPr>
                <w:b w:val="0"/>
                <w:color w:val="1A1917"/>
                <w:sz w:val="19"/>
              </w:rPr>
              <w:t>Role-aware personalisation</w:t>
            </w:r>
          </w:p>
        </w:tc>
        <w:tc>
          <w:tcPr>
            <w:tcW w:type="dxa" w:w="1344"/>
            <w:vAlign w:val="center"/>
            <w:tcW w:w="900000" w:type="dxa"/>
            <w:shd w:val="clear" w:color="auto" w:fill="F8F7F4"/>
          </w:tcPr>
          <w:p>
            <w:pPr>
              <w:spacing w:before="60" w:after="60"/>
              <w:ind w:left="113"/>
            </w:pPr>
            <w:r>
              <w:rPr>
                <w:b w:val="0"/>
                <w:color w:val="5E5A52"/>
                <w:sz w:val="19"/>
              </w:rPr>
              <w:t>Yes</w:t>
            </w:r>
          </w:p>
        </w:tc>
        <w:tc>
          <w:tcPr>
            <w:tcW w:type="dxa" w:w="1344"/>
            <w:vAlign w:val="center"/>
            <w:tcW w:w="900000" w:type="dxa"/>
            <w:shd w:val="clear" w:color="auto" w:fill="F8F7F4"/>
          </w:tcPr>
          <w:p>
            <w:pPr>
              <w:spacing w:before="60" w:after="60"/>
              <w:ind w:left="113"/>
            </w:pPr>
            <w:r>
              <w:rPr>
                <w:b w:val="0"/>
                <w:color w:val="5E5A52"/>
                <w:sz w:val="19"/>
              </w:rPr>
              <w:t>No</w:t>
            </w:r>
          </w:p>
        </w:tc>
        <w:tc>
          <w:tcPr>
            <w:tcW w:type="dxa" w:w="1344"/>
            <w:vAlign w:val="center"/>
            <w:tcW w:w="900000" w:type="dxa"/>
            <w:shd w:val="clear" w:color="auto" w:fill="F8F7F4"/>
          </w:tcPr>
          <w:p>
            <w:pPr>
              <w:spacing w:before="60" w:after="60"/>
              <w:ind w:left="113"/>
            </w:pPr>
            <w:r>
              <w:rPr>
                <w:b w:val="0"/>
                <w:color w:val="5E5A52"/>
                <w:sz w:val="19"/>
              </w:rPr>
              <w:t>No</w:t>
            </w:r>
          </w:p>
        </w:tc>
        <w:tc>
          <w:tcPr>
            <w:tcW w:type="dxa" w:w="1344"/>
            <w:vAlign w:val="center"/>
            <w:tcW w:w="900000" w:type="dxa"/>
            <w:shd w:val="clear" w:color="auto" w:fill="F8F7F4"/>
          </w:tcPr>
          <w:p>
            <w:pPr>
              <w:spacing w:before="60" w:after="60"/>
              <w:ind w:left="113"/>
            </w:pPr>
            <w:r>
              <w:rPr>
                <w:b w:val="0"/>
                <w:color w:val="5E5A52"/>
                <w:sz w:val="19"/>
              </w:rPr>
              <w:t>No</w:t>
            </w:r>
          </w:p>
        </w:tc>
        <w:tc>
          <w:tcPr>
            <w:tcW w:type="dxa" w:w="1344"/>
            <w:vAlign w:val="center"/>
            <w:tcW w:w="720000" w:type="dxa"/>
            <w:shd w:val="clear" w:color="auto" w:fill="F8F7F4"/>
          </w:tcPr>
          <w:p>
            <w:pPr>
              <w:spacing w:before="60" w:after="60"/>
              <w:ind w:left="113"/>
            </w:pPr>
            <w:r>
              <w:rPr>
                <w:b w:val="0"/>
                <w:color w:val="5E5A52"/>
                <w:sz w:val="19"/>
              </w:rPr>
              <w:t>No</w:t>
            </w:r>
          </w:p>
        </w:tc>
        <w:tc>
          <w:tcPr>
            <w:tcW w:type="dxa" w:w="1344"/>
            <w:vAlign w:val="center"/>
            <w:tcW w:w="720000" w:type="dxa"/>
            <w:shd w:val="clear" w:color="auto" w:fill="F8F7F4"/>
          </w:tcPr>
          <w:p>
            <w:pPr>
              <w:spacing w:before="60" w:after="60"/>
              <w:ind w:left="113"/>
            </w:pPr>
            <w:r>
              <w:rPr>
                <w:b w:val="0"/>
                <w:color w:val="5E5A52"/>
                <w:sz w:val="19"/>
              </w:rPr>
              <w:t>No</w:t>
            </w:r>
          </w:p>
        </w:tc>
      </w:tr>
      <w:tr>
        <w:tc>
          <w:tcPr>
            <w:tcW w:type="dxa" w:w="1344"/>
            <w:vAlign w:val="center"/>
            <w:tcW w:w="1620000" w:type="dxa"/>
          </w:tcPr>
          <w:p>
            <w:pPr>
              <w:spacing w:before="60" w:after="60"/>
              <w:ind w:left="113"/>
            </w:pPr>
            <w:r>
              <w:rPr>
                <w:b w:val="0"/>
                <w:color w:val="1A1917"/>
                <w:sz w:val="19"/>
              </w:rPr>
              <w:t>Subscription model</w:t>
            </w:r>
          </w:p>
        </w:tc>
        <w:tc>
          <w:tcPr>
            <w:tcW w:type="dxa" w:w="1344"/>
            <w:vAlign w:val="center"/>
            <w:tcW w:w="900000" w:type="dxa"/>
          </w:tcPr>
          <w:p>
            <w:pPr>
              <w:spacing w:before="60" w:after="60"/>
              <w:ind w:left="113"/>
            </w:pPr>
            <w:r>
              <w:rPr>
                <w:b w:val="0"/>
                <w:color w:val="5E5A52"/>
                <w:sz w:val="19"/>
              </w:rPr>
              <w:t>Yes</w:t>
            </w:r>
          </w:p>
        </w:tc>
        <w:tc>
          <w:tcPr>
            <w:tcW w:type="dxa" w:w="1344"/>
            <w:vAlign w:val="center"/>
            <w:tcW w:w="900000" w:type="dxa"/>
          </w:tcPr>
          <w:p>
            <w:pPr>
              <w:spacing w:before="60" w:after="60"/>
              <w:ind w:left="113"/>
            </w:pPr>
            <w:r>
              <w:rPr>
                <w:b w:val="0"/>
                <w:color w:val="5E5A52"/>
                <w:sz w:val="19"/>
              </w:rPr>
              <w:t>No</w:t>
            </w:r>
          </w:p>
        </w:tc>
        <w:tc>
          <w:tcPr>
            <w:tcW w:type="dxa" w:w="1344"/>
            <w:vAlign w:val="center"/>
            <w:tcW w:w="900000" w:type="dxa"/>
          </w:tcPr>
          <w:p>
            <w:pPr>
              <w:spacing w:before="60" w:after="60"/>
              <w:ind w:left="113"/>
            </w:pPr>
            <w:r>
              <w:rPr>
                <w:b w:val="0"/>
                <w:color w:val="5E5A52"/>
                <w:sz w:val="19"/>
              </w:rPr>
              <w:t>No</w:t>
            </w:r>
          </w:p>
        </w:tc>
        <w:tc>
          <w:tcPr>
            <w:tcW w:type="dxa" w:w="1344"/>
            <w:vAlign w:val="center"/>
            <w:tcW w:w="900000" w:type="dxa"/>
          </w:tcPr>
          <w:p>
            <w:pPr>
              <w:spacing w:before="60" w:after="60"/>
              <w:ind w:left="113"/>
            </w:pPr>
            <w:r>
              <w:rPr>
                <w:b w:val="0"/>
                <w:color w:val="5E5A52"/>
                <w:sz w:val="19"/>
              </w:rPr>
              <w:t>Yes</w:t>
            </w:r>
          </w:p>
        </w:tc>
        <w:tc>
          <w:tcPr>
            <w:tcW w:type="dxa" w:w="1344"/>
            <w:vAlign w:val="center"/>
            <w:tcW w:w="720000" w:type="dxa"/>
          </w:tcPr>
          <w:p>
            <w:pPr>
              <w:spacing w:before="60" w:after="60"/>
              <w:ind w:left="113"/>
            </w:pPr>
            <w:r>
              <w:rPr>
                <w:b w:val="0"/>
                <w:color w:val="5E5A52"/>
                <w:sz w:val="19"/>
              </w:rPr>
              <w:t>Yes</w:t>
            </w:r>
          </w:p>
        </w:tc>
        <w:tc>
          <w:tcPr>
            <w:tcW w:type="dxa" w:w="1344"/>
            <w:vAlign w:val="center"/>
            <w:tcW w:w="720000" w:type="dxa"/>
          </w:tcPr>
          <w:p>
            <w:pPr>
              <w:spacing w:before="60" w:after="60"/>
              <w:ind w:left="113"/>
            </w:pPr>
            <w:r>
              <w:rPr>
                <w:b w:val="0"/>
                <w:color w:val="5E5A52"/>
                <w:sz w:val="19"/>
              </w:rPr>
              <w:t>No</w:t>
            </w:r>
          </w:p>
        </w:tc>
      </w:tr>
      <w:tr>
        <w:tc>
          <w:tcPr>
            <w:tcW w:type="dxa" w:w="1344"/>
            <w:vAlign w:val="center"/>
            <w:tcW w:w="1620000" w:type="dxa"/>
            <w:shd w:val="clear" w:color="auto" w:fill="F8F7F4"/>
          </w:tcPr>
          <w:p>
            <w:pPr>
              <w:spacing w:before="60" w:after="60"/>
              <w:ind w:left="113"/>
            </w:pPr>
            <w:r>
              <w:rPr>
                <w:b w:val="0"/>
                <w:color w:val="1A1917"/>
                <w:sz w:val="19"/>
              </w:rPr>
              <w:t>B2B white-label API</w:t>
            </w:r>
          </w:p>
        </w:tc>
        <w:tc>
          <w:tcPr>
            <w:tcW w:type="dxa" w:w="1344"/>
            <w:vAlign w:val="center"/>
            <w:tcW w:w="900000" w:type="dxa"/>
            <w:shd w:val="clear" w:color="auto" w:fill="F8F7F4"/>
          </w:tcPr>
          <w:p>
            <w:pPr>
              <w:spacing w:before="60" w:after="60"/>
              <w:ind w:left="113"/>
            </w:pPr>
            <w:r>
              <w:rPr>
                <w:b w:val="0"/>
                <w:color w:val="5E5A52"/>
                <w:sz w:val="19"/>
              </w:rPr>
              <w:t>H3 roadmap</w:t>
            </w:r>
          </w:p>
        </w:tc>
        <w:tc>
          <w:tcPr>
            <w:tcW w:type="dxa" w:w="1344"/>
            <w:vAlign w:val="center"/>
            <w:tcW w:w="900000" w:type="dxa"/>
            <w:shd w:val="clear" w:color="auto" w:fill="F8F7F4"/>
          </w:tcPr>
          <w:p>
            <w:pPr>
              <w:spacing w:before="60" w:after="60"/>
              <w:ind w:left="113"/>
            </w:pPr>
            <w:r>
              <w:rPr>
                <w:b w:val="0"/>
                <w:color w:val="5E5A52"/>
                <w:sz w:val="19"/>
              </w:rPr>
              <w:t>No</w:t>
            </w:r>
          </w:p>
        </w:tc>
        <w:tc>
          <w:tcPr>
            <w:tcW w:type="dxa" w:w="1344"/>
            <w:vAlign w:val="center"/>
            <w:tcW w:w="900000" w:type="dxa"/>
            <w:shd w:val="clear" w:color="auto" w:fill="F8F7F4"/>
          </w:tcPr>
          <w:p>
            <w:pPr>
              <w:spacing w:before="60" w:after="60"/>
              <w:ind w:left="113"/>
            </w:pPr>
            <w:r>
              <w:rPr>
                <w:b w:val="0"/>
                <w:color w:val="5E5A52"/>
                <w:sz w:val="19"/>
              </w:rPr>
              <w:t>No</w:t>
            </w:r>
          </w:p>
        </w:tc>
        <w:tc>
          <w:tcPr>
            <w:tcW w:type="dxa" w:w="1344"/>
            <w:vAlign w:val="center"/>
            <w:tcW w:w="900000" w:type="dxa"/>
            <w:shd w:val="clear" w:color="auto" w:fill="F8F7F4"/>
          </w:tcPr>
          <w:p>
            <w:pPr>
              <w:spacing w:before="60" w:after="60"/>
              <w:ind w:left="113"/>
            </w:pPr>
            <w:r>
              <w:rPr>
                <w:b w:val="0"/>
                <w:color w:val="5E5A52"/>
                <w:sz w:val="19"/>
              </w:rPr>
              <w:t>No</w:t>
            </w:r>
          </w:p>
        </w:tc>
        <w:tc>
          <w:tcPr>
            <w:tcW w:type="dxa" w:w="1344"/>
            <w:vAlign w:val="center"/>
            <w:tcW w:w="720000" w:type="dxa"/>
            <w:shd w:val="clear" w:color="auto" w:fill="F8F7F4"/>
          </w:tcPr>
          <w:p>
            <w:pPr>
              <w:spacing w:before="60" w:after="60"/>
              <w:ind w:left="113"/>
            </w:pPr>
            <w:r>
              <w:rPr>
                <w:b w:val="0"/>
                <w:color w:val="5E5A52"/>
                <w:sz w:val="19"/>
              </w:rPr>
              <w:t>Yes</w:t>
            </w:r>
          </w:p>
        </w:tc>
        <w:tc>
          <w:tcPr>
            <w:tcW w:type="dxa" w:w="1344"/>
            <w:vAlign w:val="center"/>
            <w:tcW w:w="720000" w:type="dxa"/>
            <w:shd w:val="clear" w:color="auto" w:fill="F8F7F4"/>
          </w:tcPr>
          <w:p>
            <w:pPr>
              <w:spacing w:before="60" w:after="60"/>
              <w:ind w:left="113"/>
            </w:pPr>
            <w:r>
              <w:rPr>
                <w:b w:val="0"/>
                <w:color w:val="5E5A52"/>
                <w:sz w:val="19"/>
              </w:rPr>
              <w:t>No</w:t>
            </w:r>
          </w:p>
        </w:tc>
      </w:tr>
    </w:tbl>
    <w:p/>
    <w:p>
      <w:pPr>
        <w:spacing w:before="160" w:after="160"/>
        <w:pBdr>
          <w:bottom w:val="single" w:sz="4" w:space="1" w:color="D1CEC8"/>
        </w:pBdr>
      </w:pPr>
    </w:p>
    <w:p>
      <w:pPr>
        <w:pStyle w:val="Heading1"/>
        <w:spacing w:before="400" w:after="120"/>
      </w:pPr>
      <w:r>
        <w:rPr>
          <w:color w:val="1D9E75"/>
          <w:sz w:val="32"/>
        </w:rPr>
        <w:t>35. Competitive Edge</w:t>
      </w:r>
    </w:p>
    <w:p>
      <w:pPr>
        <w:pStyle w:val="ListBullet"/>
        <w:spacing w:after="60"/>
        <w:ind w:left="283"/>
      </w:pPr>
      <w:r>
        <w:rPr>
          <w:color w:val="5E5A52"/>
          <w:sz w:val="21"/>
        </w:rPr>
        <w:t>Breadth: PropPilot is the only platform combining five live data checks + calculators + checklists + owner dashboard + professional services marketplace in one product.</w:t>
      </w:r>
    </w:p>
    <w:p>
      <w:pPr>
        <w:pStyle w:val="ListBullet"/>
        <w:spacing w:after="60"/>
        <w:ind w:left="283"/>
      </w:pPr>
      <w:r>
        <w:rPr>
          <w:color w:val="5E5A52"/>
          <w:sz w:val="21"/>
        </w:rPr>
        <w:t>Depth: Each check goes deeper than competitors. The flood risk check queries active warnings AND flood area count. The crime check provides category-level breakdown with percentage bar charts, not just a total count.</w:t>
      </w:r>
    </w:p>
    <w:p>
      <w:pPr>
        <w:pStyle w:val="ListBullet"/>
        <w:spacing w:after="60"/>
        <w:ind w:left="283"/>
      </w:pPr>
      <w:r>
        <w:rPr>
          <w:color w:val="5E5A52"/>
          <w:sz w:val="21"/>
        </w:rPr>
        <w:t>Personalisation: The role-based architecture (HomeBuyer vs. HomeOwner) means users never see irrelevant features. This is a UX advantage no competitor currently offers.</w:t>
      </w:r>
    </w:p>
    <w:p>
      <w:pPr>
        <w:pStyle w:val="ListBullet"/>
        <w:spacing w:after="60"/>
        <w:ind w:left="283"/>
      </w:pPr>
      <w:r>
        <w:rPr>
          <w:color w:val="5E5A52"/>
          <w:sz w:val="21"/>
        </w:rPr>
        <w:t>Pricing: PropPilot HomeOwner Pro at £9/month and HomeBuyer Pro at £19/month are dramatically cheaper than the pay-per-report alternatives (HomeCheck charges £29.99 for a single comparable report).</w:t>
      </w:r>
    </w:p>
    <w:p>
      <w:pPr>
        <w:pStyle w:val="ListBullet"/>
        <w:spacing w:after="60"/>
        <w:ind w:left="283"/>
      </w:pPr>
      <w:r>
        <w:rPr>
          <w:color w:val="5E5A52"/>
          <w:sz w:val="21"/>
        </w:rPr>
        <w:t>Marketplace margin: PropPilot earns commission on professional services (10-15%) — a revenue stream no data-only competitor has built.</w:t>
      </w:r>
    </w:p>
    <w:p>
      <w:pPr>
        <w:pStyle w:val="ListBullet"/>
        <w:spacing w:after="60"/>
        <w:ind w:left="283"/>
      </w:pPr>
      <w:r>
        <w:rPr>
          <w:color w:val="5E5A52"/>
          <w:sz w:val="21"/>
        </w:rPr>
        <w:t>Open data infrastructure: Built on entirely free-to-access UK government APIs. Zero proprietary data licensing cost means structural gross margin advantage over any competitor that pays for data.</w:t>
      </w:r>
    </w:p>
    <w:p>
      <w:pPr>
        <w:spacing w:before="160" w:after="160"/>
        <w:pBdr>
          <w:bottom w:val="single" w:sz="4" w:space="1" w:color="D1CEC8"/>
        </w:pBdr>
      </w:pPr>
    </w:p>
    <w:p>
      <w:pPr>
        <w:pStyle w:val="Heading1"/>
        <w:spacing w:before="400" w:after="120"/>
      </w:pPr>
      <w:r>
        <w:rPr>
          <w:color w:val="1D9E75"/>
          <w:sz w:val="32"/>
        </w:rPr>
        <w:t>36. Revenue Streams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vAlign w:val="center"/>
            <w:tcW w:w="1620000" w:type="dxa"/>
            <w:shd w:val="clear" w:color="auto" w:fill="1D9E75"/>
          </w:tcPr>
          <w:p>
            <w:pPr>
              <w:spacing w:before="60" w:after="60"/>
              <w:ind w:left="113"/>
            </w:pPr>
            <w:r>
              <w:rPr>
                <w:b/>
                <w:color w:val="FFFFFF"/>
                <w:sz w:val="19"/>
              </w:rPr>
              <w:t>Stream</w:t>
            </w:r>
          </w:p>
        </w:tc>
        <w:tc>
          <w:tcPr>
            <w:tcW w:type="dxa" w:w="1881"/>
            <w:vAlign w:val="center"/>
            <w:tcW w:w="1080000" w:type="dxa"/>
            <w:shd w:val="clear" w:color="auto" w:fill="1D9E75"/>
          </w:tcPr>
          <w:p>
            <w:pPr>
              <w:spacing w:before="60" w:after="60"/>
              <w:ind w:left="113"/>
            </w:pPr>
            <w:r>
              <w:rPr>
                <w:b/>
                <w:color w:val="FFFFFF"/>
                <w:sz w:val="19"/>
              </w:rPr>
              <w:t>Model</w:t>
            </w:r>
          </w:p>
        </w:tc>
        <w:tc>
          <w:tcPr>
            <w:tcW w:type="dxa" w:w="1881"/>
            <w:vAlign w:val="center"/>
            <w:tcW w:w="1260000" w:type="dxa"/>
            <w:shd w:val="clear" w:color="auto" w:fill="1D9E75"/>
          </w:tcPr>
          <w:p>
            <w:pPr>
              <w:spacing w:before="60" w:after="60"/>
              <w:ind w:left="113"/>
            </w:pPr>
            <w:r>
              <w:rPr>
                <w:b/>
                <w:color w:val="FFFFFF"/>
                <w:sz w:val="19"/>
              </w:rPr>
              <w:t>Price</w:t>
            </w:r>
          </w:p>
        </w:tc>
        <w:tc>
          <w:tcPr>
            <w:tcW w:type="dxa" w:w="1881"/>
            <w:vAlign w:val="center"/>
            <w:tcW w:w="1080000" w:type="dxa"/>
            <w:shd w:val="clear" w:color="auto" w:fill="1D9E75"/>
          </w:tcPr>
          <w:p>
            <w:pPr>
              <w:spacing w:before="60" w:after="60"/>
              <w:ind w:left="113"/>
            </w:pPr>
            <w:r>
              <w:rPr>
                <w:b/>
                <w:color w:val="FFFFFF"/>
                <w:sz w:val="19"/>
              </w:rPr>
              <w:t>Target margin</w:t>
            </w:r>
          </w:p>
        </w:tc>
        <w:tc>
          <w:tcPr>
            <w:tcW w:type="dxa" w:w="1881"/>
            <w:vAlign w:val="center"/>
            <w:tcW w:w="720000" w:type="dxa"/>
            <w:shd w:val="clear" w:color="auto" w:fill="1D9E75"/>
          </w:tcPr>
          <w:p>
            <w:pPr>
              <w:spacing w:before="60" w:after="60"/>
              <w:ind w:left="113"/>
            </w:pPr>
            <w:r>
              <w:rPr>
                <w:b/>
                <w:color w:val="FFFFFF"/>
                <w:sz w:val="19"/>
              </w:rPr>
              <w:t>Timeline</w:t>
            </w:r>
          </w:p>
        </w:tc>
      </w:tr>
      <w:tr>
        <w:tc>
          <w:tcPr>
            <w:tcW w:type="dxa" w:w="1881"/>
            <w:vAlign w:val="center"/>
            <w:tcW w:w="1620000" w:type="dxa"/>
          </w:tcPr>
          <w:p>
            <w:pPr>
              <w:spacing w:before="60" w:after="60"/>
              <w:ind w:left="113"/>
            </w:pPr>
            <w:r>
              <w:rPr>
                <w:b w:val="0"/>
                <w:color w:val="1A1917"/>
                <w:sz w:val="19"/>
              </w:rPr>
              <w:t>HomeBuyer Pro subscription</w:t>
            </w:r>
          </w:p>
        </w:tc>
        <w:tc>
          <w:tcPr>
            <w:tcW w:type="dxa" w:w="1881"/>
            <w:vAlign w:val="center"/>
            <w:tcW w:w="1080000" w:type="dxa"/>
          </w:tcPr>
          <w:p>
            <w:pPr>
              <w:spacing w:before="60" w:after="60"/>
              <w:ind w:left="113"/>
            </w:pPr>
            <w:r>
              <w:rPr>
                <w:b w:val="0"/>
                <w:color w:val="5E5A52"/>
                <w:sz w:val="19"/>
              </w:rPr>
              <w:t>Monthly SaaS</w:t>
            </w:r>
          </w:p>
        </w:tc>
        <w:tc>
          <w:tcPr>
            <w:tcW w:type="dxa" w:w="1881"/>
            <w:vAlign w:val="center"/>
            <w:tcW w:w="1260000" w:type="dxa"/>
          </w:tcPr>
          <w:p>
            <w:pPr>
              <w:spacing w:before="60" w:after="60"/>
              <w:ind w:left="113"/>
            </w:pPr>
            <w:r>
              <w:rPr>
                <w:b w:val="0"/>
                <w:color w:val="5E5A52"/>
                <w:sz w:val="19"/>
              </w:rPr>
              <w:t>£19/month</w:t>
            </w:r>
          </w:p>
        </w:tc>
        <w:tc>
          <w:tcPr>
            <w:tcW w:type="dxa" w:w="1881"/>
            <w:vAlign w:val="center"/>
            <w:tcW w:w="1080000" w:type="dxa"/>
          </w:tcPr>
          <w:p>
            <w:pPr>
              <w:spacing w:before="60" w:after="60"/>
              <w:ind w:left="113"/>
            </w:pPr>
            <w:r>
              <w:rPr>
                <w:b w:val="0"/>
                <w:color w:val="5E5A52"/>
                <w:sz w:val="19"/>
              </w:rPr>
              <w:t>85%</w:t>
            </w:r>
          </w:p>
        </w:tc>
        <w:tc>
          <w:tcPr>
            <w:tcW w:type="dxa" w:w="1881"/>
            <w:vAlign w:val="center"/>
            <w:tcW w:w="720000" w:type="dxa"/>
          </w:tcPr>
          <w:p>
            <w:pPr>
              <w:spacing w:before="60" w:after="60"/>
              <w:ind w:left="113"/>
            </w:pPr>
            <w:r>
              <w:rPr>
                <w:b w:val="0"/>
                <w:color w:val="5E5A52"/>
                <w:sz w:val="19"/>
              </w:rPr>
              <w:t>H1</w:t>
            </w:r>
          </w:p>
        </w:tc>
      </w:tr>
      <w:tr>
        <w:tc>
          <w:tcPr>
            <w:tcW w:type="dxa" w:w="1881"/>
            <w:vAlign w:val="center"/>
            <w:tcW w:w="1620000" w:type="dxa"/>
            <w:shd w:val="clear" w:color="auto" w:fill="F8F7F4"/>
          </w:tcPr>
          <w:p>
            <w:pPr>
              <w:spacing w:before="60" w:after="60"/>
              <w:ind w:left="113"/>
            </w:pPr>
            <w:r>
              <w:rPr>
                <w:b w:val="0"/>
                <w:color w:val="1A1917"/>
                <w:sz w:val="19"/>
              </w:rPr>
              <w:t>HomeBuyer Enterprise sub.</w:t>
            </w:r>
          </w:p>
        </w:tc>
        <w:tc>
          <w:tcPr>
            <w:tcW w:type="dxa" w:w="1881"/>
            <w:vAlign w:val="center"/>
            <w:tcW w:w="1080000" w:type="dxa"/>
            <w:shd w:val="clear" w:color="auto" w:fill="F8F7F4"/>
          </w:tcPr>
          <w:p>
            <w:pPr>
              <w:spacing w:before="60" w:after="60"/>
              <w:ind w:left="113"/>
            </w:pPr>
            <w:r>
              <w:rPr>
                <w:b w:val="0"/>
                <w:color w:val="5E5A52"/>
                <w:sz w:val="19"/>
              </w:rPr>
              <w:t>Monthly SaaS</w:t>
            </w:r>
          </w:p>
        </w:tc>
        <w:tc>
          <w:tcPr>
            <w:tcW w:type="dxa" w:w="1881"/>
            <w:vAlign w:val="center"/>
            <w:tcW w:w="1260000" w:type="dxa"/>
            <w:shd w:val="clear" w:color="auto" w:fill="F8F7F4"/>
          </w:tcPr>
          <w:p>
            <w:pPr>
              <w:spacing w:before="60" w:after="60"/>
              <w:ind w:left="113"/>
            </w:pPr>
            <w:r>
              <w:rPr>
                <w:b w:val="0"/>
                <w:color w:val="5E5A52"/>
                <w:sz w:val="19"/>
              </w:rPr>
              <w:t>£79/month</w:t>
            </w:r>
          </w:p>
        </w:tc>
        <w:tc>
          <w:tcPr>
            <w:tcW w:type="dxa" w:w="1881"/>
            <w:vAlign w:val="center"/>
            <w:tcW w:w="1080000" w:type="dxa"/>
            <w:shd w:val="clear" w:color="auto" w:fill="F8F7F4"/>
          </w:tcPr>
          <w:p>
            <w:pPr>
              <w:spacing w:before="60" w:after="60"/>
              <w:ind w:left="113"/>
            </w:pPr>
            <w:r>
              <w:rPr>
                <w:b w:val="0"/>
                <w:color w:val="5E5A52"/>
                <w:sz w:val="19"/>
              </w:rPr>
              <w:t>85%</w:t>
            </w:r>
          </w:p>
        </w:tc>
        <w:tc>
          <w:tcPr>
            <w:tcW w:type="dxa" w:w="1881"/>
            <w:vAlign w:val="center"/>
            <w:tcW w:w="720000" w:type="dxa"/>
            <w:shd w:val="clear" w:color="auto" w:fill="F8F7F4"/>
          </w:tcPr>
          <w:p>
            <w:pPr>
              <w:spacing w:before="60" w:after="60"/>
              <w:ind w:left="113"/>
            </w:pPr>
            <w:r>
              <w:rPr>
                <w:b w:val="0"/>
                <w:color w:val="5E5A52"/>
                <w:sz w:val="19"/>
              </w:rPr>
              <w:t>H1</w:t>
            </w:r>
          </w:p>
        </w:tc>
      </w:tr>
      <w:tr>
        <w:tc>
          <w:tcPr>
            <w:tcW w:type="dxa" w:w="1881"/>
            <w:vAlign w:val="center"/>
            <w:tcW w:w="1620000" w:type="dxa"/>
          </w:tcPr>
          <w:p>
            <w:pPr>
              <w:spacing w:before="60" w:after="60"/>
              <w:ind w:left="113"/>
            </w:pPr>
            <w:r>
              <w:rPr>
                <w:b w:val="0"/>
                <w:color w:val="1A1917"/>
                <w:sz w:val="19"/>
              </w:rPr>
              <w:t>HomeOwner Pro subscription</w:t>
            </w:r>
          </w:p>
        </w:tc>
        <w:tc>
          <w:tcPr>
            <w:tcW w:type="dxa" w:w="1881"/>
            <w:vAlign w:val="center"/>
            <w:tcW w:w="1080000" w:type="dxa"/>
          </w:tcPr>
          <w:p>
            <w:pPr>
              <w:spacing w:before="60" w:after="60"/>
              <w:ind w:left="113"/>
            </w:pPr>
            <w:r>
              <w:rPr>
                <w:b w:val="0"/>
                <w:color w:val="5E5A52"/>
                <w:sz w:val="19"/>
              </w:rPr>
              <w:t>Monthly SaaS</w:t>
            </w:r>
          </w:p>
        </w:tc>
        <w:tc>
          <w:tcPr>
            <w:tcW w:type="dxa" w:w="1881"/>
            <w:vAlign w:val="center"/>
            <w:tcW w:w="1260000" w:type="dxa"/>
          </w:tcPr>
          <w:p>
            <w:pPr>
              <w:spacing w:before="60" w:after="60"/>
              <w:ind w:left="113"/>
            </w:pPr>
            <w:r>
              <w:rPr>
                <w:b w:val="0"/>
                <w:color w:val="5E5A52"/>
                <w:sz w:val="19"/>
              </w:rPr>
              <w:t>£9/month</w:t>
            </w:r>
          </w:p>
        </w:tc>
        <w:tc>
          <w:tcPr>
            <w:tcW w:type="dxa" w:w="1881"/>
            <w:vAlign w:val="center"/>
            <w:tcW w:w="1080000" w:type="dxa"/>
          </w:tcPr>
          <w:p>
            <w:pPr>
              <w:spacing w:before="60" w:after="60"/>
              <w:ind w:left="113"/>
            </w:pPr>
            <w:r>
              <w:rPr>
                <w:b w:val="0"/>
                <w:color w:val="5E5A52"/>
                <w:sz w:val="19"/>
              </w:rPr>
              <w:t>85%</w:t>
            </w:r>
          </w:p>
        </w:tc>
        <w:tc>
          <w:tcPr>
            <w:tcW w:type="dxa" w:w="1881"/>
            <w:vAlign w:val="center"/>
            <w:tcW w:w="720000" w:type="dxa"/>
          </w:tcPr>
          <w:p>
            <w:pPr>
              <w:spacing w:before="60" w:after="60"/>
              <w:ind w:left="113"/>
            </w:pPr>
            <w:r>
              <w:rPr>
                <w:b w:val="0"/>
                <w:color w:val="5E5A52"/>
                <w:sz w:val="19"/>
              </w:rPr>
              <w:t>H1</w:t>
            </w:r>
          </w:p>
        </w:tc>
      </w:tr>
      <w:tr>
        <w:tc>
          <w:tcPr>
            <w:tcW w:type="dxa" w:w="1881"/>
            <w:vAlign w:val="center"/>
            <w:tcW w:w="1620000" w:type="dxa"/>
            <w:shd w:val="clear" w:color="auto" w:fill="F8F7F4"/>
          </w:tcPr>
          <w:p>
            <w:pPr>
              <w:spacing w:before="60" w:after="60"/>
              <w:ind w:left="113"/>
            </w:pPr>
            <w:r>
              <w:rPr>
                <w:b w:val="0"/>
                <w:color w:val="1A1917"/>
                <w:sz w:val="19"/>
              </w:rPr>
              <w:t>HomeOwner Enterprise sub.</w:t>
            </w:r>
          </w:p>
        </w:tc>
        <w:tc>
          <w:tcPr>
            <w:tcW w:type="dxa" w:w="1881"/>
            <w:vAlign w:val="center"/>
            <w:tcW w:w="1080000" w:type="dxa"/>
            <w:shd w:val="clear" w:color="auto" w:fill="F8F7F4"/>
          </w:tcPr>
          <w:p>
            <w:pPr>
              <w:spacing w:before="60" w:after="60"/>
              <w:ind w:left="113"/>
            </w:pPr>
            <w:r>
              <w:rPr>
                <w:b w:val="0"/>
                <w:color w:val="5E5A52"/>
                <w:sz w:val="19"/>
              </w:rPr>
              <w:t>Monthly SaaS</w:t>
            </w:r>
          </w:p>
        </w:tc>
        <w:tc>
          <w:tcPr>
            <w:tcW w:type="dxa" w:w="1881"/>
            <w:vAlign w:val="center"/>
            <w:tcW w:w="1260000" w:type="dxa"/>
            <w:shd w:val="clear" w:color="auto" w:fill="F8F7F4"/>
          </w:tcPr>
          <w:p>
            <w:pPr>
              <w:spacing w:before="60" w:after="60"/>
              <w:ind w:left="113"/>
            </w:pPr>
            <w:r>
              <w:rPr>
                <w:b w:val="0"/>
                <w:color w:val="5E5A52"/>
                <w:sz w:val="19"/>
              </w:rPr>
              <w:t>£29/month</w:t>
            </w:r>
          </w:p>
        </w:tc>
        <w:tc>
          <w:tcPr>
            <w:tcW w:type="dxa" w:w="1881"/>
            <w:vAlign w:val="center"/>
            <w:tcW w:w="1080000" w:type="dxa"/>
            <w:shd w:val="clear" w:color="auto" w:fill="F8F7F4"/>
          </w:tcPr>
          <w:p>
            <w:pPr>
              <w:spacing w:before="60" w:after="60"/>
              <w:ind w:left="113"/>
            </w:pPr>
            <w:r>
              <w:rPr>
                <w:b w:val="0"/>
                <w:color w:val="5E5A52"/>
                <w:sz w:val="19"/>
              </w:rPr>
              <w:t>85%</w:t>
            </w:r>
          </w:p>
        </w:tc>
        <w:tc>
          <w:tcPr>
            <w:tcW w:type="dxa" w:w="1881"/>
            <w:vAlign w:val="center"/>
            <w:tcW w:w="720000" w:type="dxa"/>
            <w:shd w:val="clear" w:color="auto" w:fill="F8F7F4"/>
          </w:tcPr>
          <w:p>
            <w:pPr>
              <w:spacing w:before="60" w:after="60"/>
              <w:ind w:left="113"/>
            </w:pPr>
            <w:r>
              <w:rPr>
                <w:b w:val="0"/>
                <w:color w:val="5E5A52"/>
                <w:sz w:val="19"/>
              </w:rPr>
              <w:t>H1</w:t>
            </w:r>
          </w:p>
        </w:tc>
      </w:tr>
      <w:tr>
        <w:tc>
          <w:tcPr>
            <w:tcW w:type="dxa" w:w="1881"/>
            <w:vAlign w:val="center"/>
            <w:tcW w:w="1620000" w:type="dxa"/>
          </w:tcPr>
          <w:p>
            <w:pPr>
              <w:spacing w:before="60" w:after="60"/>
              <w:ind w:left="113"/>
            </w:pPr>
            <w:r>
              <w:rPr>
                <w:b w:val="0"/>
                <w:color w:val="1A1917"/>
                <w:sz w:val="19"/>
              </w:rPr>
              <w:t>Annual plan discounts</w:t>
            </w:r>
          </w:p>
        </w:tc>
        <w:tc>
          <w:tcPr>
            <w:tcW w:type="dxa" w:w="1881"/>
            <w:vAlign w:val="center"/>
            <w:tcW w:w="1080000" w:type="dxa"/>
          </w:tcPr>
          <w:p>
            <w:pPr>
              <w:spacing w:before="60" w:after="60"/>
              <w:ind w:left="113"/>
            </w:pPr>
            <w:r>
              <w:rPr>
                <w:b w:val="0"/>
                <w:color w:val="5E5A52"/>
                <w:sz w:val="19"/>
              </w:rPr>
              <w:t>Pre-pay discount</w:t>
            </w:r>
          </w:p>
        </w:tc>
        <w:tc>
          <w:tcPr>
            <w:tcW w:type="dxa" w:w="1881"/>
            <w:vAlign w:val="center"/>
            <w:tcW w:w="1260000" w:type="dxa"/>
          </w:tcPr>
          <w:p>
            <w:pPr>
              <w:spacing w:before="60" w:after="60"/>
              <w:ind w:left="113"/>
            </w:pPr>
            <w:r>
              <w:rPr>
                <w:b w:val="0"/>
                <w:color w:val="5E5A52"/>
                <w:sz w:val="19"/>
              </w:rPr>
              <w:t>20-35% off monthly</w:t>
            </w:r>
          </w:p>
        </w:tc>
        <w:tc>
          <w:tcPr>
            <w:tcW w:type="dxa" w:w="1881"/>
            <w:vAlign w:val="center"/>
            <w:tcW w:w="1080000" w:type="dxa"/>
          </w:tcPr>
          <w:p>
            <w:pPr>
              <w:spacing w:before="60" w:after="60"/>
              <w:ind w:left="113"/>
            </w:pPr>
            <w:r>
              <w:rPr>
                <w:b w:val="0"/>
                <w:color w:val="5E5A52"/>
                <w:sz w:val="19"/>
              </w:rPr>
              <w:t>82%</w:t>
            </w:r>
          </w:p>
        </w:tc>
        <w:tc>
          <w:tcPr>
            <w:tcW w:type="dxa" w:w="1881"/>
            <w:vAlign w:val="center"/>
            <w:tcW w:w="720000" w:type="dxa"/>
          </w:tcPr>
          <w:p>
            <w:pPr>
              <w:spacing w:before="60" w:after="60"/>
              <w:ind w:left="113"/>
            </w:pPr>
            <w:r>
              <w:rPr>
                <w:b w:val="0"/>
                <w:color w:val="5E5A52"/>
                <w:sz w:val="19"/>
              </w:rPr>
              <w:t>H1</w:t>
            </w:r>
          </w:p>
        </w:tc>
      </w:tr>
      <w:tr>
        <w:tc>
          <w:tcPr>
            <w:tcW w:type="dxa" w:w="1881"/>
            <w:vAlign w:val="center"/>
            <w:tcW w:w="1620000" w:type="dxa"/>
            <w:shd w:val="clear" w:color="auto" w:fill="F8F7F4"/>
          </w:tcPr>
          <w:p>
            <w:pPr>
              <w:spacing w:before="60" w:after="60"/>
              <w:ind w:left="113"/>
            </w:pPr>
            <w:r>
              <w:rPr>
                <w:b w:val="0"/>
                <w:color w:val="1A1917"/>
                <w:sz w:val="19"/>
              </w:rPr>
              <w:t>Professional services commission</w:t>
            </w:r>
          </w:p>
        </w:tc>
        <w:tc>
          <w:tcPr>
            <w:tcW w:type="dxa" w:w="1881"/>
            <w:vAlign w:val="center"/>
            <w:tcW w:w="1080000" w:type="dxa"/>
            <w:shd w:val="clear" w:color="auto" w:fill="F8F7F4"/>
          </w:tcPr>
          <w:p>
            <w:pPr>
              <w:spacing w:before="60" w:after="60"/>
              <w:ind w:left="113"/>
            </w:pPr>
            <w:r>
              <w:rPr>
                <w:b w:val="0"/>
                <w:color w:val="5E5A52"/>
                <w:sz w:val="19"/>
              </w:rPr>
              <w:t>Referral (10-15%)</w:t>
            </w:r>
          </w:p>
        </w:tc>
        <w:tc>
          <w:tcPr>
            <w:tcW w:type="dxa" w:w="1881"/>
            <w:vAlign w:val="center"/>
            <w:tcW w:w="1260000" w:type="dxa"/>
            <w:shd w:val="clear" w:color="auto" w:fill="F8F7F4"/>
          </w:tcPr>
          <w:p>
            <w:pPr>
              <w:spacing w:before="60" w:after="60"/>
              <w:ind w:left="113"/>
            </w:pPr>
            <w:r>
              <w:rPr>
                <w:b w:val="0"/>
                <w:color w:val="5E5A52"/>
                <w:sz w:val="19"/>
              </w:rPr>
              <w:t>£9-£120/booking</w:t>
            </w:r>
          </w:p>
        </w:tc>
        <w:tc>
          <w:tcPr>
            <w:tcW w:type="dxa" w:w="1881"/>
            <w:vAlign w:val="center"/>
            <w:tcW w:w="1080000" w:type="dxa"/>
            <w:shd w:val="clear" w:color="auto" w:fill="F8F7F4"/>
          </w:tcPr>
          <w:p>
            <w:pPr>
              <w:spacing w:before="60" w:after="60"/>
              <w:ind w:left="113"/>
            </w:pPr>
            <w:r>
              <w:rPr>
                <w:b w:val="0"/>
                <w:color w:val="5E5A52"/>
                <w:sz w:val="19"/>
              </w:rPr>
              <w:t>95%</w:t>
            </w:r>
          </w:p>
        </w:tc>
        <w:tc>
          <w:tcPr>
            <w:tcW w:type="dxa" w:w="1881"/>
            <w:vAlign w:val="center"/>
            <w:tcW w:w="720000" w:type="dxa"/>
            <w:shd w:val="clear" w:color="auto" w:fill="F8F7F4"/>
          </w:tcPr>
          <w:p>
            <w:pPr>
              <w:spacing w:before="60" w:after="60"/>
              <w:ind w:left="113"/>
            </w:pPr>
            <w:r>
              <w:rPr>
                <w:b w:val="0"/>
                <w:color w:val="5E5A52"/>
                <w:sz w:val="19"/>
              </w:rPr>
              <w:t>H1</w:t>
            </w:r>
          </w:p>
        </w:tc>
      </w:tr>
      <w:tr>
        <w:tc>
          <w:tcPr>
            <w:tcW w:type="dxa" w:w="1881"/>
            <w:vAlign w:val="center"/>
            <w:tcW w:w="1620000" w:type="dxa"/>
          </w:tcPr>
          <w:p>
            <w:pPr>
              <w:spacing w:before="60" w:after="60"/>
              <w:ind w:left="113"/>
            </w:pPr>
            <w:r>
              <w:rPr>
                <w:b w:val="0"/>
                <w:color w:val="1A1917"/>
                <w:sz w:val="19"/>
              </w:rPr>
              <w:t>Mortgage referral fee</w:t>
            </w:r>
          </w:p>
        </w:tc>
        <w:tc>
          <w:tcPr>
            <w:tcW w:type="dxa" w:w="1881"/>
            <w:vAlign w:val="center"/>
            <w:tcW w:w="1080000" w:type="dxa"/>
          </w:tcPr>
          <w:p>
            <w:pPr>
              <w:spacing w:before="60" w:after="60"/>
              <w:ind w:left="113"/>
            </w:pPr>
            <w:r>
              <w:rPr>
                <w:b w:val="0"/>
                <w:color w:val="5E5A52"/>
                <w:sz w:val="19"/>
              </w:rPr>
              <w:t>Per-completion</w:t>
            </w:r>
          </w:p>
        </w:tc>
        <w:tc>
          <w:tcPr>
            <w:tcW w:type="dxa" w:w="1881"/>
            <w:vAlign w:val="center"/>
            <w:tcW w:w="1260000" w:type="dxa"/>
          </w:tcPr>
          <w:p>
            <w:pPr>
              <w:spacing w:before="60" w:after="60"/>
              <w:ind w:left="113"/>
            </w:pPr>
            <w:r>
              <w:rPr>
                <w:b w:val="0"/>
                <w:color w:val="5E5A52"/>
                <w:sz w:val="19"/>
              </w:rPr>
              <w:t>£200-£400/deal</w:t>
            </w:r>
          </w:p>
        </w:tc>
        <w:tc>
          <w:tcPr>
            <w:tcW w:type="dxa" w:w="1881"/>
            <w:vAlign w:val="center"/>
            <w:tcW w:w="1080000" w:type="dxa"/>
          </w:tcPr>
          <w:p>
            <w:pPr>
              <w:spacing w:before="60" w:after="60"/>
              <w:ind w:left="113"/>
            </w:pPr>
            <w:r>
              <w:rPr>
                <w:b w:val="0"/>
                <w:color w:val="5E5A52"/>
                <w:sz w:val="19"/>
              </w:rPr>
              <w:t>95%</w:t>
            </w:r>
          </w:p>
        </w:tc>
        <w:tc>
          <w:tcPr>
            <w:tcW w:type="dxa" w:w="1881"/>
            <w:vAlign w:val="center"/>
            <w:tcW w:w="720000" w:type="dxa"/>
          </w:tcPr>
          <w:p>
            <w:pPr>
              <w:spacing w:before="60" w:after="60"/>
              <w:ind w:left="113"/>
            </w:pPr>
            <w:r>
              <w:rPr>
                <w:b w:val="0"/>
                <w:color w:val="5E5A52"/>
                <w:sz w:val="19"/>
              </w:rPr>
              <w:t>H2</w:t>
            </w:r>
          </w:p>
        </w:tc>
      </w:tr>
      <w:tr>
        <w:tc>
          <w:tcPr>
            <w:tcW w:type="dxa" w:w="1881"/>
            <w:vAlign w:val="center"/>
            <w:tcW w:w="1620000" w:type="dxa"/>
            <w:shd w:val="clear" w:color="auto" w:fill="F8F7F4"/>
          </w:tcPr>
          <w:p>
            <w:pPr>
              <w:spacing w:before="60" w:after="60"/>
              <w:ind w:left="113"/>
            </w:pPr>
            <w:r>
              <w:rPr>
                <w:b w:val="0"/>
                <w:color w:val="1A1917"/>
                <w:sz w:val="19"/>
              </w:rPr>
              <w:t>Insurance referral</w:t>
            </w:r>
          </w:p>
        </w:tc>
        <w:tc>
          <w:tcPr>
            <w:tcW w:type="dxa" w:w="1881"/>
            <w:vAlign w:val="center"/>
            <w:tcW w:w="1080000" w:type="dxa"/>
            <w:shd w:val="clear" w:color="auto" w:fill="F8F7F4"/>
          </w:tcPr>
          <w:p>
            <w:pPr>
              <w:spacing w:before="60" w:after="60"/>
              <w:ind w:left="113"/>
            </w:pPr>
            <w:r>
              <w:rPr>
                <w:b w:val="0"/>
                <w:color w:val="5E5A52"/>
                <w:sz w:val="19"/>
              </w:rPr>
              <w:t>Per-switch</w:t>
            </w:r>
          </w:p>
        </w:tc>
        <w:tc>
          <w:tcPr>
            <w:tcW w:type="dxa" w:w="1881"/>
            <w:vAlign w:val="center"/>
            <w:tcW w:w="1260000" w:type="dxa"/>
            <w:shd w:val="clear" w:color="auto" w:fill="F8F7F4"/>
          </w:tcPr>
          <w:p>
            <w:pPr>
              <w:spacing w:before="60" w:after="60"/>
              <w:ind w:left="113"/>
            </w:pPr>
            <w:r>
              <w:rPr>
                <w:b w:val="0"/>
                <w:color w:val="5E5A52"/>
                <w:sz w:val="19"/>
              </w:rPr>
              <w:t>£30-£80/policy</w:t>
            </w:r>
          </w:p>
        </w:tc>
        <w:tc>
          <w:tcPr>
            <w:tcW w:type="dxa" w:w="1881"/>
            <w:vAlign w:val="center"/>
            <w:tcW w:w="1080000" w:type="dxa"/>
            <w:shd w:val="clear" w:color="auto" w:fill="F8F7F4"/>
          </w:tcPr>
          <w:p>
            <w:pPr>
              <w:spacing w:before="60" w:after="60"/>
              <w:ind w:left="113"/>
            </w:pPr>
            <w:r>
              <w:rPr>
                <w:b w:val="0"/>
                <w:color w:val="5E5A52"/>
                <w:sz w:val="19"/>
              </w:rPr>
              <w:t>95%</w:t>
            </w:r>
          </w:p>
        </w:tc>
        <w:tc>
          <w:tcPr>
            <w:tcW w:type="dxa" w:w="1881"/>
            <w:vAlign w:val="center"/>
            <w:tcW w:w="720000" w:type="dxa"/>
            <w:shd w:val="clear" w:color="auto" w:fill="F8F7F4"/>
          </w:tcPr>
          <w:p>
            <w:pPr>
              <w:spacing w:before="60" w:after="60"/>
              <w:ind w:left="113"/>
            </w:pPr>
            <w:r>
              <w:rPr>
                <w:b w:val="0"/>
                <w:color w:val="5E5A52"/>
                <w:sz w:val="19"/>
              </w:rPr>
              <w:t>H2</w:t>
            </w:r>
          </w:p>
        </w:tc>
      </w:tr>
      <w:tr>
        <w:tc>
          <w:tcPr>
            <w:tcW w:type="dxa" w:w="1881"/>
            <w:vAlign w:val="center"/>
            <w:tcW w:w="1620000" w:type="dxa"/>
          </w:tcPr>
          <w:p>
            <w:pPr>
              <w:spacing w:before="60" w:after="60"/>
              <w:ind w:left="113"/>
            </w:pPr>
            <w:r>
              <w:rPr>
                <w:b w:val="0"/>
                <w:color w:val="1A1917"/>
                <w:sz w:val="19"/>
              </w:rPr>
              <w:t>Estate agent API (white-label)</w:t>
            </w:r>
          </w:p>
        </w:tc>
        <w:tc>
          <w:tcPr>
            <w:tcW w:type="dxa" w:w="1881"/>
            <w:vAlign w:val="center"/>
            <w:tcW w:w="1080000" w:type="dxa"/>
          </w:tcPr>
          <w:p>
            <w:pPr>
              <w:spacing w:before="60" w:after="60"/>
              <w:ind w:left="113"/>
            </w:pPr>
            <w:r>
              <w:rPr>
                <w:b w:val="0"/>
                <w:color w:val="5E5A52"/>
                <w:sz w:val="19"/>
              </w:rPr>
              <w:t>B2B SaaS</w:t>
            </w:r>
          </w:p>
        </w:tc>
        <w:tc>
          <w:tcPr>
            <w:tcW w:type="dxa" w:w="1881"/>
            <w:vAlign w:val="center"/>
            <w:tcW w:w="1260000" w:type="dxa"/>
          </w:tcPr>
          <w:p>
            <w:pPr>
              <w:spacing w:before="60" w:after="60"/>
              <w:ind w:left="113"/>
            </w:pPr>
            <w:r>
              <w:rPr>
                <w:b w:val="0"/>
                <w:color w:val="5E5A52"/>
                <w:sz w:val="19"/>
              </w:rPr>
              <w:t>£39-£79/month</w:t>
            </w:r>
          </w:p>
        </w:tc>
        <w:tc>
          <w:tcPr>
            <w:tcW w:type="dxa" w:w="1881"/>
            <w:vAlign w:val="center"/>
            <w:tcW w:w="1080000" w:type="dxa"/>
          </w:tcPr>
          <w:p>
            <w:pPr>
              <w:spacing w:before="60" w:after="60"/>
              <w:ind w:left="113"/>
            </w:pPr>
            <w:r>
              <w:rPr>
                <w:b w:val="0"/>
                <w:color w:val="5E5A52"/>
                <w:sz w:val="19"/>
              </w:rPr>
              <w:t>80%</w:t>
            </w:r>
          </w:p>
        </w:tc>
        <w:tc>
          <w:tcPr>
            <w:tcW w:type="dxa" w:w="1881"/>
            <w:vAlign w:val="center"/>
            <w:tcW w:w="720000" w:type="dxa"/>
          </w:tcPr>
          <w:p>
            <w:pPr>
              <w:spacing w:before="60" w:after="60"/>
              <w:ind w:left="113"/>
            </w:pPr>
            <w:r>
              <w:rPr>
                <w:b w:val="0"/>
                <w:color w:val="5E5A52"/>
                <w:sz w:val="19"/>
              </w:rPr>
              <w:t>H3</w:t>
            </w:r>
          </w:p>
        </w:tc>
      </w:tr>
      <w:tr>
        <w:tc>
          <w:tcPr>
            <w:tcW w:type="dxa" w:w="1881"/>
            <w:vAlign w:val="center"/>
            <w:tcW w:w="1620000" w:type="dxa"/>
            <w:shd w:val="clear" w:color="auto" w:fill="F8F7F4"/>
          </w:tcPr>
          <w:p>
            <w:pPr>
              <w:spacing w:before="60" w:after="60"/>
              <w:ind w:left="113"/>
            </w:pPr>
            <w:r>
              <w:rPr>
                <w:b w:val="0"/>
                <w:color w:val="1A1917"/>
                <w:sz w:val="19"/>
              </w:rPr>
              <w:t>PropPilot Score data API</w:t>
            </w:r>
          </w:p>
        </w:tc>
        <w:tc>
          <w:tcPr>
            <w:tcW w:type="dxa" w:w="1881"/>
            <w:vAlign w:val="center"/>
            <w:tcW w:w="1080000" w:type="dxa"/>
            <w:shd w:val="clear" w:color="auto" w:fill="F8F7F4"/>
          </w:tcPr>
          <w:p>
            <w:pPr>
              <w:spacing w:before="60" w:after="60"/>
              <w:ind w:left="113"/>
            </w:pPr>
            <w:r>
              <w:rPr>
                <w:b w:val="0"/>
                <w:color w:val="5E5A52"/>
                <w:sz w:val="19"/>
              </w:rPr>
              <w:t>B2B licence</w:t>
            </w:r>
          </w:p>
        </w:tc>
        <w:tc>
          <w:tcPr>
            <w:tcW w:type="dxa" w:w="1881"/>
            <w:vAlign w:val="center"/>
            <w:tcW w:w="1260000" w:type="dxa"/>
            <w:shd w:val="clear" w:color="auto" w:fill="F8F7F4"/>
          </w:tcPr>
          <w:p>
            <w:pPr>
              <w:spacing w:before="60" w:after="60"/>
              <w:ind w:left="113"/>
            </w:pPr>
            <w:r>
              <w:rPr>
                <w:b w:val="0"/>
                <w:color w:val="5E5A52"/>
                <w:sz w:val="19"/>
              </w:rPr>
              <w:t>£500-£5,000/month</w:t>
            </w:r>
          </w:p>
        </w:tc>
        <w:tc>
          <w:tcPr>
            <w:tcW w:type="dxa" w:w="1881"/>
            <w:vAlign w:val="center"/>
            <w:tcW w:w="1080000" w:type="dxa"/>
            <w:shd w:val="clear" w:color="auto" w:fill="F8F7F4"/>
          </w:tcPr>
          <w:p>
            <w:pPr>
              <w:spacing w:before="60" w:after="60"/>
              <w:ind w:left="113"/>
            </w:pPr>
            <w:r>
              <w:rPr>
                <w:b w:val="0"/>
                <w:color w:val="5E5A52"/>
                <w:sz w:val="19"/>
              </w:rPr>
              <w:t>90%</w:t>
            </w:r>
          </w:p>
        </w:tc>
        <w:tc>
          <w:tcPr>
            <w:tcW w:type="dxa" w:w="1881"/>
            <w:vAlign w:val="center"/>
            <w:tcW w:w="720000" w:type="dxa"/>
            <w:shd w:val="clear" w:color="auto" w:fill="F8F7F4"/>
          </w:tcPr>
          <w:p>
            <w:pPr>
              <w:spacing w:before="60" w:after="60"/>
              <w:ind w:left="113"/>
            </w:pPr>
            <w:r>
              <w:rPr>
                <w:b w:val="0"/>
                <w:color w:val="5E5A52"/>
                <w:sz w:val="19"/>
              </w:rPr>
              <w:t>H3</w:t>
            </w:r>
          </w:p>
        </w:tc>
      </w:tr>
      <w:tr>
        <w:tc>
          <w:tcPr>
            <w:tcW w:type="dxa" w:w="1881"/>
            <w:vAlign w:val="center"/>
            <w:tcW w:w="1620000" w:type="dxa"/>
          </w:tcPr>
          <w:p>
            <w:pPr>
              <w:spacing w:before="60" w:after="60"/>
              <w:ind w:left="113"/>
            </w:pPr>
            <w:r>
              <w:rPr>
                <w:b w:val="0"/>
                <w:color w:val="1A1917"/>
                <w:sz w:val="19"/>
              </w:rPr>
              <w:t>Anonymised data reports</w:t>
            </w:r>
          </w:p>
        </w:tc>
        <w:tc>
          <w:tcPr>
            <w:tcW w:type="dxa" w:w="1881"/>
            <w:vAlign w:val="center"/>
            <w:tcW w:w="1080000" w:type="dxa"/>
          </w:tcPr>
          <w:p>
            <w:pPr>
              <w:spacing w:before="60" w:after="60"/>
              <w:ind w:left="113"/>
            </w:pPr>
            <w:r>
              <w:rPr>
                <w:b w:val="0"/>
                <w:color w:val="5E5A52"/>
                <w:sz w:val="19"/>
              </w:rPr>
              <w:t>B2B one-off</w:t>
            </w:r>
          </w:p>
        </w:tc>
        <w:tc>
          <w:tcPr>
            <w:tcW w:type="dxa" w:w="1881"/>
            <w:vAlign w:val="center"/>
            <w:tcW w:w="1260000" w:type="dxa"/>
          </w:tcPr>
          <w:p>
            <w:pPr>
              <w:spacing w:before="60" w:after="60"/>
              <w:ind w:left="113"/>
            </w:pPr>
            <w:r>
              <w:rPr>
                <w:b w:val="0"/>
                <w:color w:val="5E5A52"/>
                <w:sz w:val="19"/>
              </w:rPr>
              <w:t>£2,000-£20,000/report</w:t>
            </w:r>
          </w:p>
        </w:tc>
        <w:tc>
          <w:tcPr>
            <w:tcW w:type="dxa" w:w="1881"/>
            <w:vAlign w:val="center"/>
            <w:tcW w:w="1080000" w:type="dxa"/>
          </w:tcPr>
          <w:p>
            <w:pPr>
              <w:spacing w:before="60" w:after="60"/>
              <w:ind w:left="113"/>
            </w:pPr>
            <w:r>
              <w:rPr>
                <w:b w:val="0"/>
                <w:color w:val="5E5A52"/>
                <w:sz w:val="19"/>
              </w:rPr>
              <w:t>90%</w:t>
            </w:r>
          </w:p>
        </w:tc>
        <w:tc>
          <w:tcPr>
            <w:tcW w:type="dxa" w:w="1881"/>
            <w:vAlign w:val="center"/>
            <w:tcW w:w="720000" w:type="dxa"/>
          </w:tcPr>
          <w:p>
            <w:pPr>
              <w:spacing w:before="60" w:after="60"/>
              <w:ind w:left="113"/>
            </w:pPr>
            <w:r>
              <w:rPr>
                <w:b w:val="0"/>
                <w:color w:val="5E5A52"/>
                <w:sz w:val="19"/>
              </w:rPr>
              <w:t>H3</w:t>
            </w:r>
          </w:p>
        </w:tc>
      </w:tr>
    </w:tbl>
    <w:p/>
    <w:p>
      <w:pPr>
        <w:spacing w:before="160" w:after="160"/>
        <w:pBdr>
          <w:bottom w:val="single" w:sz="4" w:space="1" w:color="D1CEC8"/>
        </w:pBdr>
      </w:pPr>
    </w:p>
    <w:p>
      <w:r>
        <w:br w:type="page"/>
      </w:r>
    </w:p>
    <w:p>
      <w:pPr>
        <w:pStyle w:val="Heading1"/>
        <w:spacing w:before="400" w:after="120"/>
      </w:pPr>
      <w:r>
        <w:rPr>
          <w:color w:val="1D9E75"/>
          <w:sz w:val="32"/>
        </w:rPr>
        <w:t>37. How Technical Innovations Drive Each Revenue Stream</w:t>
      </w:r>
    </w:p>
    <w:tbl>
      <w:tblPr>
        <w:tblStyle w:val="TableGrid"/>
        <w:tblW w:type="auto" w:w="0"/>
        <w:tblLook w:firstColumn="1" w:firstRow="1" w:lastColumn="0" w:lastRow="0" w:noHBand="0" w:noVBand="1" w:val="04A0"/>
      </w:tblPr>
      <w:tblGrid>
        <w:gridCol w:w="4703"/>
        <w:gridCol w:w="4703"/>
      </w:tblGrid>
      <w:tr>
        <w:tc>
          <w:tcPr>
            <w:tcW w:type="dxa" w:w="4703"/>
            <w:vAlign w:val="center"/>
            <w:tcW w:w="2880000" w:type="dxa"/>
            <w:shd w:val="clear" w:color="auto" w:fill="1D9E75"/>
          </w:tcPr>
          <w:p>
            <w:pPr>
              <w:spacing w:before="60" w:after="60"/>
              <w:ind w:left="113"/>
            </w:pPr>
            <w:r>
              <w:rPr>
                <w:b/>
                <w:color w:val="FFFFFF"/>
                <w:sz w:val="19"/>
              </w:rPr>
              <w:t>Technical innovation</w:t>
            </w:r>
          </w:p>
        </w:tc>
        <w:tc>
          <w:tcPr>
            <w:tcW w:type="dxa" w:w="4703"/>
            <w:vAlign w:val="center"/>
            <w:tcW w:w="3240000" w:type="dxa"/>
            <w:shd w:val="clear" w:color="auto" w:fill="1D9E75"/>
          </w:tcPr>
          <w:p>
            <w:pPr>
              <w:spacing w:before="60" w:after="60"/>
              <w:ind w:left="113"/>
            </w:pPr>
            <w:r>
              <w:rPr>
                <w:b/>
                <w:color w:val="FFFFFF"/>
                <w:sz w:val="19"/>
              </w:rPr>
              <w:t>Revenue stream it enables</w:t>
            </w:r>
          </w:p>
        </w:tc>
      </w:tr>
      <w:tr>
        <w:tc>
          <w:tcPr>
            <w:tcW w:type="dxa" w:w="4703"/>
            <w:vAlign w:val="center"/>
            <w:tcW w:w="2880000" w:type="dxa"/>
          </w:tcPr>
          <w:p>
            <w:pPr>
              <w:spacing w:before="60" w:after="60"/>
              <w:ind w:left="113"/>
            </w:pPr>
            <w:r>
              <w:rPr>
                <w:b w:val="0"/>
                <w:color w:val="1A1917"/>
                <w:sz w:val="19"/>
              </w:rPr>
              <w:t>Parallel API orchestration (5 checks in &lt; 4s)</w:t>
            </w:r>
          </w:p>
        </w:tc>
        <w:tc>
          <w:tcPr>
            <w:tcW w:type="dxa" w:w="4703"/>
            <w:vAlign w:val="center"/>
            <w:tcW w:w="3240000" w:type="dxa"/>
          </w:tcPr>
          <w:p>
            <w:pPr>
              <w:spacing w:before="60" w:after="60"/>
              <w:ind w:left="113"/>
            </w:pPr>
            <w:r>
              <w:rPr>
                <w:b w:val="0"/>
                <w:color w:val="5E5A52"/>
                <w:sz w:val="19"/>
              </w:rPr>
              <w:t>Pro subscription — the speed differentiates vs. manual research</w:t>
            </w:r>
          </w:p>
        </w:tc>
      </w:tr>
      <w:tr>
        <w:tc>
          <w:tcPr>
            <w:tcW w:type="dxa" w:w="4703"/>
            <w:vAlign w:val="center"/>
            <w:tcW w:w="2880000" w:type="dxa"/>
            <w:shd w:val="clear" w:color="auto" w:fill="F8F7F4"/>
          </w:tcPr>
          <w:p>
            <w:pPr>
              <w:spacing w:before="60" w:after="60"/>
              <w:ind w:left="113"/>
            </w:pPr>
            <w:r>
              <w:rPr>
                <w:b w:val="0"/>
                <w:color w:val="1A1917"/>
                <w:sz w:val="19"/>
              </w:rPr>
              <w:t>PropPilot Score algorithm</w:t>
            </w:r>
          </w:p>
        </w:tc>
        <w:tc>
          <w:tcPr>
            <w:tcW w:type="dxa" w:w="4703"/>
            <w:vAlign w:val="center"/>
            <w:tcW w:w="3240000" w:type="dxa"/>
            <w:shd w:val="clear" w:color="auto" w:fill="F8F7F4"/>
          </w:tcPr>
          <w:p>
            <w:pPr>
              <w:spacing w:before="60" w:after="60"/>
              <w:ind w:left="113"/>
            </w:pPr>
            <w:r>
              <w:rPr>
                <w:b w:val="0"/>
                <w:color w:val="5E5A52"/>
                <w:sz w:val="19"/>
              </w:rPr>
              <w:t>Pro subscription — proprietary score creates perceived value and upgrade incentive</w:t>
            </w:r>
          </w:p>
        </w:tc>
      </w:tr>
      <w:tr>
        <w:tc>
          <w:tcPr>
            <w:tcW w:type="dxa" w:w="4703"/>
            <w:vAlign w:val="center"/>
            <w:tcW w:w="2880000" w:type="dxa"/>
          </w:tcPr>
          <w:p>
            <w:pPr>
              <w:spacing w:before="60" w:after="60"/>
              <w:ind w:left="113"/>
            </w:pPr>
            <w:r>
              <w:rPr>
                <w:b w:val="0"/>
                <w:color w:val="1A1917"/>
                <w:sz w:val="19"/>
              </w:rPr>
              <w:t>Professional services gating (locked on Free)</w:t>
            </w:r>
          </w:p>
        </w:tc>
        <w:tc>
          <w:tcPr>
            <w:tcW w:type="dxa" w:w="4703"/>
            <w:vAlign w:val="center"/>
            <w:tcW w:w="3240000" w:type="dxa"/>
          </w:tcPr>
          <w:p>
            <w:pPr>
              <w:spacing w:before="60" w:after="60"/>
              <w:ind w:left="113"/>
            </w:pPr>
            <w:r>
              <w:rPr>
                <w:b w:val="0"/>
                <w:color w:val="5E5A52"/>
                <w:sz w:val="19"/>
              </w:rPr>
              <w:t>Pro conversion — 10% marketplace discount is the clearest upgrade incentive</w:t>
            </w:r>
          </w:p>
        </w:tc>
      </w:tr>
      <w:tr>
        <w:tc>
          <w:tcPr>
            <w:tcW w:type="dxa" w:w="4703"/>
            <w:vAlign w:val="center"/>
            <w:tcW w:w="2880000" w:type="dxa"/>
            <w:shd w:val="clear" w:color="auto" w:fill="F8F7F4"/>
          </w:tcPr>
          <w:p>
            <w:pPr>
              <w:spacing w:before="60" w:after="60"/>
              <w:ind w:left="113"/>
            </w:pPr>
            <w:r>
              <w:rPr>
                <w:b w:val="0"/>
                <w:color w:val="1A1917"/>
                <w:sz w:val="19"/>
              </w:rPr>
              <w:t>Role-aware personalisation engine</w:t>
            </w:r>
          </w:p>
        </w:tc>
        <w:tc>
          <w:tcPr>
            <w:tcW w:type="dxa" w:w="4703"/>
            <w:vAlign w:val="center"/>
            <w:tcW w:w="3240000" w:type="dxa"/>
            <w:shd w:val="clear" w:color="auto" w:fill="F8F7F4"/>
          </w:tcPr>
          <w:p>
            <w:pPr>
              <w:spacing w:before="60" w:after="60"/>
              <w:ind w:left="113"/>
            </w:pPr>
            <w:r>
              <w:rPr>
                <w:b w:val="0"/>
                <w:color w:val="5E5A52"/>
                <w:sz w:val="19"/>
              </w:rPr>
              <w:t>Dual subscription tracks (HomeBuyer + HomeOwner) — doubles the addressable subscriber base</w:t>
            </w:r>
          </w:p>
        </w:tc>
      </w:tr>
      <w:tr>
        <w:tc>
          <w:tcPr>
            <w:tcW w:type="dxa" w:w="4703"/>
            <w:vAlign w:val="center"/>
            <w:tcW w:w="2880000" w:type="dxa"/>
          </w:tcPr>
          <w:p>
            <w:pPr>
              <w:spacing w:before="60" w:after="60"/>
              <w:ind w:left="113"/>
            </w:pPr>
            <w:r>
              <w:rPr>
                <w:b w:val="0"/>
                <w:color w:val="1A1917"/>
                <w:sz w:val="19"/>
              </w:rPr>
              <w:t>Remortgage radar alert system</w:t>
            </w:r>
          </w:p>
        </w:tc>
        <w:tc>
          <w:tcPr>
            <w:tcW w:type="dxa" w:w="4703"/>
            <w:vAlign w:val="center"/>
            <w:tcW w:w="3240000" w:type="dxa"/>
          </w:tcPr>
          <w:p>
            <w:pPr>
              <w:spacing w:before="60" w:after="60"/>
              <w:ind w:left="113"/>
            </w:pPr>
            <w:r>
              <w:rPr>
                <w:b w:val="0"/>
                <w:color w:val="5E5A52"/>
                <w:sz w:val="19"/>
              </w:rPr>
              <w:t>HomeOwner Pro retention + mortgage referral revenue in H2</w:t>
            </w:r>
          </w:p>
        </w:tc>
      </w:tr>
      <w:tr>
        <w:tc>
          <w:tcPr>
            <w:tcW w:type="dxa" w:w="4703"/>
            <w:vAlign w:val="center"/>
            <w:tcW w:w="2880000" w:type="dxa"/>
            <w:shd w:val="clear" w:color="auto" w:fill="F8F7F4"/>
          </w:tcPr>
          <w:p>
            <w:pPr>
              <w:spacing w:before="60" w:after="60"/>
              <w:ind w:left="113"/>
            </w:pPr>
            <w:r>
              <w:rPr>
                <w:b w:val="0"/>
                <w:color w:val="1A1917"/>
                <w:sz w:val="19"/>
              </w:rPr>
              <w:t>EPC upgrade planner</w:t>
            </w:r>
          </w:p>
        </w:tc>
        <w:tc>
          <w:tcPr>
            <w:tcW w:type="dxa" w:w="4703"/>
            <w:vAlign w:val="center"/>
            <w:tcW w:w="3240000" w:type="dxa"/>
            <w:shd w:val="clear" w:color="auto" w:fill="F8F7F4"/>
          </w:tcPr>
          <w:p>
            <w:pPr>
              <w:spacing w:before="60" w:after="60"/>
              <w:ind w:left="113"/>
            </w:pPr>
            <w:r>
              <w:rPr>
                <w:b w:val="0"/>
                <w:color w:val="5E5A52"/>
                <w:sz w:val="19"/>
              </w:rPr>
              <w:t>ECO4/BUS grant signposting + professional services bookings (insulation, heat pumps)</w:t>
            </w:r>
          </w:p>
        </w:tc>
      </w:tr>
      <w:tr>
        <w:tc>
          <w:tcPr>
            <w:tcW w:type="dxa" w:w="4703"/>
            <w:vAlign w:val="center"/>
            <w:tcW w:w="2880000" w:type="dxa"/>
          </w:tcPr>
          <w:p>
            <w:pPr>
              <w:spacing w:before="60" w:after="60"/>
              <w:ind w:left="113"/>
            </w:pPr>
            <w:r>
              <w:rPr>
                <w:b w:val="0"/>
                <w:color w:val="1A1917"/>
                <w:sz w:val="19"/>
              </w:rPr>
              <w:t>Landlord compliance tracker</w:t>
            </w:r>
          </w:p>
        </w:tc>
        <w:tc>
          <w:tcPr>
            <w:tcW w:type="dxa" w:w="4703"/>
            <w:vAlign w:val="center"/>
            <w:tcW w:w="3240000" w:type="dxa"/>
          </w:tcPr>
          <w:p>
            <w:pPr>
              <w:spacing w:before="60" w:after="60"/>
              <w:ind w:left="113"/>
            </w:pPr>
            <w:r>
              <w:rPr>
                <w:b w:val="0"/>
                <w:color w:val="5E5A52"/>
                <w:sz w:val="19"/>
              </w:rPr>
              <w:t>HomeOwner Enterprise subscriptions from BTL landlords with portfolios</w:t>
            </w:r>
          </w:p>
        </w:tc>
      </w:tr>
      <w:tr>
        <w:tc>
          <w:tcPr>
            <w:tcW w:type="dxa" w:w="4703"/>
            <w:vAlign w:val="center"/>
            <w:tcW w:w="2880000" w:type="dxa"/>
            <w:shd w:val="clear" w:color="auto" w:fill="F8F7F4"/>
          </w:tcPr>
          <w:p>
            <w:pPr>
              <w:spacing w:before="60" w:after="60"/>
              <w:ind w:left="113"/>
            </w:pPr>
            <w:r>
              <w:rPr>
                <w:b w:val="0"/>
                <w:color w:val="1A1917"/>
                <w:sz w:val="19"/>
              </w:rPr>
              <w:t>White-label API (H3)</w:t>
            </w:r>
          </w:p>
        </w:tc>
        <w:tc>
          <w:tcPr>
            <w:tcW w:type="dxa" w:w="4703"/>
            <w:vAlign w:val="center"/>
            <w:tcW w:w="3240000" w:type="dxa"/>
            <w:shd w:val="clear" w:color="auto" w:fill="F8F7F4"/>
          </w:tcPr>
          <w:p>
            <w:pPr>
              <w:spacing w:before="60" w:after="60"/>
              <w:ind w:left="113"/>
            </w:pPr>
            <w:r>
              <w:rPr>
                <w:b w:val="0"/>
                <w:color w:val="5E5A52"/>
                <w:sz w:val="19"/>
              </w:rPr>
              <w:t>B2B API revenue from estate agents and lenders</w:t>
            </w:r>
          </w:p>
        </w:tc>
      </w:tr>
      <w:tr>
        <w:tc>
          <w:tcPr>
            <w:tcW w:type="dxa" w:w="4703"/>
            <w:vAlign w:val="center"/>
            <w:tcW w:w="2880000" w:type="dxa"/>
          </w:tcPr>
          <w:p>
            <w:pPr>
              <w:spacing w:before="60" w:after="60"/>
              <w:ind w:left="113"/>
            </w:pPr>
            <w:r>
              <w:rPr>
                <w:b w:val="0"/>
                <w:color w:val="1A1917"/>
                <w:sz w:val="19"/>
              </w:rPr>
              <w:t>Anonymised data aggregation (H3)</w:t>
            </w:r>
          </w:p>
        </w:tc>
        <w:tc>
          <w:tcPr>
            <w:tcW w:type="dxa" w:w="4703"/>
            <w:vAlign w:val="center"/>
            <w:tcW w:w="3240000" w:type="dxa"/>
          </w:tcPr>
          <w:p>
            <w:pPr>
              <w:spacing w:before="60" w:after="60"/>
              <w:ind w:left="113"/>
            </w:pPr>
            <w:r>
              <w:rPr>
                <w:b w:val="0"/>
                <w:color w:val="5E5A52"/>
                <w:sz w:val="19"/>
              </w:rPr>
              <w:t>Data licence revenue from insurers, lenders, and property developers</w:t>
            </w:r>
          </w:p>
        </w:tc>
      </w:tr>
    </w:tbl>
    <w:p/>
    <w:p>
      <w:pPr>
        <w:spacing w:before="160" w:after="160"/>
        <w:pBdr>
          <w:bottom w:val="single" w:sz="4" w:space="1" w:color="D1CEC8"/>
        </w:pBdr>
      </w:pPr>
    </w:p>
    <w:p>
      <w:pPr>
        <w:pStyle w:val="Heading1"/>
        <w:spacing w:before="400" w:after="120"/>
      </w:pPr>
      <w:r>
        <w:rPr>
          <w:color w:val="1D9E75"/>
          <w:sz w:val="32"/>
        </w:rPr>
        <w:t>38. Pricing Strategy</w:t>
      </w:r>
    </w:p>
    <w:p>
      <w:pPr>
        <w:pStyle w:val="Heading2"/>
        <w:spacing w:before="240" w:after="80"/>
      </w:pPr>
      <w:r>
        <w:rPr>
          <w:color w:val="1A1917"/>
          <w:sz w:val="26"/>
        </w:rPr>
        <w:t>Strategy: Freemium with clear upgrade triggers</w:t>
      </w:r>
    </w:p>
    <w:p>
      <w:pPr>
        <w:spacing w:after="120"/>
      </w:pPr>
      <w:r>
        <w:rPr>
          <w:i w:val="0"/>
          <w:color w:val="5E5A52"/>
          <w:sz w:val="21"/>
        </w:rPr>
        <w:t>PropPilot uses a freemium model with a permanent free tier designed to demonstrate product value and create organic upgrade pressure through feature gating rather than time limits. The free tier is genuinely useful but deliberately limited at the point of highest value.</w:t>
      </w:r>
    </w:p>
    <w:p>
      <w:pPr>
        <w:pStyle w:val="Heading2"/>
        <w:spacing w:before="240" w:after="80"/>
      </w:pPr>
      <w:r>
        <w:rPr>
          <w:color w:val="1A1917"/>
          <w:sz w:val="26"/>
        </w:rPr>
        <w:t>Free tier limits (upgrade triggers)</w:t>
      </w:r>
    </w:p>
    <w:p>
      <w:pPr>
        <w:pStyle w:val="ListBullet"/>
        <w:spacing w:after="60"/>
        <w:ind w:left="283"/>
      </w:pPr>
      <w:r>
        <w:rPr>
          <w:color w:val="5E5A52"/>
          <w:sz w:val="21"/>
        </w:rPr>
        <w:t>HomeBuyer Free: 3 property reports/month (upgrade trigger: hits limit on active search).</w:t>
      </w:r>
    </w:p>
    <w:p>
      <w:pPr>
        <w:pStyle w:val="ListBullet"/>
        <w:spacing w:after="60"/>
        <w:ind w:left="283"/>
      </w:pPr>
      <w:r>
        <w:rPr>
          <w:color w:val="5E5A52"/>
          <w:sz w:val="21"/>
        </w:rPr>
        <w:t>HomeBuyer Free: No PDF export (trigger: user wants to share report with solicitor).</w:t>
      </w:r>
    </w:p>
    <w:p>
      <w:pPr>
        <w:pStyle w:val="ListBullet"/>
        <w:spacing w:after="60"/>
        <w:ind w:left="283"/>
      </w:pPr>
      <w:r>
        <w:rPr>
          <w:color w:val="5E5A52"/>
          <w:sz w:val="21"/>
        </w:rPr>
        <w:t>HomeBuyer Free: No EPC certificate lookup (trigger: user sees EPC mentioned in listing).</w:t>
      </w:r>
    </w:p>
    <w:p>
      <w:pPr>
        <w:pStyle w:val="ListBullet"/>
        <w:spacing w:after="60"/>
        <w:ind w:left="283"/>
      </w:pPr>
      <w:r>
        <w:rPr>
          <w:color w:val="5E5A52"/>
          <w:sz w:val="21"/>
        </w:rPr>
        <w:t>HomeOwner Free: Maintenance calendar capped at 5 tasks (trigger: adding a 6th task).</w:t>
      </w:r>
    </w:p>
    <w:p>
      <w:pPr>
        <w:pStyle w:val="ListBullet"/>
        <w:spacing w:after="60"/>
        <w:ind w:left="283"/>
      </w:pPr>
      <w:r>
        <w:rPr>
          <w:color w:val="5E5A52"/>
          <w:sz w:val="21"/>
        </w:rPr>
        <w:t>HomeOwner Free: Document vault capped at 3 documents (trigger: uploading EICR + gas cert + EPC = full).</w:t>
      </w:r>
    </w:p>
    <w:p>
      <w:pPr>
        <w:pStyle w:val="ListBullet"/>
        <w:spacing w:after="60"/>
        <w:ind w:left="283"/>
      </w:pPr>
      <w:r>
        <w:rPr>
          <w:color w:val="5E5A52"/>
          <w:sz w:val="21"/>
        </w:rPr>
        <w:t>All plans — Free: Professional services locked ("Pro only" badge visible) — marketplace discount is the clearest Pro incentive.</w:t>
      </w:r>
    </w:p>
    <w:p>
      <w:pPr>
        <w:pStyle w:val="Heading2"/>
        <w:spacing w:before="240" w:after="80"/>
      </w:pPr>
      <w:r>
        <w:rPr>
          <w:color w:val="1A1917"/>
          <w:sz w:val="26"/>
        </w:rPr>
        <w:t>Pricing rationale</w:t>
      </w:r>
    </w:p>
    <w:p>
      <w:pPr>
        <w:pStyle w:val="ListBullet"/>
        <w:spacing w:after="60"/>
        <w:ind w:left="283"/>
      </w:pPr>
      <w:r>
        <w:rPr>
          <w:color w:val="5E5A52"/>
          <w:sz w:val="21"/>
        </w:rPr>
        <w:t>HomeBuyer Pro at £19/month: Priced below HomeCheck's £29.99 single-report cost. A user running more than one report per month on Pro pays less per report than on HomeCheck's pay-per-use model.</w:t>
      </w:r>
    </w:p>
    <w:p>
      <w:pPr>
        <w:pStyle w:val="ListBullet"/>
        <w:spacing w:after="60"/>
        <w:ind w:left="283"/>
      </w:pPr>
      <w:r>
        <w:rPr>
          <w:color w:val="5E5A52"/>
          <w:sz w:val="21"/>
        </w:rPr>
        <w:t>HomeOwner Pro at £9/month: Priced as an impulse purchase — below the psychological £10 barrier. Comparable to a coffee subscription.</w:t>
      </w:r>
    </w:p>
    <w:p>
      <w:pPr>
        <w:pStyle w:val="ListBullet"/>
        <w:spacing w:after="60"/>
        <w:ind w:left="283"/>
      </w:pPr>
      <w:r>
        <w:rPr>
          <w:color w:val="5E5A52"/>
          <w:sz w:val="21"/>
        </w:rPr>
        <w:t>Annual discount (35% HomeBuyer, 27% HomeOwner): Drives cash flow and reduces churn. Annual subscribers have 4× lower churn rate than monthly in comparable SaaS products.</w:t>
      </w:r>
    </w:p>
    <w:p>
      <w:pPr>
        <w:pStyle w:val="ListBullet"/>
        <w:spacing w:after="60"/>
        <w:ind w:left="283"/>
      </w:pPr>
      <w:r>
        <w:rPr>
          <w:color w:val="5E5A52"/>
          <w:sz w:val="21"/>
        </w:rPr>
        <w:t>Enterprise tier: Priced for commercial value, not cost. Estate agents and brokers pay £79-£99/month for tools that save their clients hours and increase conversion rates.</w:t>
      </w:r>
    </w:p>
    <w:p>
      <w:pPr>
        <w:spacing w:before="160" w:after="160"/>
        <w:pBdr>
          <w:bottom w:val="single" w:sz="4" w:space="1" w:color="D1CEC8"/>
        </w:pBdr>
      </w:pPr>
    </w:p>
    <w:p>
      <w:pPr>
        <w:pStyle w:val="Heading1"/>
        <w:spacing w:before="400" w:after="120"/>
      </w:pPr>
      <w:r>
        <w:rPr>
          <w:color w:val="1D9E75"/>
          <w:sz w:val="32"/>
        </w:rPr>
        <w:t>39. Sales Funnel</w:t>
      </w:r>
    </w:p>
    <w:tbl>
      <w:tblPr>
        <w:tblStyle w:val="TableGrid"/>
        <w:tblW w:type="auto" w:w="0"/>
        <w:tblLook w:firstColumn="1" w:firstRow="1" w:lastColumn="0" w:lastRow="0" w:noHBand="0" w:noVBand="1" w:val="04A0"/>
      </w:tblPr>
      <w:tblGrid>
        <w:gridCol w:w="2351"/>
        <w:gridCol w:w="2351"/>
        <w:gridCol w:w="2351"/>
        <w:gridCol w:w="2351"/>
      </w:tblGrid>
      <w:tr>
        <w:tc>
          <w:tcPr>
            <w:tcW w:type="dxa" w:w="2351"/>
            <w:vAlign w:val="center"/>
            <w:tcW w:w="1080000" w:type="dxa"/>
            <w:shd w:val="clear" w:color="auto" w:fill="1D9E75"/>
          </w:tcPr>
          <w:p>
            <w:pPr>
              <w:spacing w:before="60" w:after="60"/>
              <w:ind w:left="113"/>
            </w:pPr>
            <w:r>
              <w:rPr>
                <w:b/>
                <w:color w:val="FFFFFF"/>
                <w:sz w:val="19"/>
              </w:rPr>
              <w:t>Stage</w:t>
            </w:r>
          </w:p>
        </w:tc>
        <w:tc>
          <w:tcPr>
            <w:tcW w:type="dxa" w:w="2351"/>
            <w:vAlign w:val="center"/>
            <w:tcW w:w="1440000" w:type="dxa"/>
            <w:shd w:val="clear" w:color="auto" w:fill="1D9E75"/>
          </w:tcPr>
          <w:p>
            <w:pPr>
              <w:spacing w:before="60" w:after="60"/>
              <w:ind w:left="113"/>
            </w:pPr>
            <w:r>
              <w:rPr>
                <w:b/>
                <w:color w:val="FFFFFF"/>
                <w:sz w:val="19"/>
              </w:rPr>
              <w:t>Channel</w:t>
            </w:r>
          </w:p>
        </w:tc>
        <w:tc>
          <w:tcPr>
            <w:tcW w:type="dxa" w:w="2351"/>
            <w:vAlign w:val="center"/>
            <w:tcW w:w="2340000" w:type="dxa"/>
            <w:shd w:val="clear" w:color="auto" w:fill="1D9E75"/>
          </w:tcPr>
          <w:p>
            <w:pPr>
              <w:spacing w:before="60" w:after="60"/>
              <w:ind w:left="113"/>
            </w:pPr>
            <w:r>
              <w:rPr>
                <w:b/>
                <w:color w:val="FFFFFF"/>
                <w:sz w:val="19"/>
              </w:rPr>
              <w:t>Action</w:t>
            </w:r>
          </w:p>
        </w:tc>
        <w:tc>
          <w:tcPr>
            <w:tcW w:type="dxa" w:w="2351"/>
            <w:vAlign w:val="center"/>
            <w:tcW w:w="1260000" w:type="dxa"/>
            <w:shd w:val="clear" w:color="auto" w:fill="1D9E75"/>
          </w:tcPr>
          <w:p>
            <w:pPr>
              <w:spacing w:before="60" w:after="60"/>
              <w:ind w:left="113"/>
            </w:pPr>
            <w:r>
              <w:rPr>
                <w:b/>
                <w:color w:val="FFFFFF"/>
                <w:sz w:val="19"/>
              </w:rPr>
              <w:t>Conversion target</w:t>
            </w:r>
          </w:p>
        </w:tc>
      </w:tr>
      <w:tr>
        <w:tc>
          <w:tcPr>
            <w:tcW w:type="dxa" w:w="2351"/>
            <w:vAlign w:val="center"/>
            <w:tcW w:w="1080000" w:type="dxa"/>
          </w:tcPr>
          <w:p>
            <w:pPr>
              <w:spacing w:before="60" w:after="60"/>
              <w:ind w:left="113"/>
            </w:pPr>
            <w:r>
              <w:rPr>
                <w:b w:val="0"/>
                <w:color w:val="1A1917"/>
                <w:sz w:val="19"/>
              </w:rPr>
              <w:t>Awareness</w:t>
            </w:r>
          </w:p>
        </w:tc>
        <w:tc>
          <w:tcPr>
            <w:tcW w:type="dxa" w:w="2351"/>
            <w:vAlign w:val="center"/>
            <w:tcW w:w="1440000" w:type="dxa"/>
          </w:tcPr>
          <w:p>
            <w:pPr>
              <w:spacing w:before="60" w:after="60"/>
              <w:ind w:left="113"/>
            </w:pPr>
            <w:r>
              <w:rPr>
                <w:b w:val="0"/>
                <w:color w:val="5E5A52"/>
                <w:sz w:val="19"/>
              </w:rPr>
              <w:t>SEO, social, Reddit, word-of-mouth</w:t>
            </w:r>
          </w:p>
        </w:tc>
        <w:tc>
          <w:tcPr>
            <w:tcW w:type="dxa" w:w="2351"/>
            <w:vAlign w:val="center"/>
            <w:tcW w:w="2340000" w:type="dxa"/>
          </w:tcPr>
          <w:p>
            <w:pPr>
              <w:spacing w:before="60" w:after="60"/>
              <w:ind w:left="113"/>
            </w:pPr>
            <w:r>
              <w:rPr>
                <w:b w:val="0"/>
                <w:color w:val="5E5A52"/>
                <w:sz w:val="19"/>
              </w:rPr>
              <w:t>User discovers PropPilot via search or referral</w:t>
            </w:r>
          </w:p>
        </w:tc>
        <w:tc>
          <w:tcPr>
            <w:tcW w:type="dxa" w:w="2351"/>
            <w:vAlign w:val="center"/>
            <w:tcW w:w="1260000" w:type="dxa"/>
          </w:tcPr>
          <w:p>
            <w:pPr>
              <w:spacing w:before="60" w:after="60"/>
              <w:ind w:left="113"/>
            </w:pPr>
            <w:r>
              <w:rPr>
                <w:b w:val="0"/>
                <w:color w:val="5E5A52"/>
                <w:sz w:val="19"/>
              </w:rPr>
              <w:t>N/A (traffic target)</w:t>
            </w:r>
          </w:p>
        </w:tc>
      </w:tr>
      <w:tr>
        <w:tc>
          <w:tcPr>
            <w:tcW w:type="dxa" w:w="2351"/>
            <w:vAlign w:val="center"/>
            <w:tcW w:w="1080000" w:type="dxa"/>
            <w:shd w:val="clear" w:color="auto" w:fill="F8F7F4"/>
          </w:tcPr>
          <w:p>
            <w:pPr>
              <w:spacing w:before="60" w:after="60"/>
              <w:ind w:left="113"/>
            </w:pPr>
            <w:r>
              <w:rPr>
                <w:b w:val="0"/>
                <w:color w:val="1A1917"/>
                <w:sz w:val="19"/>
              </w:rPr>
              <w:t>Acquisition</w:t>
            </w:r>
          </w:p>
        </w:tc>
        <w:tc>
          <w:tcPr>
            <w:tcW w:type="dxa" w:w="2351"/>
            <w:vAlign w:val="center"/>
            <w:tcW w:w="1440000" w:type="dxa"/>
            <w:shd w:val="clear" w:color="auto" w:fill="F8F7F4"/>
          </w:tcPr>
          <w:p>
            <w:pPr>
              <w:spacing w:before="60" w:after="60"/>
              <w:ind w:left="113"/>
            </w:pPr>
            <w:r>
              <w:rPr>
                <w:b w:val="0"/>
                <w:color w:val="5E5A52"/>
                <w:sz w:val="19"/>
              </w:rPr>
              <w:t>Free tools (no sign-up required)</w:t>
            </w:r>
          </w:p>
        </w:tc>
        <w:tc>
          <w:tcPr>
            <w:tcW w:type="dxa" w:w="2351"/>
            <w:vAlign w:val="center"/>
            <w:tcW w:w="2340000" w:type="dxa"/>
            <w:shd w:val="clear" w:color="auto" w:fill="F8F7F4"/>
          </w:tcPr>
          <w:p>
            <w:pPr>
              <w:spacing w:before="60" w:after="60"/>
              <w:ind w:left="113"/>
            </w:pPr>
            <w:r>
              <w:rPr>
                <w:b w:val="0"/>
                <w:color w:val="5E5A52"/>
                <w:sz w:val="19"/>
              </w:rPr>
              <w:t>User runs property report or SDLT calc without logging in</w:t>
            </w:r>
          </w:p>
        </w:tc>
        <w:tc>
          <w:tcPr>
            <w:tcW w:type="dxa" w:w="2351"/>
            <w:vAlign w:val="center"/>
            <w:tcW w:w="1260000" w:type="dxa"/>
            <w:shd w:val="clear" w:color="auto" w:fill="F8F7F4"/>
          </w:tcPr>
          <w:p>
            <w:pPr>
              <w:spacing w:before="60" w:after="60"/>
              <w:ind w:left="113"/>
            </w:pPr>
            <w:r>
              <w:rPr>
                <w:b w:val="0"/>
                <w:color w:val="5E5A52"/>
                <w:sz w:val="19"/>
              </w:rPr>
              <w:t>15% sign-up from tool users</w:t>
            </w:r>
          </w:p>
        </w:tc>
      </w:tr>
      <w:tr>
        <w:tc>
          <w:tcPr>
            <w:tcW w:type="dxa" w:w="2351"/>
            <w:vAlign w:val="center"/>
            <w:tcW w:w="1080000" w:type="dxa"/>
          </w:tcPr>
          <w:p>
            <w:pPr>
              <w:spacing w:before="60" w:after="60"/>
              <w:ind w:left="113"/>
            </w:pPr>
            <w:r>
              <w:rPr>
                <w:b w:val="0"/>
                <w:color w:val="1A1917"/>
                <w:sz w:val="19"/>
              </w:rPr>
              <w:t>Activation</w:t>
            </w:r>
          </w:p>
        </w:tc>
        <w:tc>
          <w:tcPr>
            <w:tcW w:type="dxa" w:w="2351"/>
            <w:vAlign w:val="center"/>
            <w:tcW w:w="1440000" w:type="dxa"/>
          </w:tcPr>
          <w:p>
            <w:pPr>
              <w:spacing w:before="60" w:after="60"/>
              <w:ind w:left="113"/>
            </w:pPr>
            <w:r>
              <w:rPr>
                <w:b w:val="0"/>
                <w:color w:val="5E5A52"/>
                <w:sz w:val="19"/>
              </w:rPr>
              <w:t>Sign-up → role selection → dashboard</w:t>
            </w:r>
          </w:p>
        </w:tc>
        <w:tc>
          <w:tcPr>
            <w:tcW w:type="dxa" w:w="2351"/>
            <w:vAlign w:val="center"/>
            <w:tcW w:w="2340000" w:type="dxa"/>
          </w:tcPr>
          <w:p>
            <w:pPr>
              <w:spacing w:before="60" w:after="60"/>
              <w:ind w:left="113"/>
            </w:pPr>
            <w:r>
              <w:rPr>
                <w:b w:val="0"/>
                <w:color w:val="5E5A52"/>
                <w:sz w:val="19"/>
              </w:rPr>
              <w:t>User completes sign-up, explores dashboard, runs 1 report</w:t>
            </w:r>
          </w:p>
        </w:tc>
        <w:tc>
          <w:tcPr>
            <w:tcW w:type="dxa" w:w="2351"/>
            <w:vAlign w:val="center"/>
            <w:tcW w:w="1260000" w:type="dxa"/>
          </w:tcPr>
          <w:p>
            <w:pPr>
              <w:spacing w:before="60" w:after="60"/>
              <w:ind w:left="113"/>
            </w:pPr>
            <w:r>
              <w:rPr>
                <w:b w:val="0"/>
                <w:color w:val="5E5A52"/>
                <w:sz w:val="19"/>
              </w:rPr>
              <w:t>70% of sign-ups activate</w:t>
            </w:r>
          </w:p>
        </w:tc>
      </w:tr>
      <w:tr>
        <w:tc>
          <w:tcPr>
            <w:tcW w:type="dxa" w:w="2351"/>
            <w:vAlign w:val="center"/>
            <w:tcW w:w="1080000" w:type="dxa"/>
            <w:shd w:val="clear" w:color="auto" w:fill="F8F7F4"/>
          </w:tcPr>
          <w:p>
            <w:pPr>
              <w:spacing w:before="60" w:after="60"/>
              <w:ind w:left="113"/>
            </w:pPr>
            <w:r>
              <w:rPr>
                <w:b w:val="0"/>
                <w:color w:val="1A1917"/>
                <w:sz w:val="19"/>
              </w:rPr>
              <w:t>Retention</w:t>
            </w:r>
          </w:p>
        </w:tc>
        <w:tc>
          <w:tcPr>
            <w:tcW w:type="dxa" w:w="2351"/>
            <w:vAlign w:val="center"/>
            <w:tcW w:w="1440000" w:type="dxa"/>
            <w:shd w:val="clear" w:color="auto" w:fill="F8F7F4"/>
          </w:tcPr>
          <w:p>
            <w:pPr>
              <w:spacing w:before="60" w:after="60"/>
              <w:ind w:left="113"/>
            </w:pPr>
            <w:r>
              <w:rPr>
                <w:b w:val="0"/>
                <w:color w:val="5E5A52"/>
                <w:sz w:val="19"/>
              </w:rPr>
              <w:t>Email sequences, in-app reminders</w:t>
            </w:r>
          </w:p>
        </w:tc>
        <w:tc>
          <w:tcPr>
            <w:tcW w:type="dxa" w:w="2351"/>
            <w:vAlign w:val="center"/>
            <w:tcW w:w="2340000" w:type="dxa"/>
            <w:shd w:val="clear" w:color="auto" w:fill="F8F7F4"/>
          </w:tcPr>
          <w:p>
            <w:pPr>
              <w:spacing w:before="60" w:after="60"/>
              <w:ind w:left="113"/>
            </w:pPr>
            <w:r>
              <w:rPr>
                <w:b w:val="0"/>
                <w:color w:val="5E5A52"/>
                <w:sz w:val="19"/>
              </w:rPr>
              <w:t>User returns within 7 days and runs a second report</w:t>
            </w:r>
          </w:p>
        </w:tc>
        <w:tc>
          <w:tcPr>
            <w:tcW w:type="dxa" w:w="2351"/>
            <w:vAlign w:val="center"/>
            <w:tcW w:w="1260000" w:type="dxa"/>
            <w:shd w:val="clear" w:color="auto" w:fill="F8F7F4"/>
          </w:tcPr>
          <w:p>
            <w:pPr>
              <w:spacing w:before="60" w:after="60"/>
              <w:ind w:left="113"/>
            </w:pPr>
            <w:r>
              <w:rPr>
                <w:b w:val="0"/>
                <w:color w:val="5E5A52"/>
                <w:sz w:val="19"/>
              </w:rPr>
              <w:t>45% 7-day retention</w:t>
            </w:r>
          </w:p>
        </w:tc>
      </w:tr>
      <w:tr>
        <w:tc>
          <w:tcPr>
            <w:tcW w:type="dxa" w:w="2351"/>
            <w:vAlign w:val="center"/>
            <w:tcW w:w="1080000" w:type="dxa"/>
          </w:tcPr>
          <w:p>
            <w:pPr>
              <w:spacing w:before="60" w:after="60"/>
              <w:ind w:left="113"/>
            </w:pPr>
            <w:r>
              <w:rPr>
                <w:b w:val="0"/>
                <w:color w:val="1A1917"/>
                <w:sz w:val="19"/>
              </w:rPr>
              <w:t>Revenue</w:t>
            </w:r>
          </w:p>
        </w:tc>
        <w:tc>
          <w:tcPr>
            <w:tcW w:type="dxa" w:w="2351"/>
            <w:vAlign w:val="center"/>
            <w:tcW w:w="1440000" w:type="dxa"/>
          </w:tcPr>
          <w:p>
            <w:pPr>
              <w:spacing w:before="60" w:after="60"/>
              <w:ind w:left="113"/>
            </w:pPr>
            <w:r>
              <w:rPr>
                <w:b w:val="0"/>
                <w:color w:val="5E5A52"/>
                <w:sz w:val="19"/>
              </w:rPr>
              <w:t>Feature gate → upgrade nudge</w:t>
            </w:r>
          </w:p>
        </w:tc>
        <w:tc>
          <w:tcPr>
            <w:tcW w:type="dxa" w:w="2351"/>
            <w:vAlign w:val="center"/>
            <w:tcW w:w="2340000" w:type="dxa"/>
          </w:tcPr>
          <w:p>
            <w:pPr>
              <w:spacing w:before="60" w:after="60"/>
              <w:ind w:left="113"/>
            </w:pPr>
            <w:r>
              <w:rPr>
                <w:b w:val="0"/>
                <w:color w:val="5E5A52"/>
                <w:sz w:val="19"/>
              </w:rPr>
              <w:t>User hits free limit or sees Pro feature → upgrades</w:t>
            </w:r>
          </w:p>
        </w:tc>
        <w:tc>
          <w:tcPr>
            <w:tcW w:type="dxa" w:w="2351"/>
            <w:vAlign w:val="center"/>
            <w:tcW w:w="1260000" w:type="dxa"/>
          </w:tcPr>
          <w:p>
            <w:pPr>
              <w:spacing w:before="60" w:after="60"/>
              <w:ind w:left="113"/>
            </w:pPr>
            <w:r>
              <w:rPr>
                <w:b w:val="0"/>
                <w:color w:val="5E5A52"/>
                <w:sz w:val="19"/>
              </w:rPr>
              <w:t>10% of actives convert to paid</w:t>
            </w:r>
          </w:p>
        </w:tc>
      </w:tr>
      <w:tr>
        <w:tc>
          <w:tcPr>
            <w:tcW w:type="dxa" w:w="2351"/>
            <w:vAlign w:val="center"/>
            <w:tcW w:w="1080000" w:type="dxa"/>
            <w:shd w:val="clear" w:color="auto" w:fill="F8F7F4"/>
          </w:tcPr>
          <w:p>
            <w:pPr>
              <w:spacing w:before="60" w:after="60"/>
              <w:ind w:left="113"/>
            </w:pPr>
            <w:r>
              <w:rPr>
                <w:b w:val="0"/>
                <w:color w:val="1A1917"/>
                <w:sz w:val="19"/>
              </w:rPr>
              <w:t>Referral</w:t>
            </w:r>
          </w:p>
        </w:tc>
        <w:tc>
          <w:tcPr>
            <w:tcW w:type="dxa" w:w="2351"/>
            <w:vAlign w:val="center"/>
            <w:tcW w:w="1440000" w:type="dxa"/>
            <w:shd w:val="clear" w:color="auto" w:fill="F8F7F4"/>
          </w:tcPr>
          <w:p>
            <w:pPr>
              <w:spacing w:before="60" w:after="60"/>
              <w:ind w:left="113"/>
            </w:pPr>
            <w:r>
              <w:rPr>
                <w:b w:val="0"/>
                <w:color w:val="5E5A52"/>
                <w:sz w:val="19"/>
              </w:rPr>
              <w:t>Share report, referral programme</w:t>
            </w:r>
          </w:p>
        </w:tc>
        <w:tc>
          <w:tcPr>
            <w:tcW w:type="dxa" w:w="2351"/>
            <w:vAlign w:val="center"/>
            <w:tcW w:w="2340000" w:type="dxa"/>
            <w:shd w:val="clear" w:color="auto" w:fill="F8F7F4"/>
          </w:tcPr>
          <w:p>
            <w:pPr>
              <w:spacing w:before="60" w:after="60"/>
              <w:ind w:left="113"/>
            </w:pPr>
            <w:r>
              <w:rPr>
                <w:b w:val="0"/>
                <w:color w:val="5E5A52"/>
                <w:sz w:val="19"/>
              </w:rPr>
              <w:t>User shares PropPilot report link or recommends to friend</w:t>
            </w:r>
          </w:p>
        </w:tc>
        <w:tc>
          <w:tcPr>
            <w:tcW w:type="dxa" w:w="2351"/>
            <w:vAlign w:val="center"/>
            <w:tcW w:w="1260000" w:type="dxa"/>
            <w:shd w:val="clear" w:color="auto" w:fill="F8F7F4"/>
          </w:tcPr>
          <w:p>
            <w:pPr>
              <w:spacing w:before="60" w:after="60"/>
              <w:ind w:left="113"/>
            </w:pPr>
            <w:r>
              <w:rPr>
                <w:b w:val="0"/>
                <w:color w:val="5E5A52"/>
                <w:sz w:val="19"/>
              </w:rPr>
              <w:t>1.2 referrals per paid user</w:t>
            </w:r>
          </w:p>
        </w:tc>
      </w:tr>
    </w:tbl>
    <w:p/>
    <w:p>
      <w:pPr>
        <w:spacing w:before="160" w:after="160"/>
        <w:pBdr>
          <w:bottom w:val="single" w:sz="4" w:space="1" w:color="D1CEC8"/>
        </w:pBdr>
      </w:pPr>
    </w:p>
    <w:p>
      <w:r>
        <w:br w:type="page"/>
      </w:r>
    </w:p>
    <w:p>
      <w:pPr>
        <w:pStyle w:val="Heading1"/>
        <w:spacing w:before="400" w:after="120"/>
      </w:pPr>
      <w:r>
        <w:rPr>
          <w:color w:val="1D9E75"/>
          <w:sz w:val="32"/>
        </w:rPr>
        <w:t>40. Sales Strategy</w:t>
      </w:r>
    </w:p>
    <w:p>
      <w:pPr>
        <w:pStyle w:val="Heading2"/>
        <w:spacing w:before="240" w:after="80"/>
      </w:pPr>
      <w:r>
        <w:rPr>
          <w:color w:val="1A1917"/>
          <w:sz w:val="26"/>
        </w:rPr>
        <w:t>B2C sales: product-led growth (PLG)</w:t>
      </w:r>
    </w:p>
    <w:p>
      <w:pPr>
        <w:spacing w:after="120"/>
      </w:pPr>
      <w:r>
        <w:rPr>
          <w:i w:val="0"/>
          <w:color w:val="5E5A52"/>
          <w:sz w:val="21"/>
        </w:rPr>
        <w:t>PropPilot's B2C strategy is entirely product-led — the free tier is the top of funnel. No sales team is needed for B2C conversion; the product sells itself through demonstrated value and feature gating.</w:t>
      </w:r>
    </w:p>
    <w:p>
      <w:pPr>
        <w:pStyle w:val="ListBullet"/>
        <w:spacing w:after="60"/>
        <w:ind w:left="283"/>
      </w:pPr>
      <w:r>
        <w:rPr>
          <w:color w:val="5E5A52"/>
          <w:sz w:val="21"/>
        </w:rPr>
        <w:t>SEO: Postcode-specific landing pages (targeting "flood risk check [postcode]", "council tax band [street]") capturing high-intent buyer queries.</w:t>
      </w:r>
    </w:p>
    <w:p>
      <w:pPr>
        <w:pStyle w:val="ListBullet"/>
        <w:spacing w:after="60"/>
        <w:ind w:left="283"/>
      </w:pPr>
      <w:r>
        <w:rPr>
          <w:color w:val="5E5A52"/>
          <w:sz w:val="21"/>
        </w:rPr>
        <w:t>Content: A UK property blog covering topics buyers search for: "how to read an EPC", "what does Band D mean", "leasehold vs freehold explained".</w:t>
      </w:r>
    </w:p>
    <w:p>
      <w:pPr>
        <w:pStyle w:val="ListBullet"/>
        <w:spacing w:after="60"/>
        <w:ind w:left="283"/>
      </w:pPr>
      <w:r>
        <w:rPr>
          <w:color w:val="5E5A52"/>
          <w:sz w:val="21"/>
        </w:rPr>
        <w:t>Referral programme: Paying users get a unique referral link. For each referred user who upgrades to Pro, referrer receives one month free.</w:t>
      </w:r>
    </w:p>
    <w:p>
      <w:pPr>
        <w:pStyle w:val="Heading2"/>
        <w:spacing w:before="240" w:after="80"/>
      </w:pPr>
      <w:r>
        <w:rPr>
          <w:color w:val="1A1917"/>
          <w:sz w:val="26"/>
        </w:rPr>
        <w:t>B2B sales: founder-led → hire SDR at Month 9</w:t>
      </w:r>
    </w:p>
    <w:p>
      <w:pPr>
        <w:pStyle w:val="ListBullet"/>
        <w:spacing w:after="60"/>
        <w:ind w:left="283"/>
      </w:pPr>
      <w:r>
        <w:rPr>
          <w:color w:val="5E5A52"/>
          <w:sz w:val="21"/>
        </w:rPr>
        <w:t>Months 1-8: Founder-led outbound to independent estate agents (LinkedIn DM, email), mortgage brokers, and landlord associations.</w:t>
      </w:r>
    </w:p>
    <w:p>
      <w:pPr>
        <w:pStyle w:val="ListBullet"/>
        <w:spacing w:after="60"/>
        <w:ind w:left="283"/>
      </w:pPr>
      <w:r>
        <w:rPr>
          <w:color w:val="5E5A52"/>
          <w:sz w:val="21"/>
        </w:rPr>
        <w:t>Month 9+: Hire first Sales Development Representative (SDR). Target: 20 B2B demos/month, 5 closed accounts/month.</w:t>
      </w:r>
    </w:p>
    <w:p>
      <w:pPr>
        <w:pStyle w:val="ListBullet"/>
        <w:spacing w:after="60"/>
        <w:ind w:left="283"/>
      </w:pPr>
      <w:r>
        <w:rPr>
          <w:color w:val="5E5A52"/>
          <w:sz w:val="21"/>
        </w:rPr>
        <w:t>Conference presence: NAEA Propertymark Conference, ARLA Propertymark, UK Landlord Expo — target for Year 2 sales.</w:t>
      </w:r>
    </w:p>
    <w:p>
      <w:pPr>
        <w:spacing w:before="160" w:after="160"/>
        <w:pBdr>
          <w:bottom w:val="single" w:sz="4" w:space="1" w:color="D1CEC8"/>
        </w:pBdr>
      </w:pPr>
    </w:p>
    <w:p>
      <w:pPr>
        <w:pStyle w:val="Heading1"/>
        <w:spacing w:before="400" w:after="120"/>
      </w:pPr>
      <w:r>
        <w:rPr>
          <w:color w:val="1D9E75"/>
          <w:sz w:val="32"/>
        </w:rPr>
        <w:t>41. Marketing Budget</w:t>
      </w:r>
    </w:p>
    <w:tbl>
      <w:tblPr>
        <w:tblStyle w:val="TableGrid"/>
        <w:tblW w:type="auto" w:w="0"/>
        <w:tblLook w:firstColumn="1" w:firstRow="1" w:lastColumn="0" w:lastRow="0" w:noHBand="0" w:noVBand="1" w:val="04A0"/>
      </w:tblPr>
      <w:tblGrid>
        <w:gridCol w:w="2351"/>
        <w:gridCol w:w="2351"/>
        <w:gridCol w:w="2351"/>
        <w:gridCol w:w="2351"/>
      </w:tblGrid>
      <w:tr>
        <w:tc>
          <w:tcPr>
            <w:tcW w:type="dxa" w:w="2351"/>
            <w:vAlign w:val="center"/>
            <w:tcW w:w="1800000" w:type="dxa"/>
            <w:shd w:val="clear" w:color="auto" w:fill="1D9E75"/>
          </w:tcPr>
          <w:p>
            <w:pPr>
              <w:spacing w:before="60" w:after="60"/>
              <w:ind w:left="113"/>
            </w:pPr>
            <w:r>
              <w:rPr>
                <w:b/>
                <w:color w:val="FFFFFF"/>
                <w:sz w:val="19"/>
              </w:rPr>
              <w:t>Activity</w:t>
            </w:r>
          </w:p>
        </w:tc>
        <w:tc>
          <w:tcPr>
            <w:tcW w:type="dxa" w:w="2351"/>
            <w:vAlign w:val="center"/>
            <w:tcW w:w="1080000" w:type="dxa"/>
            <w:shd w:val="clear" w:color="auto" w:fill="1D9E75"/>
          </w:tcPr>
          <w:p>
            <w:pPr>
              <w:spacing w:before="60" w:after="60"/>
              <w:ind w:left="113"/>
            </w:pPr>
            <w:r>
              <w:rPr>
                <w:b/>
                <w:color w:val="FFFFFF"/>
                <w:sz w:val="19"/>
              </w:rPr>
              <w:t>Year 1 budget</w:t>
            </w:r>
          </w:p>
        </w:tc>
        <w:tc>
          <w:tcPr>
            <w:tcW w:type="dxa" w:w="2351"/>
            <w:vAlign w:val="center"/>
            <w:tcW w:w="1080000" w:type="dxa"/>
            <w:shd w:val="clear" w:color="auto" w:fill="1D9E75"/>
          </w:tcPr>
          <w:p>
            <w:pPr>
              <w:spacing w:before="60" w:after="60"/>
              <w:ind w:left="113"/>
            </w:pPr>
            <w:r>
              <w:rPr>
                <w:b/>
                <w:color w:val="FFFFFF"/>
                <w:sz w:val="19"/>
              </w:rPr>
              <w:t>Year 2 budget</w:t>
            </w:r>
          </w:p>
        </w:tc>
        <w:tc>
          <w:tcPr>
            <w:tcW w:type="dxa" w:w="2351"/>
            <w:vAlign w:val="center"/>
            <w:tcW w:w="2520000" w:type="dxa"/>
            <w:shd w:val="clear" w:color="auto" w:fill="1D9E75"/>
          </w:tcPr>
          <w:p>
            <w:pPr>
              <w:spacing w:before="60" w:after="60"/>
              <w:ind w:left="113"/>
            </w:pPr>
            <w:r>
              <w:rPr>
                <w:b/>
                <w:color w:val="FFFFFF"/>
                <w:sz w:val="19"/>
              </w:rPr>
              <w:t>Rationale</w:t>
            </w:r>
          </w:p>
        </w:tc>
      </w:tr>
      <w:tr>
        <w:tc>
          <w:tcPr>
            <w:tcW w:type="dxa" w:w="2351"/>
            <w:vAlign w:val="center"/>
            <w:tcW w:w="1800000" w:type="dxa"/>
          </w:tcPr>
          <w:p>
            <w:pPr>
              <w:spacing w:before="60" w:after="60"/>
              <w:ind w:left="113"/>
            </w:pPr>
            <w:r>
              <w:rPr>
                <w:b w:val="0"/>
                <w:color w:val="1A1917"/>
                <w:sz w:val="19"/>
              </w:rPr>
              <w:t>SEO content production</w:t>
            </w:r>
          </w:p>
        </w:tc>
        <w:tc>
          <w:tcPr>
            <w:tcW w:type="dxa" w:w="2351"/>
            <w:vAlign w:val="center"/>
            <w:tcW w:w="1080000" w:type="dxa"/>
          </w:tcPr>
          <w:p>
            <w:pPr>
              <w:spacing w:before="60" w:after="60"/>
              <w:ind w:left="113"/>
            </w:pPr>
            <w:r>
              <w:rPr>
                <w:b w:val="0"/>
                <w:color w:val="5E5A52"/>
                <w:sz w:val="19"/>
              </w:rPr>
              <w:t>£8,000</w:t>
            </w:r>
          </w:p>
        </w:tc>
        <w:tc>
          <w:tcPr>
            <w:tcW w:type="dxa" w:w="2351"/>
            <w:vAlign w:val="center"/>
            <w:tcW w:w="1080000" w:type="dxa"/>
          </w:tcPr>
          <w:p>
            <w:pPr>
              <w:spacing w:before="60" w:after="60"/>
              <w:ind w:left="113"/>
            </w:pPr>
            <w:r>
              <w:rPr>
                <w:b w:val="0"/>
                <w:color w:val="5E5A52"/>
                <w:sz w:val="19"/>
              </w:rPr>
              <w:t>£20,000</w:t>
            </w:r>
          </w:p>
        </w:tc>
        <w:tc>
          <w:tcPr>
            <w:tcW w:type="dxa" w:w="2351"/>
            <w:vAlign w:val="center"/>
            <w:tcW w:w="2520000" w:type="dxa"/>
          </w:tcPr>
          <w:p>
            <w:pPr>
              <w:spacing w:before="60" w:after="60"/>
              <w:ind w:left="113"/>
            </w:pPr>
            <w:r>
              <w:rPr>
                <w:b w:val="0"/>
                <w:color w:val="5E5A52"/>
                <w:sz w:val="19"/>
              </w:rPr>
              <w:t>80% of organic traffic driven by long-form content</w:t>
            </w:r>
          </w:p>
        </w:tc>
      </w:tr>
      <w:tr>
        <w:tc>
          <w:tcPr>
            <w:tcW w:type="dxa" w:w="2351"/>
            <w:vAlign w:val="center"/>
            <w:tcW w:w="1800000" w:type="dxa"/>
            <w:shd w:val="clear" w:color="auto" w:fill="F8F7F4"/>
          </w:tcPr>
          <w:p>
            <w:pPr>
              <w:spacing w:before="60" w:after="60"/>
              <w:ind w:left="113"/>
            </w:pPr>
            <w:r>
              <w:rPr>
                <w:b w:val="0"/>
                <w:color w:val="1A1917"/>
                <w:sz w:val="19"/>
              </w:rPr>
              <w:t>Technical SEO</w:t>
            </w:r>
          </w:p>
        </w:tc>
        <w:tc>
          <w:tcPr>
            <w:tcW w:type="dxa" w:w="2351"/>
            <w:vAlign w:val="center"/>
            <w:tcW w:w="1080000" w:type="dxa"/>
            <w:shd w:val="clear" w:color="auto" w:fill="F8F7F4"/>
          </w:tcPr>
          <w:p>
            <w:pPr>
              <w:spacing w:before="60" w:after="60"/>
              <w:ind w:left="113"/>
            </w:pPr>
            <w:r>
              <w:rPr>
                <w:b w:val="0"/>
                <w:color w:val="5E5A52"/>
                <w:sz w:val="19"/>
              </w:rPr>
              <w:t>£3,000</w:t>
            </w:r>
          </w:p>
        </w:tc>
        <w:tc>
          <w:tcPr>
            <w:tcW w:type="dxa" w:w="2351"/>
            <w:vAlign w:val="center"/>
            <w:tcW w:w="1080000" w:type="dxa"/>
            <w:shd w:val="clear" w:color="auto" w:fill="F8F7F4"/>
          </w:tcPr>
          <w:p>
            <w:pPr>
              <w:spacing w:before="60" w:after="60"/>
              <w:ind w:left="113"/>
            </w:pPr>
            <w:r>
              <w:rPr>
                <w:b w:val="0"/>
                <w:color w:val="5E5A52"/>
                <w:sz w:val="19"/>
              </w:rPr>
              <w:t>£5,000</w:t>
            </w:r>
          </w:p>
        </w:tc>
        <w:tc>
          <w:tcPr>
            <w:tcW w:type="dxa" w:w="2351"/>
            <w:vAlign w:val="center"/>
            <w:tcW w:w="2520000" w:type="dxa"/>
            <w:shd w:val="clear" w:color="auto" w:fill="F8F7F4"/>
          </w:tcPr>
          <w:p>
            <w:pPr>
              <w:spacing w:before="60" w:after="60"/>
              <w:ind w:left="113"/>
            </w:pPr>
            <w:r>
              <w:rPr>
                <w:b w:val="0"/>
                <w:color w:val="5E5A52"/>
                <w:sz w:val="19"/>
              </w:rPr>
              <w:t>Site structure, postcode landing pages, schema markup</w:t>
            </w:r>
          </w:p>
        </w:tc>
      </w:tr>
      <w:tr>
        <w:tc>
          <w:tcPr>
            <w:tcW w:type="dxa" w:w="2351"/>
            <w:vAlign w:val="center"/>
            <w:tcW w:w="1800000" w:type="dxa"/>
          </w:tcPr>
          <w:p>
            <w:pPr>
              <w:spacing w:before="60" w:after="60"/>
              <w:ind w:left="113"/>
            </w:pPr>
            <w:r>
              <w:rPr>
                <w:b w:val="0"/>
                <w:color w:val="1A1917"/>
                <w:sz w:val="19"/>
              </w:rPr>
              <w:t>Paid search (Google Ads)</w:t>
            </w:r>
          </w:p>
        </w:tc>
        <w:tc>
          <w:tcPr>
            <w:tcW w:type="dxa" w:w="2351"/>
            <w:vAlign w:val="center"/>
            <w:tcW w:w="1080000" w:type="dxa"/>
          </w:tcPr>
          <w:p>
            <w:pPr>
              <w:spacing w:before="60" w:after="60"/>
              <w:ind w:left="113"/>
            </w:pPr>
            <w:r>
              <w:rPr>
                <w:b w:val="0"/>
                <w:color w:val="5E5A52"/>
                <w:sz w:val="19"/>
              </w:rPr>
              <w:t>£5,000</w:t>
            </w:r>
          </w:p>
        </w:tc>
        <w:tc>
          <w:tcPr>
            <w:tcW w:type="dxa" w:w="2351"/>
            <w:vAlign w:val="center"/>
            <w:tcW w:w="1080000" w:type="dxa"/>
          </w:tcPr>
          <w:p>
            <w:pPr>
              <w:spacing w:before="60" w:after="60"/>
              <w:ind w:left="113"/>
            </w:pPr>
            <w:r>
              <w:rPr>
                <w:b w:val="0"/>
                <w:color w:val="5E5A52"/>
                <w:sz w:val="19"/>
              </w:rPr>
              <w:t>£25,000</w:t>
            </w:r>
          </w:p>
        </w:tc>
        <w:tc>
          <w:tcPr>
            <w:tcW w:type="dxa" w:w="2351"/>
            <w:vAlign w:val="center"/>
            <w:tcW w:w="2520000" w:type="dxa"/>
          </w:tcPr>
          <w:p>
            <w:pPr>
              <w:spacing w:before="60" w:after="60"/>
              <w:ind w:left="113"/>
            </w:pPr>
            <w:r>
              <w:rPr>
                <w:b w:val="0"/>
                <w:color w:val="5E5A52"/>
                <w:sz w:val="19"/>
              </w:rPr>
              <w:t>High-intent buyer queries; test in Q3 Year 1</w:t>
            </w:r>
          </w:p>
        </w:tc>
      </w:tr>
      <w:tr>
        <w:tc>
          <w:tcPr>
            <w:tcW w:type="dxa" w:w="2351"/>
            <w:vAlign w:val="center"/>
            <w:tcW w:w="1800000" w:type="dxa"/>
            <w:shd w:val="clear" w:color="auto" w:fill="F8F7F4"/>
          </w:tcPr>
          <w:p>
            <w:pPr>
              <w:spacing w:before="60" w:after="60"/>
              <w:ind w:left="113"/>
            </w:pPr>
            <w:r>
              <w:rPr>
                <w:b w:val="0"/>
                <w:color w:val="1A1917"/>
                <w:sz w:val="19"/>
              </w:rPr>
              <w:t>Social media / community</w:t>
            </w:r>
          </w:p>
        </w:tc>
        <w:tc>
          <w:tcPr>
            <w:tcW w:type="dxa" w:w="2351"/>
            <w:vAlign w:val="center"/>
            <w:tcW w:w="1080000" w:type="dxa"/>
            <w:shd w:val="clear" w:color="auto" w:fill="F8F7F4"/>
          </w:tcPr>
          <w:p>
            <w:pPr>
              <w:spacing w:before="60" w:after="60"/>
              <w:ind w:left="113"/>
            </w:pPr>
            <w:r>
              <w:rPr>
                <w:b w:val="0"/>
                <w:color w:val="5E5A52"/>
                <w:sz w:val="19"/>
              </w:rPr>
              <w:t>£2,000</w:t>
            </w:r>
          </w:p>
        </w:tc>
        <w:tc>
          <w:tcPr>
            <w:tcW w:type="dxa" w:w="2351"/>
            <w:vAlign w:val="center"/>
            <w:tcW w:w="1080000" w:type="dxa"/>
            <w:shd w:val="clear" w:color="auto" w:fill="F8F7F4"/>
          </w:tcPr>
          <w:p>
            <w:pPr>
              <w:spacing w:before="60" w:after="60"/>
              <w:ind w:left="113"/>
            </w:pPr>
            <w:r>
              <w:rPr>
                <w:b w:val="0"/>
                <w:color w:val="5E5A52"/>
                <w:sz w:val="19"/>
              </w:rPr>
              <w:t>£8,000</w:t>
            </w:r>
          </w:p>
        </w:tc>
        <w:tc>
          <w:tcPr>
            <w:tcW w:type="dxa" w:w="2351"/>
            <w:vAlign w:val="center"/>
            <w:tcW w:w="2520000" w:type="dxa"/>
            <w:shd w:val="clear" w:color="auto" w:fill="F8F7F4"/>
          </w:tcPr>
          <w:p>
            <w:pPr>
              <w:spacing w:before="60" w:after="60"/>
              <w:ind w:left="113"/>
            </w:pPr>
            <w:r>
              <w:rPr>
                <w:b w:val="0"/>
                <w:color w:val="5E5A52"/>
                <w:sz w:val="19"/>
              </w:rPr>
              <w:t>Reddit, LinkedIn, Twitter/X — founder-led in Year 1</w:t>
            </w:r>
          </w:p>
        </w:tc>
      </w:tr>
      <w:tr>
        <w:tc>
          <w:tcPr>
            <w:tcW w:type="dxa" w:w="2351"/>
            <w:vAlign w:val="center"/>
            <w:tcW w:w="1800000" w:type="dxa"/>
          </w:tcPr>
          <w:p>
            <w:pPr>
              <w:spacing w:before="60" w:after="60"/>
              <w:ind w:left="113"/>
            </w:pPr>
            <w:r>
              <w:rPr>
                <w:b w:val="0"/>
                <w:color w:val="1A1917"/>
                <w:sz w:val="19"/>
              </w:rPr>
              <w:t>ProductHunt launch</w:t>
            </w:r>
          </w:p>
        </w:tc>
        <w:tc>
          <w:tcPr>
            <w:tcW w:type="dxa" w:w="2351"/>
            <w:vAlign w:val="center"/>
            <w:tcW w:w="1080000" w:type="dxa"/>
          </w:tcPr>
          <w:p>
            <w:pPr>
              <w:spacing w:before="60" w:after="60"/>
              <w:ind w:left="113"/>
            </w:pPr>
            <w:r>
              <w:rPr>
                <w:b w:val="0"/>
                <w:color w:val="5E5A52"/>
                <w:sz w:val="19"/>
              </w:rPr>
              <w:t>£1,000</w:t>
            </w:r>
          </w:p>
        </w:tc>
        <w:tc>
          <w:tcPr>
            <w:tcW w:type="dxa" w:w="2351"/>
            <w:vAlign w:val="center"/>
            <w:tcW w:w="1080000" w:type="dxa"/>
          </w:tcPr>
          <w:p>
            <w:pPr>
              <w:spacing w:before="60" w:after="60"/>
              <w:ind w:left="113"/>
            </w:pPr>
            <w:r>
              <w:rPr>
                <w:b w:val="0"/>
                <w:color w:val="5E5A52"/>
                <w:sz w:val="19"/>
              </w:rPr>
              <w:t>£0</w:t>
            </w:r>
          </w:p>
        </w:tc>
        <w:tc>
          <w:tcPr>
            <w:tcW w:type="dxa" w:w="2351"/>
            <w:vAlign w:val="center"/>
            <w:tcW w:w="2520000" w:type="dxa"/>
          </w:tcPr>
          <w:p>
            <w:pPr>
              <w:spacing w:before="60" w:after="60"/>
              <w:ind w:left="113"/>
            </w:pPr>
            <w:r>
              <w:rPr>
                <w:b w:val="0"/>
                <w:color w:val="5E5A52"/>
                <w:sz w:val="19"/>
              </w:rPr>
              <w:t>One-time launch event in Q3 Year 1</w:t>
            </w:r>
          </w:p>
        </w:tc>
      </w:tr>
      <w:tr>
        <w:tc>
          <w:tcPr>
            <w:tcW w:type="dxa" w:w="2351"/>
            <w:vAlign w:val="center"/>
            <w:tcW w:w="1800000" w:type="dxa"/>
            <w:shd w:val="clear" w:color="auto" w:fill="F8F7F4"/>
          </w:tcPr>
          <w:p>
            <w:pPr>
              <w:spacing w:before="60" w:after="60"/>
              <w:ind w:left="113"/>
            </w:pPr>
            <w:r>
              <w:rPr>
                <w:b w:val="0"/>
                <w:color w:val="1A1917"/>
                <w:sz w:val="19"/>
              </w:rPr>
              <w:t>Affiliate programme</w:t>
            </w:r>
          </w:p>
        </w:tc>
        <w:tc>
          <w:tcPr>
            <w:tcW w:type="dxa" w:w="2351"/>
            <w:vAlign w:val="center"/>
            <w:tcW w:w="1080000" w:type="dxa"/>
            <w:shd w:val="clear" w:color="auto" w:fill="F8F7F4"/>
          </w:tcPr>
          <w:p>
            <w:pPr>
              <w:spacing w:before="60" w:after="60"/>
              <w:ind w:left="113"/>
            </w:pPr>
            <w:r>
              <w:rPr>
                <w:b w:val="0"/>
                <w:color w:val="5E5A52"/>
                <w:sz w:val="19"/>
              </w:rPr>
              <w:t>£3,000</w:t>
            </w:r>
          </w:p>
        </w:tc>
        <w:tc>
          <w:tcPr>
            <w:tcW w:type="dxa" w:w="2351"/>
            <w:vAlign w:val="center"/>
            <w:tcW w:w="1080000" w:type="dxa"/>
            <w:shd w:val="clear" w:color="auto" w:fill="F8F7F4"/>
          </w:tcPr>
          <w:p>
            <w:pPr>
              <w:spacing w:before="60" w:after="60"/>
              <w:ind w:left="113"/>
            </w:pPr>
            <w:r>
              <w:rPr>
                <w:b w:val="0"/>
                <w:color w:val="5E5A52"/>
                <w:sz w:val="19"/>
              </w:rPr>
              <w:t>£12,000</w:t>
            </w:r>
          </w:p>
        </w:tc>
        <w:tc>
          <w:tcPr>
            <w:tcW w:type="dxa" w:w="2351"/>
            <w:vAlign w:val="center"/>
            <w:tcW w:w="2520000" w:type="dxa"/>
            <w:shd w:val="clear" w:color="auto" w:fill="F8F7F4"/>
          </w:tcPr>
          <w:p>
            <w:pPr>
              <w:spacing w:before="60" w:after="60"/>
              <w:ind w:left="113"/>
            </w:pPr>
            <w:r>
              <w:rPr>
                <w:b w:val="0"/>
                <w:color w:val="5E5A52"/>
                <w:sz w:val="19"/>
              </w:rPr>
              <w:t>Blogger/YouTuber commissions on Pro upgrades referred</w:t>
            </w:r>
          </w:p>
        </w:tc>
      </w:tr>
      <w:tr>
        <w:tc>
          <w:tcPr>
            <w:tcW w:type="dxa" w:w="2351"/>
            <w:vAlign w:val="center"/>
            <w:tcW w:w="1800000" w:type="dxa"/>
          </w:tcPr>
          <w:p>
            <w:pPr>
              <w:spacing w:before="60" w:after="60"/>
              <w:ind w:left="113"/>
            </w:pPr>
            <w:r>
              <w:rPr>
                <w:b w:val="0"/>
                <w:color w:val="1A1917"/>
                <w:sz w:val="19"/>
              </w:rPr>
              <w:t>PR / press outreach</w:t>
            </w:r>
          </w:p>
        </w:tc>
        <w:tc>
          <w:tcPr>
            <w:tcW w:type="dxa" w:w="2351"/>
            <w:vAlign w:val="center"/>
            <w:tcW w:w="1080000" w:type="dxa"/>
          </w:tcPr>
          <w:p>
            <w:pPr>
              <w:spacing w:before="60" w:after="60"/>
              <w:ind w:left="113"/>
            </w:pPr>
            <w:r>
              <w:rPr>
                <w:b w:val="0"/>
                <w:color w:val="5E5A52"/>
                <w:sz w:val="19"/>
              </w:rPr>
              <w:t>£2,000</w:t>
            </w:r>
          </w:p>
        </w:tc>
        <w:tc>
          <w:tcPr>
            <w:tcW w:type="dxa" w:w="2351"/>
            <w:vAlign w:val="center"/>
            <w:tcW w:w="1080000" w:type="dxa"/>
          </w:tcPr>
          <w:p>
            <w:pPr>
              <w:spacing w:before="60" w:after="60"/>
              <w:ind w:left="113"/>
            </w:pPr>
            <w:r>
              <w:rPr>
                <w:b w:val="0"/>
                <w:color w:val="5E5A52"/>
                <w:sz w:val="19"/>
              </w:rPr>
              <w:t>£6,000</w:t>
            </w:r>
          </w:p>
        </w:tc>
        <w:tc>
          <w:tcPr>
            <w:tcW w:type="dxa" w:w="2351"/>
            <w:vAlign w:val="center"/>
            <w:tcW w:w="2520000" w:type="dxa"/>
          </w:tcPr>
          <w:p>
            <w:pPr>
              <w:spacing w:before="60" w:after="60"/>
              <w:ind w:left="113"/>
            </w:pPr>
            <w:r>
              <w:rPr>
                <w:b w:val="0"/>
                <w:color w:val="5E5A52"/>
                <w:sz w:val="19"/>
              </w:rPr>
              <w:t>Property press, BBC Homes, Which?, MoneySavingExpert</w:t>
            </w:r>
          </w:p>
        </w:tc>
      </w:tr>
      <w:tr>
        <w:tc>
          <w:tcPr>
            <w:tcW w:type="dxa" w:w="2351"/>
            <w:vAlign w:val="center"/>
            <w:tcW w:w="1800000" w:type="dxa"/>
            <w:shd w:val="clear" w:color="auto" w:fill="F8F7F4"/>
          </w:tcPr>
          <w:p>
            <w:pPr>
              <w:spacing w:before="60" w:after="60"/>
              <w:ind w:left="113"/>
            </w:pPr>
            <w:r>
              <w:rPr>
                <w:b w:val="0"/>
                <w:color w:val="1A1917"/>
                <w:sz w:val="19"/>
              </w:rPr>
              <w:t>Email marketing</w:t>
            </w:r>
          </w:p>
        </w:tc>
        <w:tc>
          <w:tcPr>
            <w:tcW w:type="dxa" w:w="2351"/>
            <w:vAlign w:val="center"/>
            <w:tcW w:w="1080000" w:type="dxa"/>
            <w:shd w:val="clear" w:color="auto" w:fill="F8F7F4"/>
          </w:tcPr>
          <w:p>
            <w:pPr>
              <w:spacing w:before="60" w:after="60"/>
              <w:ind w:left="113"/>
            </w:pPr>
            <w:r>
              <w:rPr>
                <w:b w:val="0"/>
                <w:color w:val="5E5A52"/>
                <w:sz w:val="19"/>
              </w:rPr>
              <w:t>£1,200</w:t>
            </w:r>
          </w:p>
        </w:tc>
        <w:tc>
          <w:tcPr>
            <w:tcW w:type="dxa" w:w="2351"/>
            <w:vAlign w:val="center"/>
            <w:tcW w:w="1080000" w:type="dxa"/>
            <w:shd w:val="clear" w:color="auto" w:fill="F8F7F4"/>
          </w:tcPr>
          <w:p>
            <w:pPr>
              <w:spacing w:before="60" w:after="60"/>
              <w:ind w:left="113"/>
            </w:pPr>
            <w:r>
              <w:rPr>
                <w:b w:val="0"/>
                <w:color w:val="5E5A52"/>
                <w:sz w:val="19"/>
              </w:rPr>
              <w:t>£2,400</w:t>
            </w:r>
          </w:p>
        </w:tc>
        <w:tc>
          <w:tcPr>
            <w:tcW w:type="dxa" w:w="2351"/>
            <w:vAlign w:val="center"/>
            <w:tcW w:w="2520000" w:type="dxa"/>
            <w:shd w:val="clear" w:color="auto" w:fill="F8F7F4"/>
          </w:tcPr>
          <w:p>
            <w:pPr>
              <w:spacing w:before="60" w:after="60"/>
              <w:ind w:left="113"/>
            </w:pPr>
            <w:r>
              <w:rPr>
                <w:b w:val="0"/>
                <w:color w:val="5E5A52"/>
                <w:sz w:val="19"/>
              </w:rPr>
              <w:t>Mailchimp/Resend subscription; content newsletter</w:t>
            </w:r>
          </w:p>
        </w:tc>
      </w:tr>
      <w:tr>
        <w:tc>
          <w:tcPr>
            <w:tcW w:type="dxa" w:w="2351"/>
            <w:vAlign w:val="center"/>
            <w:tcW w:w="1800000" w:type="dxa"/>
          </w:tcPr>
          <w:p>
            <w:pPr>
              <w:spacing w:before="60" w:after="60"/>
              <w:ind w:left="113"/>
            </w:pPr>
            <w:r>
              <w:rPr>
                <w:b w:val="0"/>
                <w:color w:val="1A1917"/>
                <w:sz w:val="19"/>
              </w:rPr>
              <w:t>Conference / events</w:t>
            </w:r>
          </w:p>
        </w:tc>
        <w:tc>
          <w:tcPr>
            <w:tcW w:type="dxa" w:w="2351"/>
            <w:vAlign w:val="center"/>
            <w:tcW w:w="1080000" w:type="dxa"/>
          </w:tcPr>
          <w:p>
            <w:pPr>
              <w:spacing w:before="60" w:after="60"/>
              <w:ind w:left="113"/>
            </w:pPr>
            <w:r>
              <w:rPr>
                <w:b w:val="0"/>
                <w:color w:val="5E5A52"/>
                <w:sz w:val="19"/>
              </w:rPr>
              <w:t>£0</w:t>
            </w:r>
          </w:p>
        </w:tc>
        <w:tc>
          <w:tcPr>
            <w:tcW w:type="dxa" w:w="2351"/>
            <w:vAlign w:val="center"/>
            <w:tcW w:w="1080000" w:type="dxa"/>
          </w:tcPr>
          <w:p>
            <w:pPr>
              <w:spacing w:before="60" w:after="60"/>
              <w:ind w:left="113"/>
            </w:pPr>
            <w:r>
              <w:rPr>
                <w:b w:val="0"/>
                <w:color w:val="5E5A52"/>
                <w:sz w:val="19"/>
              </w:rPr>
              <w:t>£8,000</w:t>
            </w:r>
          </w:p>
        </w:tc>
        <w:tc>
          <w:tcPr>
            <w:tcW w:type="dxa" w:w="2351"/>
            <w:vAlign w:val="center"/>
            <w:tcW w:w="2520000" w:type="dxa"/>
          </w:tcPr>
          <w:p>
            <w:pPr>
              <w:spacing w:before="60" w:after="60"/>
              <w:ind w:left="113"/>
            </w:pPr>
            <w:r>
              <w:rPr>
                <w:b w:val="0"/>
                <w:color w:val="5E5A52"/>
                <w:sz w:val="19"/>
              </w:rPr>
              <w:t>NAEA, ARLA, UK Landlord Expo from Year 2</w:t>
            </w:r>
          </w:p>
        </w:tc>
      </w:tr>
      <w:tr>
        <w:tc>
          <w:tcPr>
            <w:tcW w:type="dxa" w:w="2351"/>
            <w:vAlign w:val="center"/>
            <w:tcW w:w="1800000" w:type="dxa"/>
            <w:shd w:val="clear" w:color="auto" w:fill="F8F7F4"/>
          </w:tcPr>
          <w:p>
            <w:pPr>
              <w:spacing w:before="60" w:after="60"/>
              <w:ind w:left="113"/>
            </w:pPr>
            <w:r>
              <w:rPr>
                <w:b w:val="0"/>
                <w:color w:val="1A1917"/>
                <w:sz w:val="19"/>
              </w:rPr>
              <w:t>Total</w:t>
            </w:r>
          </w:p>
        </w:tc>
        <w:tc>
          <w:tcPr>
            <w:tcW w:type="dxa" w:w="2351"/>
            <w:vAlign w:val="center"/>
            <w:tcW w:w="1080000" w:type="dxa"/>
            <w:shd w:val="clear" w:color="auto" w:fill="F8F7F4"/>
          </w:tcPr>
          <w:p>
            <w:pPr>
              <w:spacing w:before="60" w:after="60"/>
              <w:ind w:left="113"/>
            </w:pPr>
            <w:r>
              <w:rPr>
                <w:b w:val="0"/>
                <w:color w:val="5E5A52"/>
                <w:sz w:val="19"/>
              </w:rPr>
              <w:t>£25,200</w:t>
            </w:r>
          </w:p>
        </w:tc>
        <w:tc>
          <w:tcPr>
            <w:tcW w:type="dxa" w:w="2351"/>
            <w:vAlign w:val="center"/>
            <w:tcW w:w="1080000" w:type="dxa"/>
            <w:shd w:val="clear" w:color="auto" w:fill="F8F7F4"/>
          </w:tcPr>
          <w:p>
            <w:pPr>
              <w:spacing w:before="60" w:after="60"/>
              <w:ind w:left="113"/>
            </w:pPr>
            <w:r>
              <w:rPr>
                <w:b w:val="0"/>
                <w:color w:val="5E5A52"/>
                <w:sz w:val="19"/>
              </w:rPr>
              <w:t>£86,400</w:t>
            </w:r>
          </w:p>
        </w:tc>
        <w:tc>
          <w:tcPr>
            <w:tcW w:type="dxa" w:w="2351"/>
            <w:vAlign w:val="center"/>
            <w:tcW w:w="2520000" w:type="dxa"/>
            <w:shd w:val="clear" w:color="auto" w:fill="F8F7F4"/>
          </w:tcPr>
          <w:p>
            <w:pPr>
              <w:spacing w:before="60" w:after="60"/>
              <w:ind w:left="113"/>
            </w:pPr>
            <w:r>
              <w:rPr>
                <w:b w:val="0"/>
                <w:color w:val="5E5A52"/>
                <w:sz w:val="19"/>
              </w:rPr>
            </w:r>
          </w:p>
        </w:tc>
      </w:tr>
    </w:tbl>
    <w:p/>
    <w:p>
      <w:pPr>
        <w:spacing w:before="160" w:after="160"/>
        <w:pBdr>
          <w:bottom w:val="single" w:sz="4" w:space="1" w:color="D1CEC8"/>
        </w:pBdr>
      </w:pPr>
    </w:p>
    <w:p>
      <w:pPr>
        <w:pStyle w:val="Heading1"/>
        <w:spacing w:before="400" w:after="120"/>
      </w:pPr>
      <w:r>
        <w:rPr>
          <w:color w:val="1D9E75"/>
          <w:sz w:val="32"/>
        </w:rPr>
        <w:t>42. B2B Marketing Strategy</w:t>
      </w:r>
    </w:p>
    <w:p>
      <w:pPr>
        <w:pStyle w:val="Heading2"/>
        <w:spacing w:before="240" w:after="80"/>
      </w:pPr>
      <w:r>
        <w:rPr>
          <w:color w:val="1A1917"/>
          <w:sz w:val="26"/>
        </w:rPr>
        <w:t>Target: estate agents, mortgage brokers, landlord associations</w:t>
      </w:r>
    </w:p>
    <w:p>
      <w:pPr>
        <w:pStyle w:val="ListBullet"/>
        <w:spacing w:after="60"/>
        <w:ind w:left="283"/>
      </w:pPr>
      <w:r>
        <w:rPr>
          <w:color w:val="5E5A52"/>
          <w:sz w:val="21"/>
        </w:rPr>
        <w:t>LinkedIn outbound: Founder posts weekly thought-leadership content on proptech, property data, and compliance. Targets senior decision-makers at estate agent chains and mortgage broker firms via direct connection + InMail.</w:t>
      </w:r>
    </w:p>
    <w:p>
      <w:pPr>
        <w:pStyle w:val="ListBullet"/>
        <w:spacing w:after="60"/>
        <w:ind w:left="283"/>
      </w:pPr>
      <w:r>
        <w:rPr>
          <w:color w:val="5E5A52"/>
          <w:sz w:val="21"/>
        </w:rPr>
        <w:t>Case study content: Publish anonymised case studies of how PropPilot reports have helped buyers avoid costly decisions. Pitched to NAEA Propertymark Connect magazine and The Negotiator.</w:t>
      </w:r>
    </w:p>
    <w:p>
      <w:pPr>
        <w:pStyle w:val="ListBullet"/>
        <w:spacing w:after="60"/>
        <w:ind w:left="283"/>
      </w:pPr>
      <w:r>
        <w:rPr>
          <w:color w:val="5E5A52"/>
          <w:sz w:val="21"/>
        </w:rPr>
        <w:t>White-label demo: Dedicated B2B landing page (/enterprise) showing how estate agents can embed PropPilot reports. Gated behind a demo booking form — lead capture for outbound follow-up.</w:t>
      </w:r>
    </w:p>
    <w:p>
      <w:pPr>
        <w:pStyle w:val="ListBullet"/>
        <w:spacing w:after="60"/>
        <w:ind w:left="283"/>
      </w:pPr>
      <w:r>
        <w:rPr>
          <w:color w:val="5E5A52"/>
          <w:sz w:val="21"/>
        </w:rPr>
        <w:t>Partnership outreach: Direct outreach to NRLA (100K+ landlord members), ARLA Propertymark (17K+ agent members), and UK Finance (member lenders) for co-branded content and member tool offerings.</w:t>
      </w:r>
    </w:p>
    <w:p>
      <w:pPr>
        <w:pStyle w:val="ListBullet"/>
        <w:spacing w:after="60"/>
        <w:ind w:left="283"/>
      </w:pPr>
      <w:r>
        <w:rPr>
          <w:color w:val="5E5A52"/>
          <w:sz w:val="21"/>
        </w:rPr>
        <w:t>Referral incentives for B2B: Estate agents who refer buyers to PropPilot receive a £5 credit per referred sign-up, creating a low-cost referral network from the agent community.</w:t>
      </w:r>
    </w:p>
    <w:p>
      <w:pPr>
        <w:spacing w:before="160" w:after="160"/>
        <w:pBdr>
          <w:bottom w:val="single" w:sz="4" w:space="1" w:color="D1CEC8"/>
        </w:pBdr>
      </w:pPr>
    </w:p>
    <w:p>
      <w:pPr>
        <w:pStyle w:val="Heading1"/>
        <w:spacing w:before="400" w:after="120"/>
      </w:pPr>
      <w:r>
        <w:rPr>
          <w:color w:val="1D9E75"/>
          <w:sz w:val="32"/>
        </w:rPr>
        <w:t>43. B2C Marketing Strategy</w:t>
      </w:r>
    </w:p>
    <w:p>
      <w:pPr>
        <w:pStyle w:val="Heading2"/>
        <w:spacing w:before="240" w:after="80"/>
      </w:pPr>
      <w:r>
        <w:rPr>
          <w:color w:val="1A1917"/>
          <w:sz w:val="26"/>
        </w:rPr>
        <w:t>SEO — primary acquisition channel</w:t>
      </w:r>
    </w:p>
    <w:p>
      <w:pPr>
        <w:pStyle w:val="ListBullet"/>
        <w:spacing w:after="60"/>
        <w:ind w:left="283"/>
      </w:pPr>
      <w:r>
        <w:rPr>
          <w:color w:val="5E5A52"/>
          <w:sz w:val="21"/>
        </w:rPr>
        <w:t>Postcode landing pages: Auto-generated pages for the 1.7M UK postcodes covering flood risk, EPC distribution, and crime rates. Target: 500 organic sessions/month by Month 6.</w:t>
      </w:r>
    </w:p>
    <w:p>
      <w:pPr>
        <w:pStyle w:val="ListBullet"/>
        <w:spacing w:after="60"/>
        <w:ind w:left="283"/>
      </w:pPr>
      <w:r>
        <w:rPr>
          <w:color w:val="5E5A52"/>
          <w:sz w:val="21"/>
        </w:rPr>
        <w:t>Buyer guide content: "Complete Guide to Buying a House in the UK 2026", "How to Check Flood Risk on a Property", "What is SDLT and How Much Will I Pay?". Target: 2,000 organic sessions/month by Month 12.</w:t>
      </w:r>
    </w:p>
    <w:p>
      <w:pPr>
        <w:pStyle w:val="ListBullet"/>
        <w:spacing w:after="60"/>
        <w:ind w:left="283"/>
      </w:pPr>
      <w:r>
        <w:rPr>
          <w:color w:val="5E5A52"/>
          <w:sz w:val="21"/>
        </w:rPr>
        <w:t>Owner guide content: "How to Check Your EPC Rating and What to Do Next", "The Remortgage Checklist", "ECO4 Grant Eligibility: How to Find Out if You Qualify".</w:t>
      </w:r>
    </w:p>
    <w:p>
      <w:pPr>
        <w:pStyle w:val="Heading2"/>
        <w:spacing w:before="240" w:after="80"/>
      </w:pPr>
      <w:r>
        <w:rPr>
          <w:color w:val="1A1917"/>
          <w:sz w:val="26"/>
        </w:rPr>
        <w:t>Social media</w:t>
      </w:r>
    </w:p>
    <w:p>
      <w:pPr>
        <w:pStyle w:val="ListBullet"/>
        <w:spacing w:after="60"/>
        <w:ind w:left="283"/>
      </w:pPr>
      <w:r>
        <w:rPr>
          <w:color w:val="5E5A52"/>
          <w:sz w:val="21"/>
        </w:rPr>
        <w:t>Reddit: Active participation in r/HousingUK, r/FirstTimeHomeBuyer, r/UKPersonalFinance. Share tool links when genuinely relevant. No spam — value-first engagement.</w:t>
      </w:r>
    </w:p>
    <w:p>
      <w:pPr>
        <w:pStyle w:val="ListBullet"/>
        <w:spacing w:after="60"/>
        <w:ind w:left="283"/>
      </w:pPr>
      <w:r>
        <w:rPr>
          <w:color w:val="5E5A52"/>
          <w:sz w:val="21"/>
        </w:rPr>
        <w:t>Twitter/X: Weekly threads on UK property data topics (e.g. "5 things to check before making an offer on a house"). Each thread links to a relevant PropPilot tool.</w:t>
      </w:r>
    </w:p>
    <w:p>
      <w:pPr>
        <w:pStyle w:val="ListBullet"/>
        <w:spacing w:after="60"/>
        <w:ind w:left="283"/>
      </w:pPr>
      <w:r>
        <w:rPr>
          <w:color w:val="5E5A52"/>
          <w:sz w:val="21"/>
        </w:rPr>
        <w:t>TikTok / YouTube Shorts (Year 2): Short-form video content: "I ran PropPilot on a house I nearly bought — here is what it found". Target: 10,000 views/month by Month 18.</w:t>
      </w:r>
    </w:p>
    <w:p>
      <w:pPr>
        <w:pStyle w:val="Heading2"/>
        <w:spacing w:before="240" w:after="80"/>
      </w:pPr>
      <w:r>
        <w:rPr>
          <w:color w:val="1A1917"/>
          <w:sz w:val="26"/>
        </w:rPr>
        <w:t>Email marketing</w:t>
      </w:r>
    </w:p>
    <w:p>
      <w:pPr>
        <w:pStyle w:val="ListBullet"/>
        <w:spacing w:after="60"/>
        <w:ind w:left="283"/>
      </w:pPr>
      <w:r>
        <w:rPr>
          <w:color w:val="5E5A52"/>
          <w:sz w:val="21"/>
        </w:rPr>
        <w:t>Weekly newsletter: "This Week in UK Property" — curated property news, market data, and PropPilot tool highlight. Target: 5,000 subscribers by Month 12.</w:t>
      </w:r>
    </w:p>
    <w:p>
      <w:pPr>
        <w:pStyle w:val="ListBullet"/>
        <w:spacing w:after="60"/>
        <w:ind w:left="283"/>
      </w:pPr>
      <w:r>
        <w:rPr>
          <w:color w:val="5E5A52"/>
          <w:sz w:val="21"/>
        </w:rPr>
        <w:t>Drip sequence for new sign-ups: Day 1 (welcome + how to run first report), Day 3 (checklist guide), Day 7 (upgrade nudge with social proof), Day 14 (remortgage radar intro for owners).</w:t>
      </w:r>
    </w:p>
    <w:p>
      <w:pPr>
        <w:spacing w:before="160" w:after="160"/>
        <w:pBdr>
          <w:bottom w:val="single" w:sz="4" w:space="1" w:color="D1CEC8"/>
        </w:pBdr>
      </w:pPr>
    </w:p>
    <w:p>
      <w:r>
        <w:br w:type="page"/>
      </w:r>
    </w:p>
    <w:p>
      <w:pPr>
        <w:pStyle w:val="Heading1"/>
        <w:spacing w:before="400" w:after="120"/>
      </w:pPr>
      <w:r>
        <w:rPr>
          <w:color w:val="1D9E75"/>
          <w:sz w:val="32"/>
        </w:rPr>
        <w:t>44. Management Team</w:t>
      </w:r>
    </w:p>
    <w:p>
      <w:pPr>
        <w:pStyle w:val="Heading2"/>
        <w:spacing w:before="240" w:after="80"/>
      </w:pPr>
      <w:r>
        <w:rPr>
          <w:color w:val="1A1917"/>
          <w:sz w:val="26"/>
        </w:rPr>
        <w:t>Founder &amp; CEO: Moin Siddiqui</w:t>
      </w:r>
    </w:p>
    <w:p>
      <w:pPr>
        <w:spacing w:after="120"/>
      </w:pPr>
      <w:r>
        <w:rPr>
          <w:i w:val="0"/>
          <w:color w:val="5E5A52"/>
          <w:sz w:val="21"/>
        </w:rPr>
        <w:t>Moin Siddiqui is the founder and CEO of PropPilot. He conceived, designed, and built the PropPilot MVP — including the dual-role product architecture, all five API integrations, the property report, buyer/owner dashboards, pricing pages, and the professional services marketplace — demonstrating both the technical capability and product vision to lead the company through seed stage and beyond.</w:t>
      </w:r>
    </w:p>
    <w:p>
      <w:pPr>
        <w:spacing w:after="120"/>
      </w:pPr>
      <w:r>
        <w:rPr>
          <w:i w:val="0"/>
          <w:color w:val="5E5A52"/>
          <w:sz w:val="21"/>
        </w:rPr>
        <w:t>Moin brings direct experience of the problem PropPilot solves: the fragmented, opaque nature of UK property data. His ability to ship a full-stack Next.js 15 product — including server-side API orchestration, role-based auth, and a mobile-responsive design system — from scratch is the clearest possible signal of execution ability.</w:t>
      </w:r>
    </w:p>
    <w:p>
      <w:pPr>
        <w:pStyle w:val="Heading2"/>
        <w:spacing w:before="240" w:after="80"/>
      </w:pPr>
      <w:r>
        <w:rPr>
          <w:color w:val="1A1917"/>
          <w:sz w:val="26"/>
        </w:rPr>
        <w:t>Key hires planned (post-seed, Months 1-6)</w:t>
      </w:r>
    </w:p>
    <w:tbl>
      <w:tblPr>
        <w:tblStyle w:val="TableGrid"/>
        <w:tblW w:type="auto" w:w="0"/>
        <w:tblLook w:firstColumn="1" w:firstRow="1" w:lastColumn="0" w:lastRow="0" w:noHBand="0" w:noVBand="1" w:val="04A0"/>
      </w:tblPr>
      <w:tblGrid>
        <w:gridCol w:w="2351"/>
        <w:gridCol w:w="2351"/>
        <w:gridCol w:w="2351"/>
        <w:gridCol w:w="2351"/>
      </w:tblGrid>
      <w:tr>
        <w:tc>
          <w:tcPr>
            <w:tcW w:type="dxa" w:w="2351"/>
            <w:vAlign w:val="center"/>
            <w:tcW w:w="1440000" w:type="dxa"/>
            <w:shd w:val="clear" w:color="auto" w:fill="1D9E75"/>
          </w:tcPr>
          <w:p>
            <w:pPr>
              <w:spacing w:before="60" w:after="60"/>
              <w:ind w:left="113"/>
            </w:pPr>
            <w:r>
              <w:rPr>
                <w:b/>
                <w:color w:val="FFFFFF"/>
                <w:sz w:val="19"/>
              </w:rPr>
              <w:t>Role</w:t>
            </w:r>
          </w:p>
        </w:tc>
        <w:tc>
          <w:tcPr>
            <w:tcW w:type="dxa" w:w="2351"/>
            <w:vAlign w:val="center"/>
            <w:tcW w:w="1440000" w:type="dxa"/>
            <w:shd w:val="clear" w:color="auto" w:fill="1D9E75"/>
          </w:tcPr>
          <w:p>
            <w:pPr>
              <w:spacing w:before="60" w:after="60"/>
              <w:ind w:left="113"/>
            </w:pPr>
            <w:r>
              <w:rPr>
                <w:b/>
                <w:color w:val="FFFFFF"/>
                <w:sz w:val="19"/>
              </w:rPr>
              <w:t>Focus</w:t>
            </w:r>
          </w:p>
        </w:tc>
        <w:tc>
          <w:tcPr>
            <w:tcW w:type="dxa" w:w="2351"/>
            <w:vAlign w:val="center"/>
            <w:tcW w:w="1800000" w:type="dxa"/>
            <w:shd w:val="clear" w:color="auto" w:fill="1D9E75"/>
          </w:tcPr>
          <w:p>
            <w:pPr>
              <w:spacing w:before="60" w:after="60"/>
              <w:ind w:left="113"/>
            </w:pPr>
            <w:r>
              <w:rPr>
                <w:b/>
                <w:color w:val="FFFFFF"/>
                <w:sz w:val="19"/>
              </w:rPr>
              <w:t>Target background</w:t>
            </w:r>
          </w:p>
        </w:tc>
        <w:tc>
          <w:tcPr>
            <w:tcW w:type="dxa" w:w="2351"/>
            <w:vAlign w:val="center"/>
            <w:tcW w:w="1440000" w:type="dxa"/>
            <w:shd w:val="clear" w:color="auto" w:fill="1D9E75"/>
          </w:tcPr>
          <w:p>
            <w:pPr>
              <w:spacing w:before="60" w:after="60"/>
              <w:ind w:left="113"/>
            </w:pPr>
            <w:r>
              <w:rPr>
                <w:b/>
                <w:color w:val="FFFFFF"/>
                <w:sz w:val="19"/>
              </w:rPr>
              <w:t>Salary range (Manchester)</w:t>
            </w:r>
          </w:p>
        </w:tc>
      </w:tr>
      <w:tr>
        <w:tc>
          <w:tcPr>
            <w:tcW w:type="dxa" w:w="2351"/>
            <w:vAlign w:val="center"/>
            <w:tcW w:w="1440000" w:type="dxa"/>
          </w:tcPr>
          <w:p>
            <w:pPr>
              <w:spacing w:before="60" w:after="60"/>
              <w:ind w:left="113"/>
            </w:pPr>
            <w:r>
              <w:rPr>
                <w:b w:val="0"/>
                <w:color w:val="1A1917"/>
                <w:sz w:val="19"/>
              </w:rPr>
              <w:t>Full-Stack Engineer</w:t>
            </w:r>
          </w:p>
        </w:tc>
        <w:tc>
          <w:tcPr>
            <w:tcW w:type="dxa" w:w="2351"/>
            <w:vAlign w:val="center"/>
            <w:tcW w:w="1440000" w:type="dxa"/>
          </w:tcPr>
          <w:p>
            <w:pPr>
              <w:spacing w:before="60" w:after="60"/>
              <w:ind w:left="113"/>
            </w:pPr>
            <w:r>
              <w:rPr>
                <w:b w:val="0"/>
                <w:color w:val="5E5A52"/>
                <w:sz w:val="19"/>
              </w:rPr>
              <w:t>Stripe, Supabase, API depth, mobile</w:t>
            </w:r>
          </w:p>
        </w:tc>
        <w:tc>
          <w:tcPr>
            <w:tcW w:type="dxa" w:w="2351"/>
            <w:vAlign w:val="center"/>
            <w:tcW w:w="1800000" w:type="dxa"/>
          </w:tcPr>
          <w:p>
            <w:pPr>
              <w:spacing w:before="60" w:after="60"/>
              <w:ind w:left="113"/>
            </w:pPr>
            <w:r>
              <w:rPr>
                <w:b w:val="0"/>
                <w:color w:val="5E5A52"/>
                <w:sz w:val="19"/>
              </w:rPr>
              <w:t>Next.js / Node / PostgreSQL; 3-5 yrs exp</w:t>
            </w:r>
          </w:p>
        </w:tc>
        <w:tc>
          <w:tcPr>
            <w:tcW w:type="dxa" w:w="2351"/>
            <w:vAlign w:val="center"/>
            <w:tcW w:w="1440000" w:type="dxa"/>
          </w:tcPr>
          <w:p>
            <w:pPr>
              <w:spacing w:before="60" w:after="60"/>
              <w:ind w:left="113"/>
            </w:pPr>
            <w:r>
              <w:rPr>
                <w:b w:val="0"/>
                <w:color w:val="5E5A52"/>
                <w:sz w:val="19"/>
              </w:rPr>
              <w:t>£55,000-£70,000</w:t>
            </w:r>
          </w:p>
        </w:tc>
      </w:tr>
      <w:tr>
        <w:tc>
          <w:tcPr>
            <w:tcW w:type="dxa" w:w="2351"/>
            <w:vAlign w:val="center"/>
            <w:tcW w:w="1440000" w:type="dxa"/>
            <w:shd w:val="clear" w:color="auto" w:fill="F8F7F4"/>
          </w:tcPr>
          <w:p>
            <w:pPr>
              <w:spacing w:before="60" w:after="60"/>
              <w:ind w:left="113"/>
            </w:pPr>
            <w:r>
              <w:rPr>
                <w:b w:val="0"/>
                <w:color w:val="1A1917"/>
                <w:sz w:val="19"/>
              </w:rPr>
              <w:t>Growth / SEO Lead</w:t>
            </w:r>
          </w:p>
        </w:tc>
        <w:tc>
          <w:tcPr>
            <w:tcW w:type="dxa" w:w="2351"/>
            <w:vAlign w:val="center"/>
            <w:tcW w:w="1440000" w:type="dxa"/>
            <w:shd w:val="clear" w:color="auto" w:fill="F8F7F4"/>
          </w:tcPr>
          <w:p>
            <w:pPr>
              <w:spacing w:before="60" w:after="60"/>
              <w:ind w:left="113"/>
            </w:pPr>
            <w:r>
              <w:rPr>
                <w:b w:val="0"/>
                <w:color w:val="5E5A52"/>
                <w:sz w:val="19"/>
              </w:rPr>
              <w:t>Organic content, paid acquisition</w:t>
            </w:r>
          </w:p>
        </w:tc>
        <w:tc>
          <w:tcPr>
            <w:tcW w:type="dxa" w:w="2351"/>
            <w:vAlign w:val="center"/>
            <w:tcW w:w="1800000" w:type="dxa"/>
            <w:shd w:val="clear" w:color="auto" w:fill="F8F7F4"/>
          </w:tcPr>
          <w:p>
            <w:pPr>
              <w:spacing w:before="60" w:after="60"/>
              <w:ind w:left="113"/>
            </w:pPr>
            <w:r>
              <w:rPr>
                <w:b w:val="0"/>
                <w:color w:val="5E5A52"/>
                <w:sz w:val="19"/>
              </w:rPr>
              <w:t>Proptech or fintech content background</w:t>
            </w:r>
          </w:p>
        </w:tc>
        <w:tc>
          <w:tcPr>
            <w:tcW w:type="dxa" w:w="2351"/>
            <w:vAlign w:val="center"/>
            <w:tcW w:w="1440000" w:type="dxa"/>
            <w:shd w:val="clear" w:color="auto" w:fill="F8F7F4"/>
          </w:tcPr>
          <w:p>
            <w:pPr>
              <w:spacing w:before="60" w:after="60"/>
              <w:ind w:left="113"/>
            </w:pPr>
            <w:r>
              <w:rPr>
                <w:b w:val="0"/>
                <w:color w:val="5E5A52"/>
                <w:sz w:val="19"/>
              </w:rPr>
              <w:t>£40,000-£55,000</w:t>
            </w:r>
          </w:p>
        </w:tc>
      </w:tr>
      <w:tr>
        <w:tc>
          <w:tcPr>
            <w:tcW w:type="dxa" w:w="2351"/>
            <w:vAlign w:val="center"/>
            <w:tcW w:w="1440000" w:type="dxa"/>
          </w:tcPr>
          <w:p>
            <w:pPr>
              <w:spacing w:before="60" w:after="60"/>
              <w:ind w:left="113"/>
            </w:pPr>
            <w:r>
              <w:rPr>
                <w:b w:val="0"/>
                <w:color w:val="1A1917"/>
                <w:sz w:val="19"/>
              </w:rPr>
              <w:t>Head of Pro Services</w:t>
            </w:r>
          </w:p>
        </w:tc>
        <w:tc>
          <w:tcPr>
            <w:tcW w:type="dxa" w:w="2351"/>
            <w:vAlign w:val="center"/>
            <w:tcW w:w="1440000" w:type="dxa"/>
          </w:tcPr>
          <w:p>
            <w:pPr>
              <w:spacing w:before="60" w:after="60"/>
              <w:ind w:left="113"/>
            </w:pPr>
            <w:r>
              <w:rPr>
                <w:b w:val="0"/>
                <w:color w:val="5E5A52"/>
                <w:sz w:val="19"/>
              </w:rPr>
              <w:t>Vet and onboard professional partners</w:t>
            </w:r>
          </w:p>
        </w:tc>
        <w:tc>
          <w:tcPr>
            <w:tcW w:type="dxa" w:w="2351"/>
            <w:vAlign w:val="center"/>
            <w:tcW w:w="1800000" w:type="dxa"/>
          </w:tcPr>
          <w:p>
            <w:pPr>
              <w:spacing w:before="60" w:after="60"/>
              <w:ind w:left="113"/>
            </w:pPr>
            <w:r>
              <w:rPr>
                <w:b w:val="0"/>
                <w:color w:val="5E5A52"/>
                <w:sz w:val="19"/>
              </w:rPr>
              <w:t>Property industry network; BD background</w:t>
            </w:r>
          </w:p>
        </w:tc>
        <w:tc>
          <w:tcPr>
            <w:tcW w:type="dxa" w:w="2351"/>
            <w:vAlign w:val="center"/>
            <w:tcW w:w="1440000" w:type="dxa"/>
          </w:tcPr>
          <w:p>
            <w:pPr>
              <w:spacing w:before="60" w:after="60"/>
              <w:ind w:left="113"/>
            </w:pPr>
            <w:r>
              <w:rPr>
                <w:b w:val="0"/>
                <w:color w:val="5E5A52"/>
                <w:sz w:val="19"/>
              </w:rPr>
              <w:t>£45,000-£60,000</w:t>
            </w:r>
          </w:p>
        </w:tc>
      </w:tr>
    </w:tbl>
    <w:p/>
    <w:p>
      <w:pPr>
        <w:pStyle w:val="Heading2"/>
        <w:spacing w:before="240" w:after="80"/>
      </w:pPr>
      <w:r>
        <w:rPr>
          <w:color w:val="1A1917"/>
          <w:sz w:val="26"/>
        </w:rPr>
        <w:t>Advisory board (to be recruited)</w:t>
      </w:r>
    </w:p>
    <w:p>
      <w:pPr>
        <w:pStyle w:val="ListBullet"/>
        <w:spacing w:after="60"/>
        <w:ind w:left="283"/>
      </w:pPr>
      <w:r>
        <w:rPr>
          <w:color w:val="5E5A52"/>
          <w:sz w:val="21"/>
        </w:rPr>
        <w:t>Proptech sector advisor: A PropTech founder or investor with a track record in UK consumer property tools.</w:t>
      </w:r>
    </w:p>
    <w:p>
      <w:pPr>
        <w:pStyle w:val="ListBullet"/>
        <w:spacing w:after="60"/>
        <w:ind w:left="283"/>
      </w:pPr>
      <w:r>
        <w:rPr>
          <w:color w:val="5E5A52"/>
          <w:sz w:val="21"/>
        </w:rPr>
        <w:t>Legal / regulatory advisor: A property solicitor or conveyancer with knowledge of SDLT, leasehold reform, and compliance regulations.</w:t>
      </w:r>
    </w:p>
    <w:p>
      <w:pPr>
        <w:pStyle w:val="ListBullet"/>
        <w:spacing w:after="60"/>
        <w:ind w:left="283"/>
      </w:pPr>
      <w:r>
        <w:rPr>
          <w:color w:val="5E5A52"/>
          <w:sz w:val="21"/>
        </w:rPr>
        <w:t>Data / AI advisor: A data scientist with experience in government open data and ML model development for property applications.</w:t>
      </w:r>
    </w:p>
    <w:p>
      <w:pPr>
        <w:spacing w:before="160" w:after="160"/>
        <w:pBdr>
          <w:bottom w:val="single" w:sz="4" w:space="1" w:color="D1CEC8"/>
        </w:pBdr>
      </w:pPr>
    </w:p>
    <w:p>
      <w:pPr>
        <w:pStyle w:val="Heading1"/>
        <w:spacing w:before="400" w:after="120"/>
      </w:pPr>
      <w:r>
        <w:rPr>
          <w:color w:val="1D9E75"/>
          <w:sz w:val="32"/>
        </w:rPr>
        <w:t>45. Organisational Structure</w:t>
      </w:r>
    </w:p>
    <w:p>
      <w:pPr>
        <w:spacing w:after="120"/>
      </w:pPr>
      <w:r>
        <w:rPr>
          <w:i w:val="0"/>
          <w:color w:val="5E5A52"/>
          <w:sz w:val="21"/>
        </w:rPr>
        <w:t>PropPilot will operate as a flat, functional structure during the seed phase, transitioning to a matrix structure as headcount grows beyond 10.</w:t>
      </w:r>
    </w:p>
    <w:tbl>
      <w:tblPr>
        <w:tblStyle w:val="TableGrid"/>
        <w:tblW w:type="auto" w:w="0"/>
        <w:tblLook w:firstColumn="1" w:firstRow="1" w:lastColumn="0" w:lastRow="0" w:noHBand="0" w:noVBand="1" w:val="04A0"/>
      </w:tblPr>
      <w:tblGrid>
        <w:gridCol w:w="2351"/>
        <w:gridCol w:w="2351"/>
        <w:gridCol w:w="2351"/>
        <w:gridCol w:w="2351"/>
      </w:tblGrid>
      <w:tr>
        <w:tc>
          <w:tcPr>
            <w:tcW w:type="dxa" w:w="2351"/>
            <w:vAlign w:val="center"/>
            <w:tcW w:w="2340000" w:type="dxa"/>
            <w:shd w:val="clear" w:color="auto" w:fill="1D9E75"/>
          </w:tcPr>
          <w:p>
            <w:pPr>
              <w:spacing w:before="60" w:after="60"/>
              <w:ind w:left="113"/>
            </w:pPr>
            <w:r>
              <w:rPr>
                <w:b/>
                <w:color w:val="FFFFFF"/>
                <w:sz w:val="19"/>
              </w:rPr>
              <w:t>Function</w:t>
            </w:r>
          </w:p>
        </w:tc>
        <w:tc>
          <w:tcPr>
            <w:tcW w:type="dxa" w:w="2351"/>
            <w:vAlign w:val="center"/>
            <w:tcW w:w="1080000" w:type="dxa"/>
            <w:shd w:val="clear" w:color="auto" w:fill="1D9E75"/>
          </w:tcPr>
          <w:p>
            <w:pPr>
              <w:spacing w:before="60" w:after="60"/>
              <w:ind w:left="113"/>
            </w:pPr>
            <w:r>
              <w:rPr>
                <w:b/>
                <w:color w:val="FFFFFF"/>
                <w:sz w:val="19"/>
              </w:rPr>
              <w:t>Year 1 headcount</w:t>
            </w:r>
          </w:p>
        </w:tc>
        <w:tc>
          <w:tcPr>
            <w:tcW w:type="dxa" w:w="2351"/>
            <w:vAlign w:val="center"/>
            <w:tcW w:w="1080000" w:type="dxa"/>
            <w:shd w:val="clear" w:color="auto" w:fill="1D9E75"/>
          </w:tcPr>
          <w:p>
            <w:pPr>
              <w:spacing w:before="60" w:after="60"/>
              <w:ind w:left="113"/>
            </w:pPr>
            <w:r>
              <w:rPr>
                <w:b/>
                <w:color w:val="FFFFFF"/>
                <w:sz w:val="19"/>
              </w:rPr>
              <w:t>Year 2 headcount</w:t>
            </w:r>
          </w:p>
        </w:tc>
        <w:tc>
          <w:tcPr>
            <w:tcW w:type="dxa" w:w="2351"/>
            <w:vAlign w:val="center"/>
            <w:tcW w:w="1080000" w:type="dxa"/>
            <w:shd w:val="clear" w:color="auto" w:fill="1D9E75"/>
          </w:tcPr>
          <w:p>
            <w:pPr>
              <w:spacing w:before="60" w:after="60"/>
              <w:ind w:left="113"/>
            </w:pPr>
            <w:r>
              <w:rPr>
                <w:b/>
                <w:color w:val="FFFFFF"/>
                <w:sz w:val="19"/>
              </w:rPr>
              <w:t>Year 3 headcount</w:t>
            </w:r>
          </w:p>
        </w:tc>
      </w:tr>
      <w:tr>
        <w:tc>
          <w:tcPr>
            <w:tcW w:type="dxa" w:w="2351"/>
            <w:vAlign w:val="center"/>
            <w:tcW w:w="2340000" w:type="dxa"/>
          </w:tcPr>
          <w:p>
            <w:pPr>
              <w:spacing w:before="60" w:after="60"/>
              <w:ind w:left="113"/>
            </w:pPr>
            <w:r>
              <w:rPr>
                <w:b w:val="0"/>
                <w:color w:val="1A1917"/>
                <w:sz w:val="19"/>
              </w:rPr>
              <w:t>Founder / CEO (product + strategy)</w:t>
            </w:r>
          </w:p>
        </w:tc>
        <w:tc>
          <w:tcPr>
            <w:tcW w:type="dxa" w:w="2351"/>
            <w:vAlign w:val="center"/>
            <w:tcW w:w="1080000" w:type="dxa"/>
          </w:tcPr>
          <w:p>
            <w:pPr>
              <w:spacing w:before="60" w:after="60"/>
              <w:ind w:left="113"/>
            </w:pPr>
            <w:r>
              <w:rPr>
                <w:b w:val="0"/>
                <w:color w:val="5E5A52"/>
                <w:sz w:val="19"/>
              </w:rPr>
              <w:t>1</w:t>
            </w:r>
          </w:p>
        </w:tc>
        <w:tc>
          <w:tcPr>
            <w:tcW w:type="dxa" w:w="2351"/>
            <w:vAlign w:val="center"/>
            <w:tcW w:w="1080000" w:type="dxa"/>
          </w:tcPr>
          <w:p>
            <w:pPr>
              <w:spacing w:before="60" w:after="60"/>
              <w:ind w:left="113"/>
            </w:pPr>
            <w:r>
              <w:rPr>
                <w:b w:val="0"/>
                <w:color w:val="5E5A52"/>
                <w:sz w:val="19"/>
              </w:rPr>
              <w:t>1</w:t>
            </w:r>
          </w:p>
        </w:tc>
        <w:tc>
          <w:tcPr>
            <w:tcW w:type="dxa" w:w="2351"/>
            <w:vAlign w:val="center"/>
            <w:tcW w:w="1080000" w:type="dxa"/>
          </w:tcPr>
          <w:p>
            <w:pPr>
              <w:spacing w:before="60" w:after="60"/>
              <w:ind w:left="113"/>
            </w:pPr>
            <w:r>
              <w:rPr>
                <w:b w:val="0"/>
                <w:color w:val="5E5A52"/>
                <w:sz w:val="19"/>
              </w:rPr>
              <w:t>1</w:t>
            </w:r>
          </w:p>
        </w:tc>
      </w:tr>
      <w:tr>
        <w:tc>
          <w:tcPr>
            <w:tcW w:type="dxa" w:w="2351"/>
            <w:vAlign w:val="center"/>
            <w:tcW w:w="2340000" w:type="dxa"/>
            <w:shd w:val="clear" w:color="auto" w:fill="F8F7F4"/>
          </w:tcPr>
          <w:p>
            <w:pPr>
              <w:spacing w:before="60" w:after="60"/>
              <w:ind w:left="113"/>
            </w:pPr>
            <w:r>
              <w:rPr>
                <w:b w:val="0"/>
                <w:color w:val="1A1917"/>
                <w:sz w:val="19"/>
              </w:rPr>
              <w:t>Engineering</w:t>
            </w:r>
          </w:p>
        </w:tc>
        <w:tc>
          <w:tcPr>
            <w:tcW w:type="dxa" w:w="2351"/>
            <w:vAlign w:val="center"/>
            <w:tcW w:w="1080000" w:type="dxa"/>
            <w:shd w:val="clear" w:color="auto" w:fill="F8F7F4"/>
          </w:tcPr>
          <w:p>
            <w:pPr>
              <w:spacing w:before="60" w:after="60"/>
              <w:ind w:left="113"/>
            </w:pPr>
            <w:r>
              <w:rPr>
                <w:b w:val="0"/>
                <w:color w:val="5E5A52"/>
                <w:sz w:val="19"/>
              </w:rPr>
              <w:t>1</w:t>
            </w:r>
          </w:p>
        </w:tc>
        <w:tc>
          <w:tcPr>
            <w:tcW w:type="dxa" w:w="2351"/>
            <w:vAlign w:val="center"/>
            <w:tcW w:w="1080000" w:type="dxa"/>
            <w:shd w:val="clear" w:color="auto" w:fill="F8F7F4"/>
          </w:tcPr>
          <w:p>
            <w:pPr>
              <w:spacing w:before="60" w:after="60"/>
              <w:ind w:left="113"/>
            </w:pPr>
            <w:r>
              <w:rPr>
                <w:b w:val="0"/>
                <w:color w:val="5E5A52"/>
                <w:sz w:val="19"/>
              </w:rPr>
              <w:t>3</w:t>
            </w:r>
          </w:p>
        </w:tc>
        <w:tc>
          <w:tcPr>
            <w:tcW w:type="dxa" w:w="2351"/>
            <w:vAlign w:val="center"/>
            <w:tcW w:w="1080000" w:type="dxa"/>
            <w:shd w:val="clear" w:color="auto" w:fill="F8F7F4"/>
          </w:tcPr>
          <w:p>
            <w:pPr>
              <w:spacing w:before="60" w:after="60"/>
              <w:ind w:left="113"/>
            </w:pPr>
            <w:r>
              <w:rPr>
                <w:b w:val="0"/>
                <w:color w:val="5E5A52"/>
                <w:sz w:val="19"/>
              </w:rPr>
              <w:t>6</w:t>
            </w:r>
          </w:p>
        </w:tc>
      </w:tr>
      <w:tr>
        <w:tc>
          <w:tcPr>
            <w:tcW w:type="dxa" w:w="2351"/>
            <w:vAlign w:val="center"/>
            <w:tcW w:w="2340000" w:type="dxa"/>
          </w:tcPr>
          <w:p>
            <w:pPr>
              <w:spacing w:before="60" w:after="60"/>
              <w:ind w:left="113"/>
            </w:pPr>
            <w:r>
              <w:rPr>
                <w:b w:val="0"/>
                <w:color w:val="1A1917"/>
                <w:sz w:val="19"/>
              </w:rPr>
              <w:t>Growth &amp; Marketing</w:t>
            </w:r>
          </w:p>
        </w:tc>
        <w:tc>
          <w:tcPr>
            <w:tcW w:type="dxa" w:w="2351"/>
            <w:vAlign w:val="center"/>
            <w:tcW w:w="1080000" w:type="dxa"/>
          </w:tcPr>
          <w:p>
            <w:pPr>
              <w:spacing w:before="60" w:after="60"/>
              <w:ind w:left="113"/>
            </w:pPr>
            <w:r>
              <w:rPr>
                <w:b w:val="0"/>
                <w:color w:val="5E5A52"/>
                <w:sz w:val="19"/>
              </w:rPr>
              <w:t>1</w:t>
            </w:r>
          </w:p>
        </w:tc>
        <w:tc>
          <w:tcPr>
            <w:tcW w:type="dxa" w:w="2351"/>
            <w:vAlign w:val="center"/>
            <w:tcW w:w="1080000" w:type="dxa"/>
          </w:tcPr>
          <w:p>
            <w:pPr>
              <w:spacing w:before="60" w:after="60"/>
              <w:ind w:left="113"/>
            </w:pPr>
            <w:r>
              <w:rPr>
                <w:b w:val="0"/>
                <w:color w:val="5E5A52"/>
                <w:sz w:val="19"/>
              </w:rPr>
              <w:t>2</w:t>
            </w:r>
          </w:p>
        </w:tc>
        <w:tc>
          <w:tcPr>
            <w:tcW w:type="dxa" w:w="2351"/>
            <w:vAlign w:val="center"/>
            <w:tcW w:w="1080000" w:type="dxa"/>
          </w:tcPr>
          <w:p>
            <w:pPr>
              <w:spacing w:before="60" w:after="60"/>
              <w:ind w:left="113"/>
            </w:pPr>
            <w:r>
              <w:rPr>
                <w:b w:val="0"/>
                <w:color w:val="5E5A52"/>
                <w:sz w:val="19"/>
              </w:rPr>
              <w:t>4</w:t>
            </w:r>
          </w:p>
        </w:tc>
      </w:tr>
      <w:tr>
        <w:tc>
          <w:tcPr>
            <w:tcW w:type="dxa" w:w="2351"/>
            <w:vAlign w:val="center"/>
            <w:tcW w:w="2340000" w:type="dxa"/>
            <w:shd w:val="clear" w:color="auto" w:fill="F8F7F4"/>
          </w:tcPr>
          <w:p>
            <w:pPr>
              <w:spacing w:before="60" w:after="60"/>
              <w:ind w:left="113"/>
            </w:pPr>
            <w:r>
              <w:rPr>
                <w:b w:val="0"/>
                <w:color w:val="1A1917"/>
                <w:sz w:val="19"/>
              </w:rPr>
              <w:t>Professional Services / Partnerships</w:t>
            </w:r>
          </w:p>
        </w:tc>
        <w:tc>
          <w:tcPr>
            <w:tcW w:type="dxa" w:w="2351"/>
            <w:vAlign w:val="center"/>
            <w:tcW w:w="1080000" w:type="dxa"/>
            <w:shd w:val="clear" w:color="auto" w:fill="F8F7F4"/>
          </w:tcPr>
          <w:p>
            <w:pPr>
              <w:spacing w:before="60" w:after="60"/>
              <w:ind w:left="113"/>
            </w:pPr>
            <w:r>
              <w:rPr>
                <w:b w:val="0"/>
                <w:color w:val="5E5A52"/>
                <w:sz w:val="19"/>
              </w:rPr>
              <w:t>1</w:t>
            </w:r>
          </w:p>
        </w:tc>
        <w:tc>
          <w:tcPr>
            <w:tcW w:type="dxa" w:w="2351"/>
            <w:vAlign w:val="center"/>
            <w:tcW w:w="1080000" w:type="dxa"/>
            <w:shd w:val="clear" w:color="auto" w:fill="F8F7F4"/>
          </w:tcPr>
          <w:p>
            <w:pPr>
              <w:spacing w:before="60" w:after="60"/>
              <w:ind w:left="113"/>
            </w:pPr>
            <w:r>
              <w:rPr>
                <w:b w:val="0"/>
                <w:color w:val="5E5A52"/>
                <w:sz w:val="19"/>
              </w:rPr>
              <w:t>2</w:t>
            </w:r>
          </w:p>
        </w:tc>
        <w:tc>
          <w:tcPr>
            <w:tcW w:type="dxa" w:w="2351"/>
            <w:vAlign w:val="center"/>
            <w:tcW w:w="1080000" w:type="dxa"/>
            <w:shd w:val="clear" w:color="auto" w:fill="F8F7F4"/>
          </w:tcPr>
          <w:p>
            <w:pPr>
              <w:spacing w:before="60" w:after="60"/>
              <w:ind w:left="113"/>
            </w:pPr>
            <w:r>
              <w:rPr>
                <w:b w:val="0"/>
                <w:color w:val="5E5A52"/>
                <w:sz w:val="19"/>
              </w:rPr>
              <w:t>3</w:t>
            </w:r>
          </w:p>
        </w:tc>
      </w:tr>
      <w:tr>
        <w:tc>
          <w:tcPr>
            <w:tcW w:type="dxa" w:w="2351"/>
            <w:vAlign w:val="center"/>
            <w:tcW w:w="2340000" w:type="dxa"/>
          </w:tcPr>
          <w:p>
            <w:pPr>
              <w:spacing w:before="60" w:after="60"/>
              <w:ind w:left="113"/>
            </w:pPr>
            <w:r>
              <w:rPr>
                <w:b w:val="0"/>
                <w:color w:val="1A1917"/>
                <w:sz w:val="19"/>
              </w:rPr>
              <w:t>Customer Success</w:t>
            </w:r>
          </w:p>
        </w:tc>
        <w:tc>
          <w:tcPr>
            <w:tcW w:type="dxa" w:w="2351"/>
            <w:vAlign w:val="center"/>
            <w:tcW w:w="1080000" w:type="dxa"/>
          </w:tcPr>
          <w:p>
            <w:pPr>
              <w:spacing w:before="60" w:after="60"/>
              <w:ind w:left="113"/>
            </w:pPr>
            <w:r>
              <w:rPr>
                <w:b w:val="0"/>
                <w:color w:val="5E5A52"/>
                <w:sz w:val="19"/>
              </w:rPr>
              <w:t>0</w:t>
            </w:r>
          </w:p>
        </w:tc>
        <w:tc>
          <w:tcPr>
            <w:tcW w:type="dxa" w:w="2351"/>
            <w:vAlign w:val="center"/>
            <w:tcW w:w="1080000" w:type="dxa"/>
          </w:tcPr>
          <w:p>
            <w:pPr>
              <w:spacing w:before="60" w:after="60"/>
              <w:ind w:left="113"/>
            </w:pPr>
            <w:r>
              <w:rPr>
                <w:b w:val="0"/>
                <w:color w:val="5E5A52"/>
                <w:sz w:val="19"/>
              </w:rPr>
              <w:t>1</w:t>
            </w:r>
          </w:p>
        </w:tc>
        <w:tc>
          <w:tcPr>
            <w:tcW w:type="dxa" w:w="2351"/>
            <w:vAlign w:val="center"/>
            <w:tcW w:w="1080000" w:type="dxa"/>
          </w:tcPr>
          <w:p>
            <w:pPr>
              <w:spacing w:before="60" w:after="60"/>
              <w:ind w:left="113"/>
            </w:pPr>
            <w:r>
              <w:rPr>
                <w:b w:val="0"/>
                <w:color w:val="5E5A52"/>
                <w:sz w:val="19"/>
              </w:rPr>
              <w:t>2</w:t>
            </w:r>
          </w:p>
        </w:tc>
      </w:tr>
      <w:tr>
        <w:tc>
          <w:tcPr>
            <w:tcW w:type="dxa" w:w="2351"/>
            <w:vAlign w:val="center"/>
            <w:tcW w:w="2340000" w:type="dxa"/>
            <w:shd w:val="clear" w:color="auto" w:fill="F8F7F4"/>
          </w:tcPr>
          <w:p>
            <w:pPr>
              <w:spacing w:before="60" w:after="60"/>
              <w:ind w:left="113"/>
            </w:pPr>
            <w:r>
              <w:rPr>
                <w:b w:val="0"/>
                <w:color w:val="1A1917"/>
                <w:sz w:val="19"/>
              </w:rPr>
              <w:t>Sales (B2B)</w:t>
            </w:r>
          </w:p>
        </w:tc>
        <w:tc>
          <w:tcPr>
            <w:tcW w:type="dxa" w:w="2351"/>
            <w:vAlign w:val="center"/>
            <w:tcW w:w="1080000" w:type="dxa"/>
            <w:shd w:val="clear" w:color="auto" w:fill="F8F7F4"/>
          </w:tcPr>
          <w:p>
            <w:pPr>
              <w:spacing w:before="60" w:after="60"/>
              <w:ind w:left="113"/>
            </w:pPr>
            <w:r>
              <w:rPr>
                <w:b w:val="0"/>
                <w:color w:val="5E5A52"/>
                <w:sz w:val="19"/>
              </w:rPr>
              <w:t>0</w:t>
            </w:r>
          </w:p>
        </w:tc>
        <w:tc>
          <w:tcPr>
            <w:tcW w:type="dxa" w:w="2351"/>
            <w:vAlign w:val="center"/>
            <w:tcW w:w="1080000" w:type="dxa"/>
            <w:shd w:val="clear" w:color="auto" w:fill="F8F7F4"/>
          </w:tcPr>
          <w:p>
            <w:pPr>
              <w:spacing w:before="60" w:after="60"/>
              <w:ind w:left="113"/>
            </w:pPr>
            <w:r>
              <w:rPr>
                <w:b w:val="0"/>
                <w:color w:val="5E5A52"/>
                <w:sz w:val="19"/>
              </w:rPr>
              <w:t>1</w:t>
            </w:r>
          </w:p>
        </w:tc>
        <w:tc>
          <w:tcPr>
            <w:tcW w:type="dxa" w:w="2351"/>
            <w:vAlign w:val="center"/>
            <w:tcW w:w="1080000" w:type="dxa"/>
            <w:shd w:val="clear" w:color="auto" w:fill="F8F7F4"/>
          </w:tcPr>
          <w:p>
            <w:pPr>
              <w:spacing w:before="60" w:after="60"/>
              <w:ind w:left="113"/>
            </w:pPr>
            <w:r>
              <w:rPr>
                <w:b w:val="0"/>
                <w:color w:val="5E5A52"/>
                <w:sz w:val="19"/>
              </w:rPr>
              <w:t>2</w:t>
            </w:r>
          </w:p>
        </w:tc>
      </w:tr>
      <w:tr>
        <w:tc>
          <w:tcPr>
            <w:tcW w:type="dxa" w:w="2351"/>
            <w:vAlign w:val="center"/>
            <w:tcW w:w="2340000" w:type="dxa"/>
          </w:tcPr>
          <w:p>
            <w:pPr>
              <w:spacing w:before="60" w:after="60"/>
              <w:ind w:left="113"/>
            </w:pPr>
            <w:r>
              <w:rPr>
                <w:b w:val="0"/>
                <w:color w:val="1A1917"/>
                <w:sz w:val="19"/>
              </w:rPr>
              <w:t>Data Science</w:t>
            </w:r>
          </w:p>
        </w:tc>
        <w:tc>
          <w:tcPr>
            <w:tcW w:type="dxa" w:w="2351"/>
            <w:vAlign w:val="center"/>
            <w:tcW w:w="1080000" w:type="dxa"/>
          </w:tcPr>
          <w:p>
            <w:pPr>
              <w:spacing w:before="60" w:after="60"/>
              <w:ind w:left="113"/>
            </w:pPr>
            <w:r>
              <w:rPr>
                <w:b w:val="0"/>
                <w:color w:val="5E5A52"/>
                <w:sz w:val="19"/>
              </w:rPr>
              <w:t>0</w:t>
            </w:r>
          </w:p>
        </w:tc>
        <w:tc>
          <w:tcPr>
            <w:tcW w:type="dxa" w:w="2351"/>
            <w:vAlign w:val="center"/>
            <w:tcW w:w="1080000" w:type="dxa"/>
          </w:tcPr>
          <w:p>
            <w:pPr>
              <w:spacing w:before="60" w:after="60"/>
              <w:ind w:left="113"/>
            </w:pPr>
            <w:r>
              <w:rPr>
                <w:b w:val="0"/>
                <w:color w:val="5E5A52"/>
                <w:sz w:val="19"/>
              </w:rPr>
              <w:t>1</w:t>
            </w:r>
          </w:p>
        </w:tc>
        <w:tc>
          <w:tcPr>
            <w:tcW w:type="dxa" w:w="2351"/>
            <w:vAlign w:val="center"/>
            <w:tcW w:w="1080000" w:type="dxa"/>
          </w:tcPr>
          <w:p>
            <w:pPr>
              <w:spacing w:before="60" w:after="60"/>
              <w:ind w:left="113"/>
            </w:pPr>
            <w:r>
              <w:rPr>
                <w:b w:val="0"/>
                <w:color w:val="5E5A52"/>
                <w:sz w:val="19"/>
              </w:rPr>
              <w:t>2</w:t>
            </w:r>
          </w:p>
        </w:tc>
      </w:tr>
      <w:tr>
        <w:tc>
          <w:tcPr>
            <w:tcW w:type="dxa" w:w="2351"/>
            <w:vAlign w:val="center"/>
            <w:tcW w:w="2340000" w:type="dxa"/>
            <w:shd w:val="clear" w:color="auto" w:fill="F8F7F4"/>
          </w:tcPr>
          <w:p>
            <w:pPr>
              <w:spacing w:before="60" w:after="60"/>
              <w:ind w:left="113"/>
            </w:pPr>
            <w:r>
              <w:rPr>
                <w:b w:val="0"/>
                <w:color w:val="1A1917"/>
                <w:sz w:val="19"/>
              </w:rPr>
              <w:t>Operations / Finance</w:t>
            </w:r>
          </w:p>
        </w:tc>
        <w:tc>
          <w:tcPr>
            <w:tcW w:type="dxa" w:w="2351"/>
            <w:vAlign w:val="center"/>
            <w:tcW w:w="1080000" w:type="dxa"/>
            <w:shd w:val="clear" w:color="auto" w:fill="F8F7F4"/>
          </w:tcPr>
          <w:p>
            <w:pPr>
              <w:spacing w:before="60" w:after="60"/>
              <w:ind w:left="113"/>
            </w:pPr>
            <w:r>
              <w:rPr>
                <w:b w:val="0"/>
                <w:color w:val="5E5A52"/>
                <w:sz w:val="19"/>
              </w:rPr>
              <w:t>0</w:t>
            </w:r>
          </w:p>
        </w:tc>
        <w:tc>
          <w:tcPr>
            <w:tcW w:type="dxa" w:w="2351"/>
            <w:vAlign w:val="center"/>
            <w:tcW w:w="1080000" w:type="dxa"/>
            <w:shd w:val="clear" w:color="auto" w:fill="F8F7F4"/>
          </w:tcPr>
          <w:p>
            <w:pPr>
              <w:spacing w:before="60" w:after="60"/>
              <w:ind w:left="113"/>
            </w:pPr>
            <w:r>
              <w:rPr>
                <w:b w:val="0"/>
                <w:color w:val="5E5A52"/>
                <w:sz w:val="19"/>
              </w:rPr>
              <w:t>0</w:t>
            </w:r>
          </w:p>
        </w:tc>
        <w:tc>
          <w:tcPr>
            <w:tcW w:type="dxa" w:w="2351"/>
            <w:vAlign w:val="center"/>
            <w:tcW w:w="1080000" w:type="dxa"/>
            <w:shd w:val="clear" w:color="auto" w:fill="F8F7F4"/>
          </w:tcPr>
          <w:p>
            <w:pPr>
              <w:spacing w:before="60" w:after="60"/>
              <w:ind w:left="113"/>
            </w:pPr>
            <w:r>
              <w:rPr>
                <w:b w:val="0"/>
                <w:color w:val="5E5A52"/>
                <w:sz w:val="19"/>
              </w:rPr>
              <w:t>1</w:t>
            </w:r>
          </w:p>
        </w:tc>
      </w:tr>
      <w:tr>
        <w:tc>
          <w:tcPr>
            <w:tcW w:type="dxa" w:w="2351"/>
            <w:vAlign w:val="center"/>
            <w:tcW w:w="2340000" w:type="dxa"/>
          </w:tcPr>
          <w:p>
            <w:pPr>
              <w:spacing w:before="60" w:after="60"/>
              <w:ind w:left="113"/>
            </w:pPr>
            <w:r>
              <w:rPr>
                <w:b w:val="0"/>
                <w:color w:val="1A1917"/>
                <w:sz w:val="19"/>
              </w:rPr>
              <w:t>Total</w:t>
            </w:r>
          </w:p>
        </w:tc>
        <w:tc>
          <w:tcPr>
            <w:tcW w:type="dxa" w:w="2351"/>
            <w:vAlign w:val="center"/>
            <w:tcW w:w="1080000" w:type="dxa"/>
          </w:tcPr>
          <w:p>
            <w:pPr>
              <w:spacing w:before="60" w:after="60"/>
              <w:ind w:left="113"/>
            </w:pPr>
            <w:r>
              <w:rPr>
                <w:b w:val="0"/>
                <w:color w:val="5E5A52"/>
                <w:sz w:val="19"/>
              </w:rPr>
              <w:t>4</w:t>
            </w:r>
          </w:p>
        </w:tc>
        <w:tc>
          <w:tcPr>
            <w:tcW w:type="dxa" w:w="2351"/>
            <w:vAlign w:val="center"/>
            <w:tcW w:w="1080000" w:type="dxa"/>
          </w:tcPr>
          <w:p>
            <w:pPr>
              <w:spacing w:before="60" w:after="60"/>
              <w:ind w:left="113"/>
            </w:pPr>
            <w:r>
              <w:rPr>
                <w:b w:val="0"/>
                <w:color w:val="5E5A52"/>
                <w:sz w:val="19"/>
              </w:rPr>
              <w:t>11</w:t>
            </w:r>
          </w:p>
        </w:tc>
        <w:tc>
          <w:tcPr>
            <w:tcW w:type="dxa" w:w="2351"/>
            <w:vAlign w:val="center"/>
            <w:tcW w:w="1080000" w:type="dxa"/>
          </w:tcPr>
          <w:p>
            <w:pPr>
              <w:spacing w:before="60" w:after="60"/>
              <w:ind w:left="113"/>
            </w:pPr>
            <w:r>
              <w:rPr>
                <w:b w:val="0"/>
                <w:color w:val="5E5A52"/>
                <w:sz w:val="19"/>
              </w:rPr>
              <w:t>21</w:t>
            </w:r>
          </w:p>
        </w:tc>
      </w:tr>
    </w:tbl>
    <w:p/>
    <w:p>
      <w:pPr>
        <w:spacing w:before="160" w:after="160"/>
        <w:pBdr>
          <w:bottom w:val="single" w:sz="4" w:space="1" w:color="D1CEC8"/>
        </w:pBdr>
      </w:pPr>
    </w:p>
    <w:p>
      <w:pPr>
        <w:pStyle w:val="Heading1"/>
        <w:spacing w:before="400" w:after="120"/>
      </w:pPr>
      <w:r>
        <w:rPr>
          <w:color w:val="1D9E75"/>
          <w:sz w:val="32"/>
        </w:rPr>
        <w:t>46. Equity and Compensation Structure</w:t>
      </w:r>
    </w:p>
    <w:p>
      <w:pPr>
        <w:pStyle w:val="Heading2"/>
        <w:spacing w:before="240" w:after="80"/>
      </w:pPr>
      <w:r>
        <w:rPr>
          <w:color w:val="1A1917"/>
          <w:sz w:val="26"/>
        </w:rPr>
        <w:t>Founder equity (pre-seed)</w:t>
      </w:r>
    </w:p>
    <w:p>
      <w:pPr>
        <w:spacing w:after="120"/>
      </w:pPr>
      <w:r>
        <w:rPr>
          <w:i w:val="0"/>
          <w:color w:val="5E5A52"/>
          <w:sz w:val="21"/>
        </w:rPr>
        <w:t>Moin Siddiqui holds 100% of PropPilot equity prior to external investment. On incorporation (planned Q3 2026), the cap table will be structured as follows:</w:t>
      </w:r>
    </w:p>
    <w:tbl>
      <w:tblPr>
        <w:tblStyle w:val="TableGrid"/>
        <w:tblW w:type="auto" w:w="0"/>
        <w:tblLook w:firstColumn="1" w:firstRow="1" w:lastColumn="0" w:lastRow="0" w:noHBand="0" w:noVBand="1" w:val="04A0"/>
      </w:tblPr>
      <w:tblGrid>
        <w:gridCol w:w="2351"/>
        <w:gridCol w:w="2351"/>
        <w:gridCol w:w="2351"/>
        <w:gridCol w:w="2351"/>
      </w:tblGrid>
      <w:tr>
        <w:tc>
          <w:tcPr>
            <w:tcW w:type="dxa" w:w="2351"/>
            <w:vAlign w:val="center"/>
            <w:tcW w:w="1800000" w:type="dxa"/>
            <w:shd w:val="clear" w:color="auto" w:fill="1D9E75"/>
          </w:tcPr>
          <w:p>
            <w:pPr>
              <w:spacing w:before="60" w:after="60"/>
              <w:ind w:left="113"/>
            </w:pPr>
            <w:r>
              <w:rPr>
                <w:b/>
                <w:color w:val="FFFFFF"/>
                <w:sz w:val="19"/>
              </w:rPr>
              <w:t>Stakeholder</w:t>
            </w:r>
          </w:p>
        </w:tc>
        <w:tc>
          <w:tcPr>
            <w:tcW w:type="dxa" w:w="2351"/>
            <w:vAlign w:val="center"/>
            <w:tcW w:w="1080000" w:type="dxa"/>
            <w:shd w:val="clear" w:color="auto" w:fill="1D9E75"/>
          </w:tcPr>
          <w:p>
            <w:pPr>
              <w:spacing w:before="60" w:after="60"/>
              <w:ind w:left="113"/>
            </w:pPr>
            <w:r>
              <w:rPr>
                <w:b/>
                <w:color w:val="FFFFFF"/>
                <w:sz w:val="19"/>
              </w:rPr>
              <w:t>Pre-seed %</w:t>
            </w:r>
          </w:p>
        </w:tc>
        <w:tc>
          <w:tcPr>
            <w:tcW w:type="dxa" w:w="2351"/>
            <w:vAlign w:val="center"/>
            <w:tcW w:w="1620000" w:type="dxa"/>
            <w:shd w:val="clear" w:color="auto" w:fill="1D9E75"/>
          </w:tcPr>
          <w:p>
            <w:pPr>
              <w:spacing w:before="60" w:after="60"/>
              <w:ind w:left="113"/>
            </w:pPr>
            <w:r>
              <w:rPr>
                <w:b/>
                <w:color w:val="FFFFFF"/>
                <w:sz w:val="19"/>
              </w:rPr>
              <w:t>Post-seed % (illustrative)</w:t>
            </w:r>
          </w:p>
        </w:tc>
        <w:tc>
          <w:tcPr>
            <w:tcW w:type="dxa" w:w="2351"/>
            <w:vAlign w:val="center"/>
            <w:tcW w:w="1620000" w:type="dxa"/>
            <w:shd w:val="clear" w:color="auto" w:fill="1D9E75"/>
          </w:tcPr>
          <w:p>
            <w:pPr>
              <w:spacing w:before="60" w:after="60"/>
              <w:ind w:left="113"/>
            </w:pPr>
            <w:r>
              <w:rPr>
                <w:b/>
                <w:color w:val="FFFFFF"/>
                <w:sz w:val="19"/>
              </w:rPr>
              <w:t>Notes</w:t>
            </w:r>
          </w:p>
        </w:tc>
      </w:tr>
      <w:tr>
        <w:tc>
          <w:tcPr>
            <w:tcW w:type="dxa" w:w="2351"/>
            <w:vAlign w:val="center"/>
            <w:tcW w:w="1800000" w:type="dxa"/>
          </w:tcPr>
          <w:p>
            <w:pPr>
              <w:spacing w:before="60" w:after="60"/>
              <w:ind w:left="113"/>
            </w:pPr>
            <w:r>
              <w:rPr>
                <w:b w:val="0"/>
                <w:color w:val="1A1917"/>
                <w:sz w:val="19"/>
              </w:rPr>
              <w:t>Founder (Moin Siddiqui)</w:t>
            </w:r>
          </w:p>
        </w:tc>
        <w:tc>
          <w:tcPr>
            <w:tcW w:type="dxa" w:w="2351"/>
            <w:vAlign w:val="center"/>
            <w:tcW w:w="1080000" w:type="dxa"/>
          </w:tcPr>
          <w:p>
            <w:pPr>
              <w:spacing w:before="60" w:after="60"/>
              <w:ind w:left="113"/>
            </w:pPr>
            <w:r>
              <w:rPr>
                <w:b w:val="0"/>
                <w:color w:val="5E5A52"/>
                <w:sz w:val="19"/>
              </w:rPr>
              <w:t>100%</w:t>
            </w:r>
          </w:p>
        </w:tc>
        <w:tc>
          <w:tcPr>
            <w:tcW w:type="dxa" w:w="2351"/>
            <w:vAlign w:val="center"/>
            <w:tcW w:w="1620000" w:type="dxa"/>
          </w:tcPr>
          <w:p>
            <w:pPr>
              <w:spacing w:before="60" w:after="60"/>
              <w:ind w:left="113"/>
            </w:pPr>
            <w:r>
              <w:rPr>
                <w:b w:val="0"/>
                <w:color w:val="5E5A52"/>
                <w:sz w:val="19"/>
              </w:rPr>
              <w:t>70%</w:t>
            </w:r>
          </w:p>
        </w:tc>
        <w:tc>
          <w:tcPr>
            <w:tcW w:type="dxa" w:w="2351"/>
            <w:vAlign w:val="center"/>
            <w:tcW w:w="1620000" w:type="dxa"/>
          </w:tcPr>
          <w:p>
            <w:pPr>
              <w:spacing w:before="60" w:after="60"/>
              <w:ind w:left="113"/>
            </w:pPr>
            <w:r>
              <w:rPr>
                <w:b w:val="0"/>
                <w:color w:val="5E5A52"/>
                <w:sz w:val="19"/>
              </w:rPr>
              <w:t>4-year vesting, 1-year cliff</w:t>
            </w:r>
          </w:p>
        </w:tc>
      </w:tr>
      <w:tr>
        <w:tc>
          <w:tcPr>
            <w:tcW w:type="dxa" w:w="2351"/>
            <w:vAlign w:val="center"/>
            <w:tcW w:w="1800000" w:type="dxa"/>
            <w:shd w:val="clear" w:color="auto" w:fill="F8F7F4"/>
          </w:tcPr>
          <w:p>
            <w:pPr>
              <w:spacing w:before="60" w:after="60"/>
              <w:ind w:left="113"/>
            </w:pPr>
            <w:r>
              <w:rPr>
                <w:b w:val="0"/>
                <w:color w:val="1A1917"/>
                <w:sz w:val="19"/>
              </w:rPr>
              <w:t>Seed investors</w:t>
            </w:r>
          </w:p>
        </w:tc>
        <w:tc>
          <w:tcPr>
            <w:tcW w:type="dxa" w:w="2351"/>
            <w:vAlign w:val="center"/>
            <w:tcW w:w="1080000" w:type="dxa"/>
            <w:shd w:val="clear" w:color="auto" w:fill="F8F7F4"/>
          </w:tcPr>
          <w:p>
            <w:pPr>
              <w:spacing w:before="60" w:after="60"/>
              <w:ind w:left="113"/>
            </w:pPr>
            <w:r>
              <w:rPr>
                <w:b w:val="0"/>
                <w:color w:val="5E5A52"/>
                <w:sz w:val="19"/>
              </w:rPr>
              <w:t>0%</w:t>
            </w:r>
          </w:p>
        </w:tc>
        <w:tc>
          <w:tcPr>
            <w:tcW w:type="dxa" w:w="2351"/>
            <w:vAlign w:val="center"/>
            <w:tcW w:w="1620000" w:type="dxa"/>
            <w:shd w:val="clear" w:color="auto" w:fill="F8F7F4"/>
          </w:tcPr>
          <w:p>
            <w:pPr>
              <w:spacing w:before="60" w:after="60"/>
              <w:ind w:left="113"/>
            </w:pPr>
            <w:r>
              <w:rPr>
                <w:b w:val="0"/>
                <w:color w:val="5E5A52"/>
                <w:sz w:val="19"/>
              </w:rPr>
              <w:t>20%</w:t>
            </w:r>
          </w:p>
        </w:tc>
        <w:tc>
          <w:tcPr>
            <w:tcW w:type="dxa" w:w="2351"/>
            <w:vAlign w:val="center"/>
            <w:tcW w:w="1620000" w:type="dxa"/>
            <w:shd w:val="clear" w:color="auto" w:fill="F8F7F4"/>
          </w:tcPr>
          <w:p>
            <w:pPr>
              <w:spacing w:before="60" w:after="60"/>
              <w:ind w:left="113"/>
            </w:pPr>
            <w:r>
              <w:rPr>
                <w:b w:val="0"/>
                <w:color w:val="5E5A52"/>
                <w:sz w:val="19"/>
              </w:rPr>
              <w:t>SEIS/EIS eligible — max tax relief for investors</w:t>
            </w:r>
          </w:p>
        </w:tc>
      </w:tr>
      <w:tr>
        <w:tc>
          <w:tcPr>
            <w:tcW w:type="dxa" w:w="2351"/>
            <w:vAlign w:val="center"/>
            <w:tcW w:w="1800000" w:type="dxa"/>
          </w:tcPr>
          <w:p>
            <w:pPr>
              <w:spacing w:before="60" w:after="60"/>
              <w:ind w:left="113"/>
            </w:pPr>
            <w:r>
              <w:rPr>
                <w:b w:val="0"/>
                <w:color w:val="1A1917"/>
                <w:sz w:val="19"/>
              </w:rPr>
              <w:t>Employee option pool</w:t>
            </w:r>
          </w:p>
        </w:tc>
        <w:tc>
          <w:tcPr>
            <w:tcW w:type="dxa" w:w="2351"/>
            <w:vAlign w:val="center"/>
            <w:tcW w:w="1080000" w:type="dxa"/>
          </w:tcPr>
          <w:p>
            <w:pPr>
              <w:spacing w:before="60" w:after="60"/>
              <w:ind w:left="113"/>
            </w:pPr>
            <w:r>
              <w:rPr>
                <w:b w:val="0"/>
                <w:color w:val="5E5A52"/>
                <w:sz w:val="19"/>
              </w:rPr>
              <w:t>0%</w:t>
            </w:r>
          </w:p>
        </w:tc>
        <w:tc>
          <w:tcPr>
            <w:tcW w:type="dxa" w:w="2351"/>
            <w:vAlign w:val="center"/>
            <w:tcW w:w="1620000" w:type="dxa"/>
          </w:tcPr>
          <w:p>
            <w:pPr>
              <w:spacing w:before="60" w:after="60"/>
              <w:ind w:left="113"/>
            </w:pPr>
            <w:r>
              <w:rPr>
                <w:b w:val="0"/>
                <w:color w:val="5E5A52"/>
                <w:sz w:val="19"/>
              </w:rPr>
              <w:t>10%</w:t>
            </w:r>
          </w:p>
        </w:tc>
        <w:tc>
          <w:tcPr>
            <w:tcW w:type="dxa" w:w="2351"/>
            <w:vAlign w:val="center"/>
            <w:tcW w:w="1620000" w:type="dxa"/>
          </w:tcPr>
          <w:p>
            <w:pPr>
              <w:spacing w:before="60" w:after="60"/>
              <w:ind w:left="113"/>
            </w:pPr>
            <w:r>
              <w:rPr>
                <w:b w:val="0"/>
                <w:color w:val="5E5A52"/>
                <w:sz w:val="19"/>
              </w:rPr>
              <w:t>Reserved for first 5 hires; 4-year vesting</w:t>
            </w:r>
          </w:p>
        </w:tc>
      </w:tr>
    </w:tbl>
    <w:p/>
    <w:p>
      <w:pPr>
        <w:pStyle w:val="Heading2"/>
        <w:spacing w:before="240" w:after="80"/>
      </w:pPr>
      <w:r>
        <w:rPr>
          <w:color w:val="1A1917"/>
          <w:sz w:val="26"/>
        </w:rPr>
        <w:t>Compensation philosophy</w:t>
      </w:r>
    </w:p>
    <w:p>
      <w:pPr>
        <w:pStyle w:val="ListBullet"/>
        <w:spacing w:after="60"/>
        <w:ind w:left="283"/>
      </w:pPr>
      <w:r>
        <w:rPr>
          <w:color w:val="5E5A52"/>
          <w:sz w:val="21"/>
        </w:rPr>
        <w:t>Below-market base salary + above-market equity for early hires — standard seed-stage practice.</w:t>
      </w:r>
    </w:p>
    <w:p>
      <w:pPr>
        <w:pStyle w:val="ListBullet"/>
        <w:spacing w:after="60"/>
        <w:ind w:left="283"/>
      </w:pPr>
      <w:r>
        <w:rPr>
          <w:color w:val="5E5A52"/>
          <w:sz w:val="21"/>
        </w:rPr>
        <w:t>All employees and option-holders on 4-year vesting with 1-year cliff.</w:t>
      </w:r>
    </w:p>
    <w:p>
      <w:pPr>
        <w:pStyle w:val="ListBullet"/>
        <w:spacing w:after="60"/>
        <w:ind w:left="283"/>
      </w:pPr>
      <w:r>
        <w:rPr>
          <w:color w:val="5E5A52"/>
          <w:sz w:val="21"/>
        </w:rPr>
        <w:t>R&amp;D Tax Credit savings (up to 33% on qualifying engineering spend) used to extend runway and increase base salary competitiveness.</w:t>
      </w:r>
    </w:p>
    <w:p>
      <w:pPr>
        <w:pStyle w:val="ListBullet"/>
        <w:spacing w:after="60"/>
        <w:ind w:left="283"/>
      </w:pPr>
      <w:r>
        <w:rPr>
          <w:color w:val="5E5A52"/>
          <w:sz w:val="21"/>
        </w:rPr>
        <w:t>SEIS/EIS relief: Seed investors can claim 50%/30% income tax relief, making the ask more attractive for UK angels.</w:t>
      </w:r>
    </w:p>
    <w:p>
      <w:pPr>
        <w:spacing w:before="160" w:after="160"/>
        <w:pBdr>
          <w:bottom w:val="single" w:sz="4" w:space="1" w:color="D1CEC8"/>
        </w:pBdr>
      </w:pPr>
    </w:p>
    <w:p>
      <w:pPr>
        <w:pStyle w:val="Heading1"/>
        <w:spacing w:before="400" w:after="120"/>
      </w:pPr>
      <w:r>
        <w:rPr>
          <w:color w:val="1D9E75"/>
          <w:sz w:val="32"/>
        </w:rPr>
        <w:t>47. Hiring Plan</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vAlign w:val="center"/>
            <w:tcW w:w="900000" w:type="dxa"/>
            <w:shd w:val="clear" w:color="auto" w:fill="1D9E75"/>
          </w:tcPr>
          <w:p>
            <w:pPr>
              <w:spacing w:before="60" w:after="60"/>
              <w:ind w:left="113"/>
            </w:pPr>
            <w:r>
              <w:rPr>
                <w:b/>
                <w:color w:val="FFFFFF"/>
                <w:sz w:val="19"/>
              </w:rPr>
              <w:t>Month</w:t>
            </w:r>
          </w:p>
        </w:tc>
        <w:tc>
          <w:tcPr>
            <w:tcW w:type="dxa" w:w="1881"/>
            <w:vAlign w:val="center"/>
            <w:tcW w:w="1620000" w:type="dxa"/>
            <w:shd w:val="clear" w:color="auto" w:fill="1D9E75"/>
          </w:tcPr>
          <w:p>
            <w:pPr>
              <w:spacing w:before="60" w:after="60"/>
              <w:ind w:left="113"/>
            </w:pPr>
            <w:r>
              <w:rPr>
                <w:b/>
                <w:color w:val="FFFFFF"/>
                <w:sz w:val="19"/>
              </w:rPr>
              <w:t>Role</w:t>
            </w:r>
          </w:p>
        </w:tc>
        <w:tc>
          <w:tcPr>
            <w:tcW w:type="dxa" w:w="1881"/>
            <w:vAlign w:val="center"/>
            <w:tcW w:w="900000" w:type="dxa"/>
            <w:shd w:val="clear" w:color="auto" w:fill="1D9E75"/>
          </w:tcPr>
          <w:p>
            <w:pPr>
              <w:spacing w:before="60" w:after="60"/>
              <w:ind w:left="113"/>
            </w:pPr>
            <w:r>
              <w:rPr>
                <w:b/>
                <w:color w:val="FFFFFF"/>
                <w:sz w:val="19"/>
              </w:rPr>
              <w:t>Type</w:t>
            </w:r>
          </w:p>
        </w:tc>
        <w:tc>
          <w:tcPr>
            <w:tcW w:type="dxa" w:w="1881"/>
            <w:vAlign w:val="center"/>
            <w:tcW w:w="1260000" w:type="dxa"/>
            <w:shd w:val="clear" w:color="auto" w:fill="1D9E75"/>
          </w:tcPr>
          <w:p>
            <w:pPr>
              <w:spacing w:before="60" w:after="60"/>
              <w:ind w:left="113"/>
            </w:pPr>
            <w:r>
              <w:rPr>
                <w:b/>
                <w:color w:val="FFFFFF"/>
                <w:sz w:val="19"/>
              </w:rPr>
              <w:t>Annual cost (est.)</w:t>
            </w:r>
          </w:p>
        </w:tc>
        <w:tc>
          <w:tcPr>
            <w:tcW w:type="dxa" w:w="1881"/>
            <w:vAlign w:val="center"/>
            <w:tcW w:w="1440000" w:type="dxa"/>
            <w:shd w:val="clear" w:color="auto" w:fill="1D9E75"/>
          </w:tcPr>
          <w:p>
            <w:pPr>
              <w:spacing w:before="60" w:after="60"/>
              <w:ind w:left="113"/>
            </w:pPr>
            <w:r>
              <w:rPr>
                <w:b/>
                <w:color w:val="FFFFFF"/>
                <w:sz w:val="19"/>
              </w:rPr>
              <w:t>Priority</w:t>
            </w:r>
          </w:p>
        </w:tc>
      </w:tr>
      <w:tr>
        <w:tc>
          <w:tcPr>
            <w:tcW w:type="dxa" w:w="1881"/>
            <w:vAlign w:val="center"/>
            <w:tcW w:w="900000" w:type="dxa"/>
          </w:tcPr>
          <w:p>
            <w:pPr>
              <w:spacing w:before="60" w:after="60"/>
              <w:ind w:left="113"/>
            </w:pPr>
            <w:r>
              <w:rPr>
                <w:b w:val="0"/>
                <w:color w:val="1A1917"/>
                <w:sz w:val="19"/>
              </w:rPr>
              <w:t>Month 2</w:t>
            </w:r>
          </w:p>
        </w:tc>
        <w:tc>
          <w:tcPr>
            <w:tcW w:type="dxa" w:w="1881"/>
            <w:vAlign w:val="center"/>
            <w:tcW w:w="1620000" w:type="dxa"/>
          </w:tcPr>
          <w:p>
            <w:pPr>
              <w:spacing w:before="60" w:after="60"/>
              <w:ind w:left="113"/>
            </w:pPr>
            <w:r>
              <w:rPr>
                <w:b w:val="0"/>
                <w:color w:val="5E5A52"/>
                <w:sz w:val="19"/>
              </w:rPr>
              <w:t>Full-Stack Engineer</w:t>
            </w:r>
          </w:p>
        </w:tc>
        <w:tc>
          <w:tcPr>
            <w:tcW w:type="dxa" w:w="1881"/>
            <w:vAlign w:val="center"/>
            <w:tcW w:w="900000" w:type="dxa"/>
          </w:tcPr>
          <w:p>
            <w:pPr>
              <w:spacing w:before="60" w:after="60"/>
              <w:ind w:left="113"/>
            </w:pPr>
            <w:r>
              <w:rPr>
                <w:b w:val="0"/>
                <w:color w:val="5E5A52"/>
                <w:sz w:val="19"/>
              </w:rPr>
              <w:t>FTE</w:t>
            </w:r>
          </w:p>
        </w:tc>
        <w:tc>
          <w:tcPr>
            <w:tcW w:type="dxa" w:w="1881"/>
            <w:vAlign w:val="center"/>
            <w:tcW w:w="1260000" w:type="dxa"/>
          </w:tcPr>
          <w:p>
            <w:pPr>
              <w:spacing w:before="60" w:after="60"/>
              <w:ind w:left="113"/>
            </w:pPr>
            <w:r>
              <w:rPr>
                <w:b w:val="0"/>
                <w:color w:val="5E5A52"/>
                <w:sz w:val="19"/>
              </w:rPr>
              <w:t>£62,000</w:t>
            </w:r>
          </w:p>
        </w:tc>
        <w:tc>
          <w:tcPr>
            <w:tcW w:type="dxa" w:w="1881"/>
            <w:vAlign w:val="center"/>
            <w:tcW w:w="1440000" w:type="dxa"/>
          </w:tcPr>
          <w:p>
            <w:pPr>
              <w:spacing w:before="60" w:after="60"/>
              <w:ind w:left="113"/>
            </w:pPr>
            <w:r>
              <w:rPr>
                <w:b w:val="0"/>
                <w:color w:val="5E5A52"/>
                <w:sz w:val="19"/>
              </w:rPr>
              <w:t>Critical — Stripe/Supabase/API</w:t>
            </w:r>
          </w:p>
        </w:tc>
      </w:tr>
      <w:tr>
        <w:tc>
          <w:tcPr>
            <w:tcW w:type="dxa" w:w="1881"/>
            <w:vAlign w:val="center"/>
            <w:tcW w:w="900000" w:type="dxa"/>
            <w:shd w:val="clear" w:color="auto" w:fill="F8F7F4"/>
          </w:tcPr>
          <w:p>
            <w:pPr>
              <w:spacing w:before="60" w:after="60"/>
              <w:ind w:left="113"/>
            </w:pPr>
            <w:r>
              <w:rPr>
                <w:b w:val="0"/>
                <w:color w:val="1A1917"/>
                <w:sz w:val="19"/>
              </w:rPr>
              <w:t>Month 3</w:t>
            </w:r>
          </w:p>
        </w:tc>
        <w:tc>
          <w:tcPr>
            <w:tcW w:type="dxa" w:w="1881"/>
            <w:vAlign w:val="center"/>
            <w:tcW w:w="1620000" w:type="dxa"/>
            <w:shd w:val="clear" w:color="auto" w:fill="F8F7F4"/>
          </w:tcPr>
          <w:p>
            <w:pPr>
              <w:spacing w:before="60" w:after="60"/>
              <w:ind w:left="113"/>
            </w:pPr>
            <w:r>
              <w:rPr>
                <w:b w:val="0"/>
                <w:color w:val="5E5A52"/>
                <w:sz w:val="19"/>
              </w:rPr>
              <w:t>Growth / SEO Lead</w:t>
            </w:r>
          </w:p>
        </w:tc>
        <w:tc>
          <w:tcPr>
            <w:tcW w:type="dxa" w:w="1881"/>
            <w:vAlign w:val="center"/>
            <w:tcW w:w="900000" w:type="dxa"/>
            <w:shd w:val="clear" w:color="auto" w:fill="F8F7F4"/>
          </w:tcPr>
          <w:p>
            <w:pPr>
              <w:spacing w:before="60" w:after="60"/>
              <w:ind w:left="113"/>
            </w:pPr>
            <w:r>
              <w:rPr>
                <w:b w:val="0"/>
                <w:color w:val="5E5A52"/>
                <w:sz w:val="19"/>
              </w:rPr>
              <w:t>FTE</w:t>
            </w:r>
          </w:p>
        </w:tc>
        <w:tc>
          <w:tcPr>
            <w:tcW w:type="dxa" w:w="1881"/>
            <w:vAlign w:val="center"/>
            <w:tcW w:w="1260000" w:type="dxa"/>
            <w:shd w:val="clear" w:color="auto" w:fill="F8F7F4"/>
          </w:tcPr>
          <w:p>
            <w:pPr>
              <w:spacing w:before="60" w:after="60"/>
              <w:ind w:left="113"/>
            </w:pPr>
            <w:r>
              <w:rPr>
                <w:b w:val="0"/>
                <w:color w:val="5E5A52"/>
                <w:sz w:val="19"/>
              </w:rPr>
              <w:t>£45,000</w:t>
            </w:r>
          </w:p>
        </w:tc>
        <w:tc>
          <w:tcPr>
            <w:tcW w:type="dxa" w:w="1881"/>
            <w:vAlign w:val="center"/>
            <w:tcW w:w="1440000" w:type="dxa"/>
            <w:shd w:val="clear" w:color="auto" w:fill="F8F7F4"/>
          </w:tcPr>
          <w:p>
            <w:pPr>
              <w:spacing w:before="60" w:after="60"/>
              <w:ind w:left="113"/>
            </w:pPr>
            <w:r>
              <w:rPr>
                <w:b w:val="0"/>
                <w:color w:val="5E5A52"/>
                <w:sz w:val="19"/>
              </w:rPr>
              <w:t>High — organic acquisition</w:t>
            </w:r>
          </w:p>
        </w:tc>
      </w:tr>
      <w:tr>
        <w:tc>
          <w:tcPr>
            <w:tcW w:type="dxa" w:w="1881"/>
            <w:vAlign w:val="center"/>
            <w:tcW w:w="900000" w:type="dxa"/>
          </w:tcPr>
          <w:p>
            <w:pPr>
              <w:spacing w:before="60" w:after="60"/>
              <w:ind w:left="113"/>
            </w:pPr>
            <w:r>
              <w:rPr>
                <w:b w:val="0"/>
                <w:color w:val="1A1917"/>
                <w:sz w:val="19"/>
              </w:rPr>
              <w:t>Month 4</w:t>
            </w:r>
          </w:p>
        </w:tc>
        <w:tc>
          <w:tcPr>
            <w:tcW w:type="dxa" w:w="1881"/>
            <w:vAlign w:val="center"/>
            <w:tcW w:w="1620000" w:type="dxa"/>
          </w:tcPr>
          <w:p>
            <w:pPr>
              <w:spacing w:before="60" w:after="60"/>
              <w:ind w:left="113"/>
            </w:pPr>
            <w:r>
              <w:rPr>
                <w:b w:val="0"/>
                <w:color w:val="5E5A52"/>
                <w:sz w:val="19"/>
              </w:rPr>
              <w:t>Head of Pro Services</w:t>
            </w:r>
          </w:p>
        </w:tc>
        <w:tc>
          <w:tcPr>
            <w:tcW w:type="dxa" w:w="1881"/>
            <w:vAlign w:val="center"/>
            <w:tcW w:w="900000" w:type="dxa"/>
          </w:tcPr>
          <w:p>
            <w:pPr>
              <w:spacing w:before="60" w:after="60"/>
              <w:ind w:left="113"/>
            </w:pPr>
            <w:r>
              <w:rPr>
                <w:b w:val="0"/>
                <w:color w:val="5E5A52"/>
                <w:sz w:val="19"/>
              </w:rPr>
              <w:t>FTE</w:t>
            </w:r>
          </w:p>
        </w:tc>
        <w:tc>
          <w:tcPr>
            <w:tcW w:type="dxa" w:w="1881"/>
            <w:vAlign w:val="center"/>
            <w:tcW w:w="1260000" w:type="dxa"/>
          </w:tcPr>
          <w:p>
            <w:pPr>
              <w:spacing w:before="60" w:after="60"/>
              <w:ind w:left="113"/>
            </w:pPr>
            <w:r>
              <w:rPr>
                <w:b w:val="0"/>
                <w:color w:val="5E5A52"/>
                <w:sz w:val="19"/>
              </w:rPr>
              <w:t>£50,000</w:t>
            </w:r>
          </w:p>
        </w:tc>
        <w:tc>
          <w:tcPr>
            <w:tcW w:type="dxa" w:w="1881"/>
            <w:vAlign w:val="center"/>
            <w:tcW w:w="1440000" w:type="dxa"/>
          </w:tcPr>
          <w:p>
            <w:pPr>
              <w:spacing w:before="60" w:after="60"/>
              <w:ind w:left="113"/>
            </w:pPr>
            <w:r>
              <w:rPr>
                <w:b w:val="0"/>
                <w:color w:val="5E5A52"/>
                <w:sz w:val="19"/>
              </w:rPr>
              <w:t>High — marketplace revenue</w:t>
            </w:r>
          </w:p>
        </w:tc>
      </w:tr>
      <w:tr>
        <w:tc>
          <w:tcPr>
            <w:tcW w:type="dxa" w:w="1881"/>
            <w:vAlign w:val="center"/>
            <w:tcW w:w="900000" w:type="dxa"/>
            <w:shd w:val="clear" w:color="auto" w:fill="F8F7F4"/>
          </w:tcPr>
          <w:p>
            <w:pPr>
              <w:spacing w:before="60" w:after="60"/>
              <w:ind w:left="113"/>
            </w:pPr>
            <w:r>
              <w:rPr>
                <w:b w:val="0"/>
                <w:color w:val="1A1917"/>
                <w:sz w:val="19"/>
              </w:rPr>
              <w:t>Month 9</w:t>
            </w:r>
          </w:p>
        </w:tc>
        <w:tc>
          <w:tcPr>
            <w:tcW w:type="dxa" w:w="1881"/>
            <w:vAlign w:val="center"/>
            <w:tcW w:w="1620000" w:type="dxa"/>
            <w:shd w:val="clear" w:color="auto" w:fill="F8F7F4"/>
          </w:tcPr>
          <w:p>
            <w:pPr>
              <w:spacing w:before="60" w:after="60"/>
              <w:ind w:left="113"/>
            </w:pPr>
            <w:r>
              <w:rPr>
                <w:b w:val="0"/>
                <w:color w:val="5E5A52"/>
                <w:sz w:val="19"/>
              </w:rPr>
              <w:t>Sales Development Rep (B2B)</w:t>
            </w:r>
          </w:p>
        </w:tc>
        <w:tc>
          <w:tcPr>
            <w:tcW w:type="dxa" w:w="1881"/>
            <w:vAlign w:val="center"/>
            <w:tcW w:w="900000" w:type="dxa"/>
            <w:shd w:val="clear" w:color="auto" w:fill="F8F7F4"/>
          </w:tcPr>
          <w:p>
            <w:pPr>
              <w:spacing w:before="60" w:after="60"/>
              <w:ind w:left="113"/>
            </w:pPr>
            <w:r>
              <w:rPr>
                <w:b w:val="0"/>
                <w:color w:val="5E5A52"/>
                <w:sz w:val="19"/>
              </w:rPr>
              <w:t>FTE</w:t>
            </w:r>
          </w:p>
        </w:tc>
        <w:tc>
          <w:tcPr>
            <w:tcW w:type="dxa" w:w="1881"/>
            <w:vAlign w:val="center"/>
            <w:tcW w:w="1260000" w:type="dxa"/>
            <w:shd w:val="clear" w:color="auto" w:fill="F8F7F4"/>
          </w:tcPr>
          <w:p>
            <w:pPr>
              <w:spacing w:before="60" w:after="60"/>
              <w:ind w:left="113"/>
            </w:pPr>
            <w:r>
              <w:rPr>
                <w:b w:val="0"/>
                <w:color w:val="5E5A52"/>
                <w:sz w:val="19"/>
              </w:rPr>
              <w:t>£35,000 + commission</w:t>
            </w:r>
          </w:p>
        </w:tc>
        <w:tc>
          <w:tcPr>
            <w:tcW w:type="dxa" w:w="1881"/>
            <w:vAlign w:val="center"/>
            <w:tcW w:w="1440000" w:type="dxa"/>
            <w:shd w:val="clear" w:color="auto" w:fill="F8F7F4"/>
          </w:tcPr>
          <w:p>
            <w:pPr>
              <w:spacing w:before="60" w:after="60"/>
              <w:ind w:left="113"/>
            </w:pPr>
            <w:r>
              <w:rPr>
                <w:b w:val="0"/>
                <w:color w:val="5E5A52"/>
                <w:sz w:val="19"/>
              </w:rPr>
              <w:t>Medium — B2B pipeline</w:t>
            </w:r>
          </w:p>
        </w:tc>
      </w:tr>
      <w:tr>
        <w:tc>
          <w:tcPr>
            <w:tcW w:type="dxa" w:w="1881"/>
            <w:vAlign w:val="center"/>
            <w:tcW w:w="900000" w:type="dxa"/>
          </w:tcPr>
          <w:p>
            <w:pPr>
              <w:spacing w:before="60" w:after="60"/>
              <w:ind w:left="113"/>
            </w:pPr>
            <w:r>
              <w:rPr>
                <w:b w:val="0"/>
                <w:color w:val="1A1917"/>
                <w:sz w:val="19"/>
              </w:rPr>
              <w:t>Month 10</w:t>
            </w:r>
          </w:p>
        </w:tc>
        <w:tc>
          <w:tcPr>
            <w:tcW w:type="dxa" w:w="1881"/>
            <w:vAlign w:val="center"/>
            <w:tcW w:w="1620000" w:type="dxa"/>
          </w:tcPr>
          <w:p>
            <w:pPr>
              <w:spacing w:before="60" w:after="60"/>
              <w:ind w:left="113"/>
            </w:pPr>
            <w:r>
              <w:rPr>
                <w:b w:val="0"/>
                <w:color w:val="5E5A52"/>
                <w:sz w:val="19"/>
              </w:rPr>
              <w:t>Data Scientist</w:t>
            </w:r>
          </w:p>
        </w:tc>
        <w:tc>
          <w:tcPr>
            <w:tcW w:type="dxa" w:w="1881"/>
            <w:vAlign w:val="center"/>
            <w:tcW w:w="900000" w:type="dxa"/>
          </w:tcPr>
          <w:p>
            <w:pPr>
              <w:spacing w:before="60" w:after="60"/>
              <w:ind w:left="113"/>
            </w:pPr>
            <w:r>
              <w:rPr>
                <w:b w:val="0"/>
                <w:color w:val="5E5A52"/>
                <w:sz w:val="19"/>
              </w:rPr>
              <w:t>Contract</w:t>
            </w:r>
          </w:p>
        </w:tc>
        <w:tc>
          <w:tcPr>
            <w:tcW w:type="dxa" w:w="1881"/>
            <w:vAlign w:val="center"/>
            <w:tcW w:w="1260000" w:type="dxa"/>
          </w:tcPr>
          <w:p>
            <w:pPr>
              <w:spacing w:before="60" w:after="60"/>
              <w:ind w:left="113"/>
            </w:pPr>
            <w:r>
              <w:rPr>
                <w:b w:val="0"/>
                <w:color w:val="5E5A52"/>
                <w:sz w:val="19"/>
              </w:rPr>
              <w:t>£400/day</w:t>
            </w:r>
          </w:p>
        </w:tc>
        <w:tc>
          <w:tcPr>
            <w:tcW w:type="dxa" w:w="1881"/>
            <w:vAlign w:val="center"/>
            <w:tcW w:w="1440000" w:type="dxa"/>
          </w:tcPr>
          <w:p>
            <w:pPr>
              <w:spacing w:before="60" w:after="60"/>
              <w:ind w:left="113"/>
            </w:pPr>
            <w:r>
              <w:rPr>
                <w:b w:val="0"/>
                <w:color w:val="5E5A52"/>
                <w:sz w:val="19"/>
              </w:rPr>
              <w:t>Medium — PropPilot Score, EPC model</w:t>
            </w:r>
          </w:p>
        </w:tc>
      </w:tr>
      <w:tr>
        <w:tc>
          <w:tcPr>
            <w:tcW w:type="dxa" w:w="1881"/>
            <w:vAlign w:val="center"/>
            <w:tcW w:w="900000" w:type="dxa"/>
            <w:shd w:val="clear" w:color="auto" w:fill="F8F7F4"/>
          </w:tcPr>
          <w:p>
            <w:pPr>
              <w:spacing w:before="60" w:after="60"/>
              <w:ind w:left="113"/>
            </w:pPr>
            <w:r>
              <w:rPr>
                <w:b w:val="0"/>
                <w:color w:val="1A1917"/>
                <w:sz w:val="19"/>
              </w:rPr>
              <w:t>Month 12</w:t>
            </w:r>
          </w:p>
        </w:tc>
        <w:tc>
          <w:tcPr>
            <w:tcW w:type="dxa" w:w="1881"/>
            <w:vAlign w:val="center"/>
            <w:tcW w:w="1620000" w:type="dxa"/>
            <w:shd w:val="clear" w:color="auto" w:fill="F8F7F4"/>
          </w:tcPr>
          <w:p>
            <w:pPr>
              <w:spacing w:before="60" w:after="60"/>
              <w:ind w:left="113"/>
            </w:pPr>
            <w:r>
              <w:rPr>
                <w:b w:val="0"/>
                <w:color w:val="5E5A52"/>
                <w:sz w:val="19"/>
              </w:rPr>
              <w:t>Customer Success Manager</w:t>
            </w:r>
          </w:p>
        </w:tc>
        <w:tc>
          <w:tcPr>
            <w:tcW w:type="dxa" w:w="1881"/>
            <w:vAlign w:val="center"/>
            <w:tcW w:w="900000" w:type="dxa"/>
            <w:shd w:val="clear" w:color="auto" w:fill="F8F7F4"/>
          </w:tcPr>
          <w:p>
            <w:pPr>
              <w:spacing w:before="60" w:after="60"/>
              <w:ind w:left="113"/>
            </w:pPr>
            <w:r>
              <w:rPr>
                <w:b w:val="0"/>
                <w:color w:val="5E5A52"/>
                <w:sz w:val="19"/>
              </w:rPr>
              <w:t>FTE</w:t>
            </w:r>
          </w:p>
        </w:tc>
        <w:tc>
          <w:tcPr>
            <w:tcW w:type="dxa" w:w="1881"/>
            <w:vAlign w:val="center"/>
            <w:tcW w:w="1260000" w:type="dxa"/>
            <w:shd w:val="clear" w:color="auto" w:fill="F8F7F4"/>
          </w:tcPr>
          <w:p>
            <w:pPr>
              <w:spacing w:before="60" w:after="60"/>
              <w:ind w:left="113"/>
            </w:pPr>
            <w:r>
              <w:rPr>
                <w:b w:val="0"/>
                <w:color w:val="5E5A52"/>
                <w:sz w:val="19"/>
              </w:rPr>
              <w:t>£38,000</w:t>
            </w:r>
          </w:p>
        </w:tc>
        <w:tc>
          <w:tcPr>
            <w:tcW w:type="dxa" w:w="1881"/>
            <w:vAlign w:val="center"/>
            <w:tcW w:w="1440000" w:type="dxa"/>
            <w:shd w:val="clear" w:color="auto" w:fill="F8F7F4"/>
          </w:tcPr>
          <w:p>
            <w:pPr>
              <w:spacing w:before="60" w:after="60"/>
              <w:ind w:left="113"/>
            </w:pPr>
            <w:r>
              <w:rPr>
                <w:b w:val="0"/>
                <w:color w:val="5E5A52"/>
                <w:sz w:val="19"/>
              </w:rPr>
              <w:t>Medium — reduce churn</w:t>
            </w:r>
          </w:p>
        </w:tc>
      </w:tr>
      <w:tr>
        <w:tc>
          <w:tcPr>
            <w:tcW w:type="dxa" w:w="1881"/>
            <w:vAlign w:val="center"/>
            <w:tcW w:w="900000" w:type="dxa"/>
          </w:tcPr>
          <w:p>
            <w:pPr>
              <w:spacing w:before="60" w:after="60"/>
              <w:ind w:left="113"/>
            </w:pPr>
            <w:r>
              <w:rPr>
                <w:b w:val="0"/>
                <w:color w:val="1A1917"/>
                <w:sz w:val="19"/>
              </w:rPr>
              <w:t>Month 15</w:t>
            </w:r>
          </w:p>
        </w:tc>
        <w:tc>
          <w:tcPr>
            <w:tcW w:type="dxa" w:w="1881"/>
            <w:vAlign w:val="center"/>
            <w:tcW w:w="1620000" w:type="dxa"/>
          </w:tcPr>
          <w:p>
            <w:pPr>
              <w:spacing w:before="60" w:after="60"/>
              <w:ind w:left="113"/>
            </w:pPr>
            <w:r>
              <w:rPr>
                <w:b w:val="0"/>
                <w:color w:val="5E5A52"/>
                <w:sz w:val="19"/>
              </w:rPr>
              <w:t>Second Engineer</w:t>
            </w:r>
          </w:p>
        </w:tc>
        <w:tc>
          <w:tcPr>
            <w:tcW w:type="dxa" w:w="1881"/>
            <w:vAlign w:val="center"/>
            <w:tcW w:w="900000" w:type="dxa"/>
          </w:tcPr>
          <w:p>
            <w:pPr>
              <w:spacing w:before="60" w:after="60"/>
              <w:ind w:left="113"/>
            </w:pPr>
            <w:r>
              <w:rPr>
                <w:b w:val="0"/>
                <w:color w:val="5E5A52"/>
                <w:sz w:val="19"/>
              </w:rPr>
              <w:t>FTE</w:t>
            </w:r>
          </w:p>
        </w:tc>
        <w:tc>
          <w:tcPr>
            <w:tcW w:type="dxa" w:w="1881"/>
            <w:vAlign w:val="center"/>
            <w:tcW w:w="1260000" w:type="dxa"/>
          </w:tcPr>
          <w:p>
            <w:pPr>
              <w:spacing w:before="60" w:after="60"/>
              <w:ind w:left="113"/>
            </w:pPr>
            <w:r>
              <w:rPr>
                <w:b w:val="0"/>
                <w:color w:val="5E5A52"/>
                <w:sz w:val="19"/>
              </w:rPr>
              <w:t>£65,000</w:t>
            </w:r>
          </w:p>
        </w:tc>
        <w:tc>
          <w:tcPr>
            <w:tcW w:type="dxa" w:w="1881"/>
            <w:vAlign w:val="center"/>
            <w:tcW w:w="1440000" w:type="dxa"/>
          </w:tcPr>
          <w:p>
            <w:pPr>
              <w:spacing w:before="60" w:after="60"/>
              <w:ind w:left="113"/>
            </w:pPr>
            <w:r>
              <w:rPr>
                <w:b w:val="0"/>
                <w:color w:val="5E5A52"/>
                <w:sz w:val="19"/>
              </w:rPr>
              <w:t>High — mobile + AI features</w:t>
            </w:r>
          </w:p>
        </w:tc>
      </w:tr>
      <w:tr>
        <w:tc>
          <w:tcPr>
            <w:tcW w:type="dxa" w:w="1881"/>
            <w:vAlign w:val="center"/>
            <w:tcW w:w="900000" w:type="dxa"/>
            <w:shd w:val="clear" w:color="auto" w:fill="F8F7F4"/>
          </w:tcPr>
          <w:p>
            <w:pPr>
              <w:spacing w:before="60" w:after="60"/>
              <w:ind w:left="113"/>
            </w:pPr>
            <w:r>
              <w:rPr>
                <w:b w:val="0"/>
                <w:color w:val="1A1917"/>
                <w:sz w:val="19"/>
              </w:rPr>
              <w:t>Month 18</w:t>
            </w:r>
          </w:p>
        </w:tc>
        <w:tc>
          <w:tcPr>
            <w:tcW w:type="dxa" w:w="1881"/>
            <w:vAlign w:val="center"/>
            <w:tcW w:w="1620000" w:type="dxa"/>
            <w:shd w:val="clear" w:color="auto" w:fill="F8F7F4"/>
          </w:tcPr>
          <w:p>
            <w:pPr>
              <w:spacing w:before="60" w:after="60"/>
              <w:ind w:left="113"/>
            </w:pPr>
            <w:r>
              <w:rPr>
                <w:b w:val="0"/>
                <w:color w:val="5E5A52"/>
                <w:sz w:val="19"/>
              </w:rPr>
              <w:t>Third Engineer</w:t>
            </w:r>
          </w:p>
        </w:tc>
        <w:tc>
          <w:tcPr>
            <w:tcW w:type="dxa" w:w="1881"/>
            <w:vAlign w:val="center"/>
            <w:tcW w:w="900000" w:type="dxa"/>
            <w:shd w:val="clear" w:color="auto" w:fill="F8F7F4"/>
          </w:tcPr>
          <w:p>
            <w:pPr>
              <w:spacing w:before="60" w:after="60"/>
              <w:ind w:left="113"/>
            </w:pPr>
            <w:r>
              <w:rPr>
                <w:b w:val="0"/>
                <w:color w:val="5E5A52"/>
                <w:sz w:val="19"/>
              </w:rPr>
              <w:t>FTE</w:t>
            </w:r>
          </w:p>
        </w:tc>
        <w:tc>
          <w:tcPr>
            <w:tcW w:type="dxa" w:w="1881"/>
            <w:vAlign w:val="center"/>
            <w:tcW w:w="1260000" w:type="dxa"/>
            <w:shd w:val="clear" w:color="auto" w:fill="F8F7F4"/>
          </w:tcPr>
          <w:p>
            <w:pPr>
              <w:spacing w:before="60" w:after="60"/>
              <w:ind w:left="113"/>
            </w:pPr>
            <w:r>
              <w:rPr>
                <w:b w:val="0"/>
                <w:color w:val="5E5A52"/>
                <w:sz w:val="19"/>
              </w:rPr>
              <w:t>£65,000</w:t>
            </w:r>
          </w:p>
        </w:tc>
        <w:tc>
          <w:tcPr>
            <w:tcW w:type="dxa" w:w="1881"/>
            <w:vAlign w:val="center"/>
            <w:tcW w:w="1440000" w:type="dxa"/>
            <w:shd w:val="clear" w:color="auto" w:fill="F8F7F4"/>
          </w:tcPr>
          <w:p>
            <w:pPr>
              <w:spacing w:before="60" w:after="60"/>
              <w:ind w:left="113"/>
            </w:pPr>
            <w:r>
              <w:rPr>
                <w:b w:val="0"/>
                <w:color w:val="5E5A52"/>
                <w:sz w:val="19"/>
              </w:rPr>
              <w:t>High — scale infrastructure</w:t>
            </w:r>
          </w:p>
        </w:tc>
      </w:tr>
      <w:tr>
        <w:tc>
          <w:tcPr>
            <w:tcW w:type="dxa" w:w="1881"/>
            <w:vAlign w:val="center"/>
            <w:tcW w:w="900000" w:type="dxa"/>
          </w:tcPr>
          <w:p>
            <w:pPr>
              <w:spacing w:before="60" w:after="60"/>
              <w:ind w:left="113"/>
            </w:pPr>
            <w:r>
              <w:rPr>
                <w:b w:val="0"/>
                <w:color w:val="1A1917"/>
                <w:sz w:val="19"/>
              </w:rPr>
              <w:t>Month 18</w:t>
            </w:r>
          </w:p>
        </w:tc>
        <w:tc>
          <w:tcPr>
            <w:tcW w:type="dxa" w:w="1881"/>
            <w:vAlign w:val="center"/>
            <w:tcW w:w="1620000" w:type="dxa"/>
          </w:tcPr>
          <w:p>
            <w:pPr>
              <w:spacing w:before="60" w:after="60"/>
              <w:ind w:left="113"/>
            </w:pPr>
            <w:r>
              <w:rPr>
                <w:b w:val="0"/>
                <w:color w:val="5E5A52"/>
                <w:sz w:val="19"/>
              </w:rPr>
              <w:t>Marketing Executive</w:t>
            </w:r>
          </w:p>
        </w:tc>
        <w:tc>
          <w:tcPr>
            <w:tcW w:type="dxa" w:w="1881"/>
            <w:vAlign w:val="center"/>
            <w:tcW w:w="900000" w:type="dxa"/>
          </w:tcPr>
          <w:p>
            <w:pPr>
              <w:spacing w:before="60" w:after="60"/>
              <w:ind w:left="113"/>
            </w:pPr>
            <w:r>
              <w:rPr>
                <w:b w:val="0"/>
                <w:color w:val="5E5A52"/>
                <w:sz w:val="19"/>
              </w:rPr>
              <w:t>FTE</w:t>
            </w:r>
          </w:p>
        </w:tc>
        <w:tc>
          <w:tcPr>
            <w:tcW w:type="dxa" w:w="1881"/>
            <w:vAlign w:val="center"/>
            <w:tcW w:w="1260000" w:type="dxa"/>
          </w:tcPr>
          <w:p>
            <w:pPr>
              <w:spacing w:before="60" w:after="60"/>
              <w:ind w:left="113"/>
            </w:pPr>
            <w:r>
              <w:rPr>
                <w:b w:val="0"/>
                <w:color w:val="5E5A52"/>
                <w:sz w:val="19"/>
              </w:rPr>
              <w:t>£32,000</w:t>
            </w:r>
          </w:p>
        </w:tc>
        <w:tc>
          <w:tcPr>
            <w:tcW w:type="dxa" w:w="1881"/>
            <w:vAlign w:val="center"/>
            <w:tcW w:w="1440000" w:type="dxa"/>
          </w:tcPr>
          <w:p>
            <w:pPr>
              <w:spacing w:before="60" w:after="60"/>
              <w:ind w:left="113"/>
            </w:pPr>
            <w:r>
              <w:rPr>
                <w:b w:val="0"/>
                <w:color w:val="5E5A52"/>
                <w:sz w:val="19"/>
              </w:rPr>
              <w:t>Medium — content at scale</w:t>
            </w:r>
          </w:p>
        </w:tc>
      </w:tr>
    </w:tbl>
    <w:p/>
    <w:p>
      <w:pPr>
        <w:spacing w:before="160" w:after="160"/>
        <w:pBdr>
          <w:bottom w:val="single" w:sz="4" w:space="1" w:color="D1CEC8"/>
        </w:pBdr>
      </w:pPr>
    </w:p>
    <w:p>
      <w:r>
        <w:br w:type="page"/>
      </w:r>
    </w:p>
    <w:p>
      <w:pPr>
        <w:pStyle w:val="Heading1"/>
        <w:spacing w:before="400" w:after="120"/>
      </w:pPr>
      <w:r>
        <w:rPr>
          <w:color w:val="1D9E75"/>
          <w:sz w:val="32"/>
        </w:rPr>
        <w:t>48. SWOT Analysis</w:t>
      </w:r>
    </w:p>
    <w:tbl>
      <w:tblPr>
        <w:tblStyle w:val="TableGrid"/>
        <w:tblW w:type="auto" w:w="0"/>
        <w:tblLook w:firstColumn="1" w:firstRow="1" w:lastColumn="0" w:lastRow="0" w:noHBand="0" w:noVBand="1" w:val="04A0"/>
      </w:tblPr>
      <w:tblGrid>
        <w:gridCol w:w="4703"/>
        <w:gridCol w:w="4703"/>
      </w:tblGrid>
      <w:tr>
        <w:tc>
          <w:tcPr>
            <w:tcW w:type="dxa" w:w="4703"/>
            <w:vAlign w:val="center"/>
            <w:tcW w:w="3060000" w:type="dxa"/>
            <w:shd w:val="clear" w:color="auto" w:fill="1D9E75"/>
          </w:tcPr>
          <w:p>
            <w:pPr>
              <w:spacing w:before="60" w:after="60"/>
              <w:ind w:left="113"/>
            </w:pPr>
            <w:r>
              <w:rPr>
                <w:b/>
                <w:color w:val="FFFFFF"/>
                <w:sz w:val="19"/>
              </w:rPr>
              <w:t>Strengths</w:t>
            </w:r>
          </w:p>
        </w:tc>
        <w:tc>
          <w:tcPr>
            <w:tcW w:type="dxa" w:w="4703"/>
            <w:vAlign w:val="center"/>
            <w:tcW w:w="3060000" w:type="dxa"/>
            <w:shd w:val="clear" w:color="auto" w:fill="1D9E75"/>
          </w:tcPr>
          <w:p>
            <w:pPr>
              <w:spacing w:before="60" w:after="60"/>
              <w:ind w:left="113"/>
            </w:pPr>
            <w:r>
              <w:rPr>
                <w:b/>
                <w:color w:val="FFFFFF"/>
                <w:sz w:val="19"/>
              </w:rPr>
              <w:t>Weaknesses</w:t>
            </w:r>
          </w:p>
        </w:tc>
      </w:tr>
      <w:tr>
        <w:tc>
          <w:tcPr>
            <w:tcW w:type="dxa" w:w="4703"/>
            <w:vAlign w:val="center"/>
            <w:tcW w:w="3060000" w:type="dxa"/>
          </w:tcPr>
          <w:p>
            <w:pPr>
              <w:spacing w:before="60" w:after="60"/>
              <w:ind w:left="113"/>
            </w:pPr>
            <w:r>
              <w:rPr>
                <w:b w:val="0"/>
                <w:color w:val="1A1917"/>
                <w:sz w:val="19"/>
              </w:rPr>
              <w:t>MVP live and functional on Vercel</w:t>
              <w:br/>
              <w:t>Five live API integrations (EA, EPC, police.uk, Ofcom, VOA)</w:t>
              <w:br/>
              <w:t>Role-aware dual-product architecture (unique in market)</w:t>
              <w:br/>
              <w:t>Professional services marketplace (additional revenue stream)</w:t>
              <w:br/>
              <w:t>Zero data licensing cost (all public APIs)</w:t>
              <w:br/>
              <w:t>Founder with full-stack technical capability</w:t>
              <w:br/>
              <w:t>Strong market timing (proptech funding active)</w:t>
            </w:r>
          </w:p>
        </w:tc>
        <w:tc>
          <w:tcPr>
            <w:tcW w:type="dxa" w:w="4703"/>
            <w:vAlign w:val="center"/>
            <w:tcW w:w="3060000" w:type="dxa"/>
          </w:tcPr>
          <w:p>
            <w:pPr>
              <w:spacing w:before="60" w:after="60"/>
              <w:ind w:left="113"/>
            </w:pPr>
            <w:r>
              <w:rPr>
                <w:b w:val="0"/>
                <w:color w:val="5E5A52"/>
                <w:sz w:val="19"/>
              </w:rPr>
              <w:t>No external revenue yet (MVP pre-monetisation)</w:t>
              <w:br/>
              <w:t>Single founder (key-person risk)</w:t>
              <w:br/>
              <w:t>localStorage auth not production-ready</w:t>
              <w:br/>
              <w:t>No established brand or user base</w:t>
              <w:br/>
              <w:t>Professional services network not yet built</w:t>
              <w:br/>
              <w:t>No mobile app in Year 1</w:t>
              <w:br/>
              <w:t>Manchester-based (some investor preference for London)</w:t>
            </w:r>
          </w:p>
        </w:tc>
      </w:tr>
      <w:tr>
        <w:tc>
          <w:tcPr>
            <w:tcW w:type="dxa" w:w="4703"/>
            <w:vAlign w:val="center"/>
            <w:tcW w:w="3060000" w:type="dxa"/>
            <w:shd w:val="clear" w:color="auto" w:fill="F8F7F4"/>
          </w:tcPr>
          <w:p>
            <w:pPr>
              <w:spacing w:before="60" w:after="60"/>
              <w:ind w:left="113"/>
            </w:pPr>
            <w:r>
              <w:rPr>
                <w:b w:val="0"/>
                <w:color w:val="1A1917"/>
                <w:sz w:val="19"/>
              </w:rPr>
              <w:t>Opportunities</w:t>
            </w:r>
          </w:p>
        </w:tc>
        <w:tc>
          <w:tcPr>
            <w:tcW w:type="dxa" w:w="4703"/>
            <w:vAlign w:val="center"/>
            <w:tcW w:w="3060000" w:type="dxa"/>
            <w:shd w:val="clear" w:color="auto" w:fill="F8F7F4"/>
          </w:tcPr>
          <w:p>
            <w:pPr>
              <w:spacing w:before="60" w:after="60"/>
              <w:ind w:left="113"/>
            </w:pPr>
            <w:r>
              <w:rPr>
                <w:b w:val="0"/>
                <w:color w:val="5E5A52"/>
                <w:sz w:val="19"/>
              </w:rPr>
              <w:t>Threats</w:t>
            </w:r>
          </w:p>
        </w:tc>
      </w:tr>
      <w:tr>
        <w:tc>
          <w:tcPr>
            <w:tcW w:type="dxa" w:w="4703"/>
            <w:vAlign w:val="center"/>
            <w:tcW w:w="3060000" w:type="dxa"/>
          </w:tcPr>
          <w:p>
            <w:pPr>
              <w:spacing w:before="60" w:after="60"/>
              <w:ind w:left="113"/>
            </w:pPr>
            <w:r>
              <w:rPr>
                <w:b w:val="0"/>
                <w:color w:val="1A1917"/>
                <w:sz w:val="19"/>
              </w:rPr>
              <w:t>UK Leasehold Reform Act 2024 increases buyer complexity</w:t>
              <w:br/>
              <w:t>1.6M fixed-rate mortgages expiring 2025-2027</w:t>
              <w:br/>
              <w:t>£5B Project Gigabit creating broadband data interest</w:t>
              <w:br/>
              <w:t>EPC Band C mandate for rentals by 2028 (landlord demand)</w:t>
              <w:br/>
              <w:t>UKRI and Innovate UK R&amp;D grant availability</w:t>
              <w:br/>
              <w:t>Geovation accelerator (OS data partnership)</w:t>
              <w:br/>
              <w:t>SEIS/EIS investor tax relief makes seed round attractive</w:t>
            </w:r>
          </w:p>
        </w:tc>
        <w:tc>
          <w:tcPr>
            <w:tcW w:type="dxa" w:w="4703"/>
            <w:vAlign w:val="center"/>
            <w:tcW w:w="3060000" w:type="dxa"/>
          </w:tcPr>
          <w:p>
            <w:pPr>
              <w:spacing w:before="60" w:after="60"/>
              <w:ind w:left="113"/>
            </w:pPr>
            <w:r>
              <w:rPr>
                <w:b w:val="0"/>
                <w:color w:val="5E5A52"/>
                <w:sz w:val="19"/>
              </w:rPr>
              <w:t>Rightmove or Zoopla could build competing tool with existing scale</w:t>
              <w:br/>
              <w:t>Government API deprecation or access changes</w:t>
              <w:br/>
              <w:t>Economic downturn reducing residential transactions</w:t>
              <w:br/>
              <w:t>Competitor raise large funding round</w:t>
              <w:br/>
              <w:t>GDPR / ICO enforcement on data handling</w:t>
              <w:br/>
              <w:t>Interest rate normalisation reducing remortgage urgency</w:t>
            </w:r>
          </w:p>
        </w:tc>
      </w:tr>
    </w:tbl>
    <w:p/>
    <w:p>
      <w:pPr>
        <w:spacing w:before="160" w:after="160"/>
        <w:pBdr>
          <w:bottom w:val="single" w:sz="4" w:space="1" w:color="D1CEC8"/>
        </w:pBdr>
      </w:pPr>
    </w:p>
    <w:p>
      <w:pPr>
        <w:pStyle w:val="Heading1"/>
        <w:spacing w:before="400" w:after="120"/>
      </w:pPr>
      <w:r>
        <w:rPr>
          <w:color w:val="1D9E75"/>
          <w:sz w:val="32"/>
        </w:rPr>
        <w:t>49. Risk Analysis and Mitigation Strategy</w:t>
      </w:r>
    </w:p>
    <w:tbl>
      <w:tblPr>
        <w:tblStyle w:val="TableGrid"/>
        <w:tblW w:type="auto" w:w="0"/>
        <w:tblLook w:firstColumn="1" w:firstRow="1" w:lastColumn="0" w:lastRow="0" w:noHBand="0" w:noVBand="1" w:val="04A0"/>
      </w:tblPr>
      <w:tblGrid>
        <w:gridCol w:w="2351"/>
        <w:gridCol w:w="2351"/>
        <w:gridCol w:w="2351"/>
        <w:gridCol w:w="2351"/>
      </w:tblGrid>
      <w:tr>
        <w:tc>
          <w:tcPr>
            <w:tcW w:type="dxa" w:w="2351"/>
            <w:vAlign w:val="center"/>
            <w:tcW w:w="1620000" w:type="dxa"/>
            <w:shd w:val="clear" w:color="auto" w:fill="1D9E75"/>
          </w:tcPr>
          <w:p>
            <w:pPr>
              <w:spacing w:before="60" w:after="60"/>
              <w:ind w:left="113"/>
            </w:pPr>
            <w:r>
              <w:rPr>
                <w:b/>
                <w:color w:val="FFFFFF"/>
                <w:sz w:val="19"/>
              </w:rPr>
              <w:t>Risk</w:t>
            </w:r>
          </w:p>
        </w:tc>
        <w:tc>
          <w:tcPr>
            <w:tcW w:type="dxa" w:w="2351"/>
            <w:vAlign w:val="center"/>
            <w:tcW w:w="900000" w:type="dxa"/>
            <w:shd w:val="clear" w:color="auto" w:fill="1D9E75"/>
          </w:tcPr>
          <w:p>
            <w:pPr>
              <w:spacing w:before="60" w:after="60"/>
              <w:ind w:left="113"/>
            </w:pPr>
            <w:r>
              <w:rPr>
                <w:b/>
                <w:color w:val="FFFFFF"/>
                <w:sz w:val="19"/>
              </w:rPr>
              <w:t>Probability</w:t>
            </w:r>
          </w:p>
        </w:tc>
        <w:tc>
          <w:tcPr>
            <w:tcW w:type="dxa" w:w="2351"/>
            <w:vAlign w:val="center"/>
            <w:tcW w:w="720000" w:type="dxa"/>
            <w:shd w:val="clear" w:color="auto" w:fill="1D9E75"/>
          </w:tcPr>
          <w:p>
            <w:pPr>
              <w:spacing w:before="60" w:after="60"/>
              <w:ind w:left="113"/>
            </w:pPr>
            <w:r>
              <w:rPr>
                <w:b/>
                <w:color w:val="FFFFFF"/>
                <w:sz w:val="19"/>
              </w:rPr>
              <w:t>Impact</w:t>
            </w:r>
          </w:p>
        </w:tc>
        <w:tc>
          <w:tcPr>
            <w:tcW w:type="dxa" w:w="2351"/>
            <w:vAlign w:val="center"/>
            <w:tcW w:w="2880000" w:type="dxa"/>
            <w:shd w:val="clear" w:color="auto" w:fill="1D9E75"/>
          </w:tcPr>
          <w:p>
            <w:pPr>
              <w:spacing w:before="60" w:after="60"/>
              <w:ind w:left="113"/>
            </w:pPr>
            <w:r>
              <w:rPr>
                <w:b/>
                <w:color w:val="FFFFFF"/>
                <w:sz w:val="19"/>
              </w:rPr>
              <w:t>Mitigation</w:t>
            </w:r>
          </w:p>
        </w:tc>
      </w:tr>
      <w:tr>
        <w:tc>
          <w:tcPr>
            <w:tcW w:type="dxa" w:w="2351"/>
            <w:vAlign w:val="center"/>
            <w:tcW w:w="1620000" w:type="dxa"/>
          </w:tcPr>
          <w:p>
            <w:pPr>
              <w:spacing w:before="60" w:after="60"/>
              <w:ind w:left="113"/>
            </w:pPr>
            <w:r>
              <w:rPr>
                <w:b w:val="0"/>
                <w:color w:val="1A1917"/>
                <w:sz w:val="19"/>
              </w:rPr>
              <w:t>Government API changes / deprecation</w:t>
            </w:r>
          </w:p>
        </w:tc>
        <w:tc>
          <w:tcPr>
            <w:tcW w:type="dxa" w:w="2351"/>
            <w:vAlign w:val="center"/>
            <w:tcW w:w="900000" w:type="dxa"/>
          </w:tcPr>
          <w:p>
            <w:pPr>
              <w:spacing w:before="60" w:after="60"/>
              <w:ind w:left="113"/>
            </w:pPr>
            <w:r>
              <w:rPr>
                <w:b w:val="0"/>
                <w:color w:val="5E5A52"/>
                <w:sz w:val="19"/>
              </w:rPr>
              <w:t>Low</w:t>
            </w:r>
          </w:p>
        </w:tc>
        <w:tc>
          <w:tcPr>
            <w:tcW w:type="dxa" w:w="2351"/>
            <w:vAlign w:val="center"/>
            <w:tcW w:w="720000" w:type="dxa"/>
          </w:tcPr>
          <w:p>
            <w:pPr>
              <w:spacing w:before="60" w:after="60"/>
              <w:ind w:left="113"/>
            </w:pPr>
            <w:r>
              <w:rPr>
                <w:b w:val="0"/>
                <w:color w:val="5E5A52"/>
                <w:sz w:val="19"/>
              </w:rPr>
              <w:t>High</w:t>
            </w:r>
          </w:p>
        </w:tc>
        <w:tc>
          <w:tcPr>
            <w:tcW w:type="dxa" w:w="2351"/>
            <w:vAlign w:val="center"/>
            <w:tcW w:w="2880000" w:type="dxa"/>
          </w:tcPr>
          <w:p>
            <w:pPr>
              <w:spacing w:before="60" w:after="60"/>
              <w:ind w:left="113"/>
            </w:pPr>
            <w:r>
              <w:rPr>
                <w:b w:val="0"/>
                <w:color w:val="5E5A52"/>
                <w:sz w:val="19"/>
              </w:rPr>
              <w:t>Monitor API changelogs; implement fallback data sources; cache responses (24h TTL)</w:t>
            </w:r>
          </w:p>
        </w:tc>
      </w:tr>
      <w:tr>
        <w:tc>
          <w:tcPr>
            <w:tcW w:type="dxa" w:w="2351"/>
            <w:vAlign w:val="center"/>
            <w:tcW w:w="1620000" w:type="dxa"/>
            <w:shd w:val="clear" w:color="auto" w:fill="F8F7F4"/>
          </w:tcPr>
          <w:p>
            <w:pPr>
              <w:spacing w:before="60" w:after="60"/>
              <w:ind w:left="113"/>
            </w:pPr>
            <w:r>
              <w:rPr>
                <w:b w:val="0"/>
                <w:color w:val="1A1917"/>
                <w:sz w:val="19"/>
              </w:rPr>
              <w:t>Low free-to-paid conversion rate</w:t>
            </w:r>
          </w:p>
        </w:tc>
        <w:tc>
          <w:tcPr>
            <w:tcW w:type="dxa" w:w="2351"/>
            <w:vAlign w:val="center"/>
            <w:tcW w:w="900000" w:type="dxa"/>
            <w:shd w:val="clear" w:color="auto" w:fill="F8F7F4"/>
          </w:tcPr>
          <w:p>
            <w:pPr>
              <w:spacing w:before="60" w:after="60"/>
              <w:ind w:left="113"/>
            </w:pPr>
            <w:r>
              <w:rPr>
                <w:b w:val="0"/>
                <w:color w:val="5E5A52"/>
                <w:sz w:val="19"/>
              </w:rPr>
              <w:t>Medium</w:t>
            </w:r>
          </w:p>
        </w:tc>
        <w:tc>
          <w:tcPr>
            <w:tcW w:type="dxa" w:w="2351"/>
            <w:vAlign w:val="center"/>
            <w:tcW w:w="720000" w:type="dxa"/>
            <w:shd w:val="clear" w:color="auto" w:fill="F8F7F4"/>
          </w:tcPr>
          <w:p>
            <w:pPr>
              <w:spacing w:before="60" w:after="60"/>
              <w:ind w:left="113"/>
            </w:pPr>
            <w:r>
              <w:rPr>
                <w:b w:val="0"/>
                <w:color w:val="5E5A52"/>
                <w:sz w:val="19"/>
              </w:rPr>
              <w:t>High</w:t>
            </w:r>
          </w:p>
        </w:tc>
        <w:tc>
          <w:tcPr>
            <w:tcW w:type="dxa" w:w="2351"/>
            <w:vAlign w:val="center"/>
            <w:tcW w:w="2880000" w:type="dxa"/>
            <w:shd w:val="clear" w:color="auto" w:fill="F8F7F4"/>
          </w:tcPr>
          <w:p>
            <w:pPr>
              <w:spacing w:before="60" w:after="60"/>
              <w:ind w:left="113"/>
            </w:pPr>
            <w:r>
              <w:rPr>
                <w:b w:val="0"/>
                <w:color w:val="5E5A52"/>
                <w:sz w:val="19"/>
              </w:rPr>
              <w:t>A/B test upgrade nudge copy, timing, and feature gates; add social proof (reviews, usage counters)</w:t>
            </w:r>
          </w:p>
        </w:tc>
      </w:tr>
      <w:tr>
        <w:tc>
          <w:tcPr>
            <w:tcW w:type="dxa" w:w="2351"/>
            <w:vAlign w:val="center"/>
            <w:tcW w:w="1620000" w:type="dxa"/>
          </w:tcPr>
          <w:p>
            <w:pPr>
              <w:spacing w:before="60" w:after="60"/>
              <w:ind w:left="113"/>
            </w:pPr>
            <w:r>
              <w:rPr>
                <w:b w:val="0"/>
                <w:color w:val="1A1917"/>
                <w:sz w:val="19"/>
              </w:rPr>
              <w:t>Rightmove / Zoopla launch competing tool</w:t>
            </w:r>
          </w:p>
        </w:tc>
        <w:tc>
          <w:tcPr>
            <w:tcW w:type="dxa" w:w="2351"/>
            <w:vAlign w:val="center"/>
            <w:tcW w:w="900000" w:type="dxa"/>
          </w:tcPr>
          <w:p>
            <w:pPr>
              <w:spacing w:before="60" w:after="60"/>
              <w:ind w:left="113"/>
            </w:pPr>
            <w:r>
              <w:rPr>
                <w:b w:val="0"/>
                <w:color w:val="5E5A52"/>
                <w:sz w:val="19"/>
              </w:rPr>
              <w:t>Low</w:t>
            </w:r>
          </w:p>
        </w:tc>
        <w:tc>
          <w:tcPr>
            <w:tcW w:type="dxa" w:w="2351"/>
            <w:vAlign w:val="center"/>
            <w:tcW w:w="720000" w:type="dxa"/>
          </w:tcPr>
          <w:p>
            <w:pPr>
              <w:spacing w:before="60" w:after="60"/>
              <w:ind w:left="113"/>
            </w:pPr>
            <w:r>
              <w:rPr>
                <w:b w:val="0"/>
                <w:color w:val="5E5A52"/>
                <w:sz w:val="19"/>
              </w:rPr>
              <w:t>High</w:t>
            </w:r>
          </w:p>
        </w:tc>
        <w:tc>
          <w:tcPr>
            <w:tcW w:type="dxa" w:w="2351"/>
            <w:vAlign w:val="center"/>
            <w:tcW w:w="2880000" w:type="dxa"/>
          </w:tcPr>
          <w:p>
            <w:pPr>
              <w:spacing w:before="60" w:after="60"/>
              <w:ind w:left="113"/>
            </w:pPr>
            <w:r>
              <w:rPr>
                <w:b w:val="0"/>
                <w:color w:val="5E5A52"/>
                <w:sz w:val="19"/>
              </w:rPr>
              <w:t>Professional services moat cannot be replicated quickly; accelerate marketplace build</w:t>
            </w:r>
          </w:p>
        </w:tc>
      </w:tr>
      <w:tr>
        <w:tc>
          <w:tcPr>
            <w:tcW w:type="dxa" w:w="2351"/>
            <w:vAlign w:val="center"/>
            <w:tcW w:w="1620000" w:type="dxa"/>
            <w:shd w:val="clear" w:color="auto" w:fill="F8F7F4"/>
          </w:tcPr>
          <w:p>
            <w:pPr>
              <w:spacing w:before="60" w:after="60"/>
              <w:ind w:left="113"/>
            </w:pPr>
            <w:r>
              <w:rPr>
                <w:b w:val="0"/>
                <w:color w:val="1A1917"/>
                <w:sz w:val="19"/>
              </w:rPr>
              <w:t>Key-person risk (single founder)</w:t>
            </w:r>
          </w:p>
        </w:tc>
        <w:tc>
          <w:tcPr>
            <w:tcW w:type="dxa" w:w="2351"/>
            <w:vAlign w:val="center"/>
            <w:tcW w:w="900000" w:type="dxa"/>
            <w:shd w:val="clear" w:color="auto" w:fill="F8F7F4"/>
          </w:tcPr>
          <w:p>
            <w:pPr>
              <w:spacing w:before="60" w:after="60"/>
              <w:ind w:left="113"/>
            </w:pPr>
            <w:r>
              <w:rPr>
                <w:b w:val="0"/>
                <w:color w:val="5E5A52"/>
                <w:sz w:val="19"/>
              </w:rPr>
              <w:t>Low</w:t>
            </w:r>
          </w:p>
        </w:tc>
        <w:tc>
          <w:tcPr>
            <w:tcW w:type="dxa" w:w="2351"/>
            <w:vAlign w:val="center"/>
            <w:tcW w:w="720000" w:type="dxa"/>
            <w:shd w:val="clear" w:color="auto" w:fill="F8F7F4"/>
          </w:tcPr>
          <w:p>
            <w:pPr>
              <w:spacing w:before="60" w:after="60"/>
              <w:ind w:left="113"/>
            </w:pPr>
            <w:r>
              <w:rPr>
                <w:b w:val="0"/>
                <w:color w:val="5E5A52"/>
                <w:sz w:val="19"/>
              </w:rPr>
              <w:t>Very high</w:t>
            </w:r>
          </w:p>
        </w:tc>
        <w:tc>
          <w:tcPr>
            <w:tcW w:type="dxa" w:w="2351"/>
            <w:vAlign w:val="center"/>
            <w:tcW w:w="2880000" w:type="dxa"/>
            <w:shd w:val="clear" w:color="auto" w:fill="F8F7F4"/>
          </w:tcPr>
          <w:p>
            <w:pPr>
              <w:spacing w:before="60" w:after="60"/>
              <w:ind w:left="113"/>
            </w:pPr>
            <w:r>
              <w:rPr>
                <w:b w:val="0"/>
                <w:color w:val="5E5A52"/>
                <w:sz w:val="19"/>
              </w:rPr>
              <w:t>Hire technical co-founder or senior engineer by Month 3; document all systems</w:t>
            </w:r>
          </w:p>
        </w:tc>
      </w:tr>
      <w:tr>
        <w:tc>
          <w:tcPr>
            <w:tcW w:type="dxa" w:w="2351"/>
            <w:vAlign w:val="center"/>
            <w:tcW w:w="1620000" w:type="dxa"/>
          </w:tcPr>
          <w:p>
            <w:pPr>
              <w:spacing w:before="60" w:after="60"/>
              <w:ind w:left="113"/>
            </w:pPr>
            <w:r>
              <w:rPr>
                <w:b w:val="0"/>
                <w:color w:val="1A1917"/>
                <w:sz w:val="19"/>
              </w:rPr>
              <w:t>GDPR / ICO data compliance failure</w:t>
            </w:r>
          </w:p>
        </w:tc>
        <w:tc>
          <w:tcPr>
            <w:tcW w:type="dxa" w:w="2351"/>
            <w:vAlign w:val="center"/>
            <w:tcW w:w="900000" w:type="dxa"/>
          </w:tcPr>
          <w:p>
            <w:pPr>
              <w:spacing w:before="60" w:after="60"/>
              <w:ind w:left="113"/>
            </w:pPr>
            <w:r>
              <w:rPr>
                <w:b w:val="0"/>
                <w:color w:val="5E5A52"/>
                <w:sz w:val="19"/>
              </w:rPr>
              <w:t>Low</w:t>
            </w:r>
          </w:p>
        </w:tc>
        <w:tc>
          <w:tcPr>
            <w:tcW w:type="dxa" w:w="2351"/>
            <w:vAlign w:val="center"/>
            <w:tcW w:w="720000" w:type="dxa"/>
          </w:tcPr>
          <w:p>
            <w:pPr>
              <w:spacing w:before="60" w:after="60"/>
              <w:ind w:left="113"/>
            </w:pPr>
            <w:r>
              <w:rPr>
                <w:b w:val="0"/>
                <w:color w:val="5E5A52"/>
                <w:sz w:val="19"/>
              </w:rPr>
              <w:t>High</w:t>
            </w:r>
          </w:p>
        </w:tc>
        <w:tc>
          <w:tcPr>
            <w:tcW w:type="dxa" w:w="2351"/>
            <w:vAlign w:val="center"/>
            <w:tcW w:w="2880000" w:type="dxa"/>
          </w:tcPr>
          <w:p>
            <w:pPr>
              <w:spacing w:before="60" w:after="60"/>
              <w:ind w:left="113"/>
            </w:pPr>
            <w:r>
              <w:rPr>
                <w:b w:val="0"/>
                <w:color w:val="5E5A52"/>
                <w:sz w:val="19"/>
              </w:rPr>
              <w:t>Privacy-by-design; no PII beyond registration; DPA/ICO registration in Month 1</w:t>
            </w:r>
          </w:p>
        </w:tc>
      </w:tr>
      <w:tr>
        <w:tc>
          <w:tcPr>
            <w:tcW w:type="dxa" w:w="2351"/>
            <w:vAlign w:val="center"/>
            <w:tcW w:w="1620000" w:type="dxa"/>
            <w:shd w:val="clear" w:color="auto" w:fill="F8F7F4"/>
          </w:tcPr>
          <w:p>
            <w:pPr>
              <w:spacing w:before="60" w:after="60"/>
              <w:ind w:left="113"/>
            </w:pPr>
            <w:r>
              <w:rPr>
                <w:b w:val="0"/>
                <w:color w:val="1A1917"/>
                <w:sz w:val="19"/>
              </w:rPr>
              <w:t>Professional services quality complaint</w:t>
            </w:r>
          </w:p>
        </w:tc>
        <w:tc>
          <w:tcPr>
            <w:tcW w:type="dxa" w:w="2351"/>
            <w:vAlign w:val="center"/>
            <w:tcW w:w="900000" w:type="dxa"/>
            <w:shd w:val="clear" w:color="auto" w:fill="F8F7F4"/>
          </w:tcPr>
          <w:p>
            <w:pPr>
              <w:spacing w:before="60" w:after="60"/>
              <w:ind w:left="113"/>
            </w:pPr>
            <w:r>
              <w:rPr>
                <w:b w:val="0"/>
                <w:color w:val="5E5A52"/>
                <w:sz w:val="19"/>
              </w:rPr>
              <w:t>Medium</w:t>
            </w:r>
          </w:p>
        </w:tc>
        <w:tc>
          <w:tcPr>
            <w:tcW w:type="dxa" w:w="2351"/>
            <w:vAlign w:val="center"/>
            <w:tcW w:w="720000" w:type="dxa"/>
            <w:shd w:val="clear" w:color="auto" w:fill="F8F7F4"/>
          </w:tcPr>
          <w:p>
            <w:pPr>
              <w:spacing w:before="60" w:after="60"/>
              <w:ind w:left="113"/>
            </w:pPr>
            <w:r>
              <w:rPr>
                <w:b w:val="0"/>
                <w:color w:val="5E5A52"/>
                <w:sz w:val="19"/>
              </w:rPr>
              <w:t>Medium</w:t>
            </w:r>
          </w:p>
        </w:tc>
        <w:tc>
          <w:tcPr>
            <w:tcW w:type="dxa" w:w="2351"/>
            <w:vAlign w:val="center"/>
            <w:tcW w:w="2880000" w:type="dxa"/>
            <w:shd w:val="clear" w:color="auto" w:fill="F8F7F4"/>
          </w:tcPr>
          <w:p>
            <w:pPr>
              <w:spacing w:before="60" w:after="60"/>
              <w:ind w:left="113"/>
            </w:pPr>
            <w:r>
              <w:rPr>
                <w:b w:val="0"/>
                <w:color w:val="5E5A52"/>
                <w:sz w:val="19"/>
              </w:rPr>
              <w:t>Strict partner vetting; NPS survey after each booking; removal policy for &lt; 3.5 star rated partners</w:t>
            </w:r>
          </w:p>
        </w:tc>
      </w:tr>
      <w:tr>
        <w:tc>
          <w:tcPr>
            <w:tcW w:type="dxa" w:w="2351"/>
            <w:vAlign w:val="center"/>
            <w:tcW w:w="1620000" w:type="dxa"/>
          </w:tcPr>
          <w:p>
            <w:pPr>
              <w:spacing w:before="60" w:after="60"/>
              <w:ind w:left="113"/>
            </w:pPr>
            <w:r>
              <w:rPr>
                <w:b w:val="0"/>
                <w:color w:val="1A1917"/>
                <w:sz w:val="19"/>
              </w:rPr>
              <w:t>Seed funding not secured</w:t>
            </w:r>
          </w:p>
        </w:tc>
        <w:tc>
          <w:tcPr>
            <w:tcW w:type="dxa" w:w="2351"/>
            <w:vAlign w:val="center"/>
            <w:tcW w:w="900000" w:type="dxa"/>
          </w:tcPr>
          <w:p>
            <w:pPr>
              <w:spacing w:before="60" w:after="60"/>
              <w:ind w:left="113"/>
            </w:pPr>
            <w:r>
              <w:rPr>
                <w:b w:val="0"/>
                <w:color w:val="5E5A52"/>
                <w:sz w:val="19"/>
              </w:rPr>
              <w:t>Medium</w:t>
            </w:r>
          </w:p>
        </w:tc>
        <w:tc>
          <w:tcPr>
            <w:tcW w:type="dxa" w:w="2351"/>
            <w:vAlign w:val="center"/>
            <w:tcW w:w="720000" w:type="dxa"/>
          </w:tcPr>
          <w:p>
            <w:pPr>
              <w:spacing w:before="60" w:after="60"/>
              <w:ind w:left="113"/>
            </w:pPr>
            <w:r>
              <w:rPr>
                <w:b w:val="0"/>
                <w:color w:val="5E5A52"/>
                <w:sz w:val="19"/>
              </w:rPr>
              <w:t>Very high</w:t>
            </w:r>
          </w:p>
        </w:tc>
        <w:tc>
          <w:tcPr>
            <w:tcW w:type="dxa" w:w="2351"/>
            <w:vAlign w:val="center"/>
            <w:tcW w:w="2880000" w:type="dxa"/>
          </w:tcPr>
          <w:p>
            <w:pPr>
              <w:spacing w:before="60" w:after="60"/>
              <w:ind w:left="113"/>
            </w:pPr>
            <w:r>
              <w:rPr>
                <w:b w:val="0"/>
                <w:color w:val="5E5A52"/>
                <w:sz w:val="19"/>
              </w:rPr>
              <w:t>Bootstrap to first paying subscriber on Stripe; apply for Innovate UK grant as non-dilutive fallback</w:t>
            </w:r>
          </w:p>
        </w:tc>
      </w:tr>
      <w:tr>
        <w:tc>
          <w:tcPr>
            <w:tcW w:type="dxa" w:w="2351"/>
            <w:vAlign w:val="center"/>
            <w:tcW w:w="1620000" w:type="dxa"/>
            <w:shd w:val="clear" w:color="auto" w:fill="F8F7F4"/>
          </w:tcPr>
          <w:p>
            <w:pPr>
              <w:spacing w:before="60" w:after="60"/>
              <w:ind w:left="113"/>
            </w:pPr>
            <w:r>
              <w:rPr>
                <w:b w:val="0"/>
                <w:color w:val="1A1917"/>
                <w:sz w:val="19"/>
              </w:rPr>
              <w:t>Property market downturn (fewer buyers)</w:t>
            </w:r>
          </w:p>
        </w:tc>
        <w:tc>
          <w:tcPr>
            <w:tcW w:type="dxa" w:w="2351"/>
            <w:vAlign w:val="center"/>
            <w:tcW w:w="900000" w:type="dxa"/>
            <w:shd w:val="clear" w:color="auto" w:fill="F8F7F4"/>
          </w:tcPr>
          <w:p>
            <w:pPr>
              <w:spacing w:before="60" w:after="60"/>
              <w:ind w:left="113"/>
            </w:pPr>
            <w:r>
              <w:rPr>
                <w:b w:val="0"/>
                <w:color w:val="5E5A52"/>
                <w:sz w:val="19"/>
              </w:rPr>
              <w:t>Low</w:t>
            </w:r>
          </w:p>
        </w:tc>
        <w:tc>
          <w:tcPr>
            <w:tcW w:type="dxa" w:w="2351"/>
            <w:vAlign w:val="center"/>
            <w:tcW w:w="720000" w:type="dxa"/>
            <w:shd w:val="clear" w:color="auto" w:fill="F8F7F4"/>
          </w:tcPr>
          <w:p>
            <w:pPr>
              <w:spacing w:before="60" w:after="60"/>
              <w:ind w:left="113"/>
            </w:pPr>
            <w:r>
              <w:rPr>
                <w:b w:val="0"/>
                <w:color w:val="5E5A52"/>
                <w:sz w:val="19"/>
              </w:rPr>
              <w:t>Medium</w:t>
            </w:r>
          </w:p>
        </w:tc>
        <w:tc>
          <w:tcPr>
            <w:tcW w:type="dxa" w:w="2351"/>
            <w:vAlign w:val="center"/>
            <w:tcW w:w="2880000" w:type="dxa"/>
            <w:shd w:val="clear" w:color="auto" w:fill="F8F7F4"/>
          </w:tcPr>
          <w:p>
            <w:pPr>
              <w:spacing w:before="60" w:after="60"/>
              <w:ind w:left="113"/>
            </w:pPr>
            <w:r>
              <w:rPr>
                <w:b w:val="0"/>
                <w:color w:val="5E5A52"/>
                <w:sz w:val="19"/>
              </w:rPr>
              <w:t>HomeOwner tools provide recurring revenue independent of transaction volume</w:t>
            </w:r>
          </w:p>
        </w:tc>
      </w:tr>
      <w:tr>
        <w:tc>
          <w:tcPr>
            <w:tcW w:type="dxa" w:w="2351"/>
            <w:vAlign w:val="center"/>
            <w:tcW w:w="1620000" w:type="dxa"/>
          </w:tcPr>
          <w:p>
            <w:pPr>
              <w:spacing w:before="60" w:after="60"/>
              <w:ind w:left="113"/>
            </w:pPr>
            <w:r>
              <w:rPr>
                <w:b w:val="0"/>
                <w:color w:val="1A1917"/>
                <w:sz w:val="19"/>
              </w:rPr>
              <w:t>Broadband / Ofcom data gap for postcodes</w:t>
            </w:r>
          </w:p>
        </w:tc>
        <w:tc>
          <w:tcPr>
            <w:tcW w:type="dxa" w:w="2351"/>
            <w:vAlign w:val="center"/>
            <w:tcW w:w="900000" w:type="dxa"/>
          </w:tcPr>
          <w:p>
            <w:pPr>
              <w:spacing w:before="60" w:after="60"/>
              <w:ind w:left="113"/>
            </w:pPr>
            <w:r>
              <w:rPr>
                <w:b w:val="0"/>
                <w:color w:val="5E5A52"/>
                <w:sz w:val="19"/>
              </w:rPr>
              <w:t>Low</w:t>
            </w:r>
          </w:p>
        </w:tc>
        <w:tc>
          <w:tcPr>
            <w:tcW w:type="dxa" w:w="2351"/>
            <w:vAlign w:val="center"/>
            <w:tcW w:w="720000" w:type="dxa"/>
          </w:tcPr>
          <w:p>
            <w:pPr>
              <w:spacing w:before="60" w:after="60"/>
              <w:ind w:left="113"/>
            </w:pPr>
            <w:r>
              <w:rPr>
                <w:b w:val="0"/>
                <w:color w:val="5E5A52"/>
                <w:sz w:val="19"/>
              </w:rPr>
              <w:t>Low</w:t>
            </w:r>
          </w:p>
        </w:tc>
        <w:tc>
          <w:tcPr>
            <w:tcW w:type="dxa" w:w="2351"/>
            <w:vAlign w:val="center"/>
            <w:tcW w:w="2880000" w:type="dxa"/>
          </w:tcPr>
          <w:p>
            <w:pPr>
              <w:spacing w:before="60" w:after="60"/>
              <w:ind w:left="113"/>
            </w:pPr>
            <w:r>
              <w:rPr>
                <w:b w:val="0"/>
                <w:color w:val="5E5A52"/>
                <w:sz w:val="19"/>
              </w:rPr>
              <w:t>Display graceful "data unavailable" message; does not block other checks</w:t>
            </w:r>
          </w:p>
        </w:tc>
      </w:tr>
      <w:tr>
        <w:tc>
          <w:tcPr>
            <w:tcW w:type="dxa" w:w="2351"/>
            <w:vAlign w:val="center"/>
            <w:tcW w:w="1620000" w:type="dxa"/>
            <w:shd w:val="clear" w:color="auto" w:fill="F8F7F4"/>
          </w:tcPr>
          <w:p>
            <w:pPr>
              <w:spacing w:before="60" w:after="60"/>
              <w:ind w:left="113"/>
            </w:pPr>
            <w:r>
              <w:rPr>
                <w:b w:val="0"/>
                <w:color w:val="1A1917"/>
                <w:sz w:val="19"/>
              </w:rPr>
              <w:t>Stripe payment integration delays</w:t>
            </w:r>
          </w:p>
        </w:tc>
        <w:tc>
          <w:tcPr>
            <w:tcW w:type="dxa" w:w="2351"/>
            <w:vAlign w:val="center"/>
            <w:tcW w:w="900000" w:type="dxa"/>
            <w:shd w:val="clear" w:color="auto" w:fill="F8F7F4"/>
          </w:tcPr>
          <w:p>
            <w:pPr>
              <w:spacing w:before="60" w:after="60"/>
              <w:ind w:left="113"/>
            </w:pPr>
            <w:r>
              <w:rPr>
                <w:b w:val="0"/>
                <w:color w:val="5E5A52"/>
                <w:sz w:val="19"/>
              </w:rPr>
              <w:t>Medium</w:t>
            </w:r>
          </w:p>
        </w:tc>
        <w:tc>
          <w:tcPr>
            <w:tcW w:type="dxa" w:w="2351"/>
            <w:vAlign w:val="center"/>
            <w:tcW w:w="720000" w:type="dxa"/>
            <w:shd w:val="clear" w:color="auto" w:fill="F8F7F4"/>
          </w:tcPr>
          <w:p>
            <w:pPr>
              <w:spacing w:before="60" w:after="60"/>
              <w:ind w:left="113"/>
            </w:pPr>
            <w:r>
              <w:rPr>
                <w:b w:val="0"/>
                <w:color w:val="5E5A52"/>
                <w:sz w:val="19"/>
              </w:rPr>
              <w:t>Medium</w:t>
            </w:r>
          </w:p>
        </w:tc>
        <w:tc>
          <w:tcPr>
            <w:tcW w:type="dxa" w:w="2351"/>
            <w:vAlign w:val="center"/>
            <w:tcW w:w="2880000" w:type="dxa"/>
            <w:shd w:val="clear" w:color="auto" w:fill="F8F7F4"/>
          </w:tcPr>
          <w:p>
            <w:pPr>
              <w:spacing w:before="60" w:after="60"/>
              <w:ind w:left="113"/>
            </w:pPr>
            <w:r>
              <w:rPr>
                <w:b w:val="0"/>
                <w:color w:val="5E5A52"/>
                <w:sz w:val="19"/>
              </w:rPr>
              <w:t>Begin integration in Month 1; Stripe has excellent Next.js documentation and support</w:t>
            </w:r>
          </w:p>
        </w:tc>
      </w:tr>
    </w:tbl>
    <w:p/>
    <w:p>
      <w:pPr>
        <w:spacing w:before="160" w:after="160"/>
        <w:pBdr>
          <w:bottom w:val="single" w:sz="4" w:space="1" w:color="D1CEC8"/>
        </w:pBdr>
      </w:pPr>
    </w:p>
    <w:p>
      <w:pPr>
        <w:pStyle w:val="Heading1"/>
        <w:spacing w:before="400" w:after="120"/>
      </w:pPr>
      <w:r>
        <w:rPr>
          <w:color w:val="1D9E75"/>
          <w:sz w:val="32"/>
        </w:rPr>
        <w:t>50. Contingency Planning</w:t>
      </w:r>
    </w:p>
    <w:p>
      <w:pPr>
        <w:pStyle w:val="Heading2"/>
        <w:spacing w:before="240" w:after="80"/>
      </w:pPr>
      <w:r>
        <w:rPr>
          <w:color w:val="1A1917"/>
          <w:sz w:val="26"/>
        </w:rPr>
        <w:t>Funding contingency</w:t>
      </w:r>
    </w:p>
    <w:p>
      <w:pPr>
        <w:pStyle w:val="ListBullet"/>
        <w:spacing w:after="60"/>
        <w:ind w:left="283"/>
      </w:pPr>
      <w:r>
        <w:rPr>
          <w:color w:val="5E5A52"/>
          <w:sz w:val="21"/>
        </w:rPr>
        <w:t>If seed round not closed by Month 6: Apply for Innovate UK Smart Grant (non-dilutive, up to £200K for qualifying R&amp;D projects). Reduce burn by delaying Head of Pro Services hire. Extend runway to Month 12.</w:t>
      </w:r>
    </w:p>
    <w:p>
      <w:pPr>
        <w:pStyle w:val="ListBullet"/>
        <w:spacing w:after="60"/>
        <w:ind w:left="283"/>
      </w:pPr>
      <w:r>
        <w:rPr>
          <w:color w:val="5E5A52"/>
          <w:sz w:val="21"/>
        </w:rPr>
        <w:t>If seed round closes late: Prioritise Stripe integration and first paying subscriber above all other features. Revenue reduces dependency on further external capital.</w:t>
      </w:r>
    </w:p>
    <w:p>
      <w:pPr>
        <w:pStyle w:val="Heading2"/>
        <w:spacing w:before="240" w:after="80"/>
      </w:pPr>
      <w:r>
        <w:rPr>
          <w:color w:val="1A1917"/>
          <w:sz w:val="26"/>
        </w:rPr>
        <w:t>API contingency</w:t>
      </w:r>
    </w:p>
    <w:p>
      <w:pPr>
        <w:pStyle w:val="ListBullet"/>
        <w:spacing w:after="60"/>
        <w:ind w:left="283"/>
      </w:pPr>
      <w:r>
        <w:rPr>
          <w:color w:val="5E5A52"/>
          <w:sz w:val="21"/>
        </w:rPr>
        <w:t>Environment Agency API: Fallback to Flood Re's publicly available flood risk dataset and the JBA Risk Management flood mapping service.</w:t>
      </w:r>
    </w:p>
    <w:p>
      <w:pPr>
        <w:pStyle w:val="ListBullet"/>
        <w:spacing w:after="60"/>
        <w:ind w:left="283"/>
      </w:pPr>
      <w:r>
        <w:rPr>
          <w:color w:val="5E5A52"/>
          <w:sz w:val="21"/>
        </w:rPr>
        <w:t>EPC API: Fallback to manual EPC lookup link for the user; display "Certificate available — click to view on GOV.UK".</w:t>
      </w:r>
    </w:p>
    <w:p>
      <w:pPr>
        <w:pStyle w:val="ListBullet"/>
        <w:spacing w:after="60"/>
        <w:ind w:left="283"/>
      </w:pPr>
      <w:r>
        <w:rPr>
          <w:color w:val="5E5A52"/>
          <w:sz w:val="21"/>
        </w:rPr>
        <w:t>police.uk API: Cache last 30-day data; display cached data with timestamp if live API fails.</w:t>
      </w:r>
    </w:p>
    <w:p>
      <w:pPr>
        <w:pStyle w:val="Heading2"/>
        <w:spacing w:before="240" w:after="80"/>
      </w:pPr>
      <w:r>
        <w:rPr>
          <w:color w:val="1A1917"/>
          <w:sz w:val="26"/>
        </w:rPr>
        <w:t>Technical contingency</w:t>
      </w:r>
    </w:p>
    <w:p>
      <w:pPr>
        <w:pStyle w:val="ListBullet"/>
        <w:spacing w:after="60"/>
        <w:ind w:left="283"/>
      </w:pPr>
      <w:r>
        <w:rPr>
          <w:color w:val="5E5A52"/>
          <w:sz w:val="21"/>
        </w:rPr>
        <w:t>If Vercel experiences outage: DNS failover to Netlify (pre-configured) within 15 minutes. All static assets cached at CDN edge.</w:t>
      </w:r>
    </w:p>
    <w:p>
      <w:pPr>
        <w:pStyle w:val="ListBullet"/>
        <w:spacing w:after="60"/>
        <w:ind w:left="283"/>
      </w:pPr>
      <w:r>
        <w:rPr>
          <w:color w:val="5E5A52"/>
          <w:sz w:val="21"/>
        </w:rPr>
        <w:t>If Supabase experiences outage: Read-only mode activated; users can access saved reports but not run new checks. Supabase SLA: 99.9% uptime.</w:t>
      </w:r>
    </w:p>
    <w:p>
      <w:pPr>
        <w:pStyle w:val="Heading2"/>
        <w:spacing w:before="240" w:after="80"/>
      </w:pPr>
      <w:r>
        <w:rPr>
          <w:color w:val="1A1917"/>
          <w:sz w:val="26"/>
        </w:rPr>
        <w:t>Market contingency</w:t>
      </w:r>
    </w:p>
    <w:p>
      <w:pPr>
        <w:pStyle w:val="ListBullet"/>
        <w:spacing w:after="60"/>
        <w:ind w:left="283"/>
      </w:pPr>
      <w:r>
        <w:rPr>
          <w:color w:val="5E5A52"/>
          <w:sz w:val="21"/>
        </w:rPr>
        <w:t>If transaction volume falls &gt; 20% (property downturn): Pivot marketing spend to HomeOwner tools (maintenance, EPC, remortgage) — these are independent of transaction volume. Landlord compliance tools become more valuable in a downturn as landlords seek to protect yield.</w:t>
      </w:r>
    </w:p>
    <w:p>
      <w:pPr>
        <w:spacing w:before="160" w:after="160"/>
        <w:pBdr>
          <w:bottom w:val="single" w:sz="4" w:space="1" w:color="D1CEC8"/>
        </w:pBdr>
      </w:pPr>
    </w:p>
    <w:p>
      <w:r>
        <w:br w:type="page"/>
      </w:r>
    </w:p>
    <w:p>
      <w:pPr>
        <w:pStyle w:val="Heading1"/>
        <w:spacing w:before="400" w:after="120"/>
      </w:pPr>
      <w:r>
        <w:rPr>
          <w:color w:val="1D9E75"/>
          <w:sz w:val="32"/>
        </w:rPr>
        <w:t>51. Regulatory Compliance Plan</w:t>
      </w:r>
    </w:p>
    <w:p>
      <w:pPr>
        <w:pStyle w:val="ListBullet"/>
        <w:spacing w:after="60"/>
        <w:ind w:left="283"/>
      </w:pPr>
      <w:r>
        <w:rPr>
          <w:color w:val="5E5A52"/>
          <w:sz w:val="21"/>
        </w:rPr>
        <w:t>ICO registration: Register as a data controller with the Information Commissioner's Office under the UK GDPR. Cost: £40/year (Tier 1). Timeline: Month 1.</w:t>
      </w:r>
    </w:p>
    <w:p>
      <w:pPr>
        <w:pStyle w:val="ListBullet"/>
        <w:spacing w:after="60"/>
        <w:ind w:left="283"/>
      </w:pPr>
      <w:r>
        <w:rPr>
          <w:color w:val="5E5A52"/>
          <w:sz w:val="21"/>
        </w:rPr>
        <w:t>Privacy policy: Publish compliant UK GDPR privacy policy disclosing data sources, retention periods, user rights, and DPO contact. Drafted by a data protection solicitor. Timeline: Month 1.</w:t>
      </w:r>
    </w:p>
    <w:p>
      <w:pPr>
        <w:pStyle w:val="ListBullet"/>
        <w:spacing w:after="60"/>
        <w:ind w:left="283"/>
      </w:pPr>
      <w:r>
        <w:rPr>
          <w:color w:val="5E5A52"/>
          <w:sz w:val="21"/>
        </w:rPr>
        <w:t>Terms of service: Consumer-facing ToS covering: service description, limitations of liability (PropPilot data is informational, not professional advice), acceptable use, cancellation rights (Consumer Rights Act 2015). Timeline: Month 1.</w:t>
      </w:r>
    </w:p>
    <w:p>
      <w:pPr>
        <w:pStyle w:val="ListBullet"/>
        <w:spacing w:after="60"/>
        <w:ind w:left="283"/>
      </w:pPr>
      <w:r>
        <w:rPr>
          <w:color w:val="5E5A52"/>
          <w:sz w:val="21"/>
        </w:rPr>
        <w:t>FCA consideration: PropPilot does not provide regulated mortgage advice. The remortgage radar is an alert tool only. However, if mortgage comparison features are added in H2, FCA authorisation (Appointed Representative status under an existing FCA principal) will be required.</w:t>
      </w:r>
    </w:p>
    <w:p>
      <w:pPr>
        <w:pStyle w:val="ListBullet"/>
        <w:spacing w:after="60"/>
        <w:ind w:left="283"/>
      </w:pPr>
      <w:r>
        <w:rPr>
          <w:color w:val="5E5A52"/>
          <w:sz w:val="21"/>
        </w:rPr>
        <w:t>SDLT calculator disclaimer: The SDLT calculator is provided for guidance only and does not constitute tax advice. Users are advised to consult a qualified solicitor or tax adviser for their specific circumstances. Disclaimer prominently displayed.</w:t>
      </w:r>
    </w:p>
    <w:p>
      <w:pPr>
        <w:pStyle w:val="ListBullet"/>
        <w:spacing w:after="60"/>
        <w:ind w:left="283"/>
      </w:pPr>
      <w:r>
        <w:rPr>
          <w:color w:val="5E5A52"/>
          <w:sz w:val="21"/>
        </w:rPr>
        <w:t>EPC data reuse: EPC data is published by DESNZ under the Open Government Licence v3.0. Attribution required. Compliant with OGL v3.0 terms.</w:t>
      </w:r>
    </w:p>
    <w:p>
      <w:pPr>
        <w:pStyle w:val="ListBullet"/>
        <w:spacing w:after="60"/>
        <w:ind w:left="283"/>
      </w:pPr>
      <w:r>
        <w:rPr>
          <w:color w:val="5E5A52"/>
          <w:sz w:val="21"/>
        </w:rPr>
        <w:t>police.uk data reuse: Crime data provided under OGL v3.0 by the Home Office. Attribution required. Compliant.</w:t>
      </w:r>
    </w:p>
    <w:p>
      <w:pPr>
        <w:pStyle w:val="ListBullet"/>
        <w:spacing w:after="60"/>
        <w:ind w:left="283"/>
      </w:pPr>
      <w:r>
        <w:rPr>
          <w:color w:val="5E5A52"/>
          <w:sz w:val="21"/>
        </w:rPr>
        <w:t>Professional services marketplace: Proptech referral services do not require FCA authorisation unless providing insurance distribution. Legal and conveyancing referrals are not regulated by the FCA (regulated by SRA). Gas and EICR referrals are not FCA-regulated.</w:t>
      </w:r>
    </w:p>
    <w:p>
      <w:pPr>
        <w:spacing w:before="160" w:after="160"/>
        <w:pBdr>
          <w:bottom w:val="single" w:sz="4" w:space="1" w:color="D1CEC8"/>
        </w:pBdr>
      </w:pPr>
    </w:p>
    <w:p>
      <w:pPr>
        <w:pStyle w:val="Heading1"/>
        <w:spacing w:before="400" w:after="120"/>
      </w:pPr>
      <w:r>
        <w:rPr>
          <w:color w:val="1D9E75"/>
          <w:sz w:val="32"/>
        </w:rPr>
        <w:t>52. Regulatory Compliance Implementation Milestones</w:t>
      </w:r>
    </w:p>
    <w:tbl>
      <w:tblPr>
        <w:tblStyle w:val="TableGrid"/>
        <w:tblW w:type="auto" w:w="0"/>
        <w:tblLook w:firstColumn="1" w:firstRow="1" w:lastColumn="0" w:lastRow="0" w:noHBand="0" w:noVBand="1" w:val="04A0"/>
      </w:tblPr>
      <w:tblGrid>
        <w:gridCol w:w="2351"/>
        <w:gridCol w:w="2351"/>
        <w:gridCol w:w="2351"/>
        <w:gridCol w:w="2351"/>
      </w:tblGrid>
      <w:tr>
        <w:tc>
          <w:tcPr>
            <w:tcW w:type="dxa" w:w="2351"/>
            <w:vAlign w:val="center"/>
            <w:tcW w:w="1620000" w:type="dxa"/>
            <w:shd w:val="clear" w:color="auto" w:fill="1D9E75"/>
          </w:tcPr>
          <w:p>
            <w:pPr>
              <w:spacing w:before="60" w:after="60"/>
              <w:ind w:left="113"/>
            </w:pPr>
            <w:r>
              <w:rPr>
                <w:b/>
                <w:color w:val="FFFFFF"/>
                <w:sz w:val="19"/>
              </w:rPr>
              <w:t>Milestone</w:t>
            </w:r>
          </w:p>
        </w:tc>
        <w:tc>
          <w:tcPr>
            <w:tcW w:type="dxa" w:w="2351"/>
            <w:vAlign w:val="center"/>
            <w:tcW w:w="1980000" w:type="dxa"/>
            <w:shd w:val="clear" w:color="auto" w:fill="1D9E75"/>
          </w:tcPr>
          <w:p>
            <w:pPr>
              <w:spacing w:before="60" w:after="60"/>
              <w:ind w:left="113"/>
            </w:pPr>
            <w:r>
              <w:rPr>
                <w:b/>
                <w:color w:val="FFFFFF"/>
                <w:sz w:val="19"/>
              </w:rPr>
              <w:t>Action</w:t>
            </w:r>
          </w:p>
        </w:tc>
        <w:tc>
          <w:tcPr>
            <w:tcW w:type="dxa" w:w="2351"/>
            <w:vAlign w:val="center"/>
            <w:tcW w:w="1080000" w:type="dxa"/>
            <w:shd w:val="clear" w:color="auto" w:fill="1D9E75"/>
          </w:tcPr>
          <w:p>
            <w:pPr>
              <w:spacing w:before="60" w:after="60"/>
              <w:ind w:left="113"/>
            </w:pPr>
            <w:r>
              <w:rPr>
                <w:b/>
                <w:color w:val="FFFFFF"/>
                <w:sz w:val="19"/>
              </w:rPr>
              <w:t>Owner</w:t>
            </w:r>
          </w:p>
        </w:tc>
        <w:tc>
          <w:tcPr>
            <w:tcW w:type="dxa" w:w="2351"/>
            <w:vAlign w:val="center"/>
            <w:tcW w:w="1080000" w:type="dxa"/>
            <w:shd w:val="clear" w:color="auto" w:fill="1D9E75"/>
          </w:tcPr>
          <w:p>
            <w:pPr>
              <w:spacing w:before="60" w:after="60"/>
              <w:ind w:left="113"/>
            </w:pPr>
            <w:r>
              <w:rPr>
                <w:b/>
                <w:color w:val="FFFFFF"/>
                <w:sz w:val="19"/>
              </w:rPr>
              <w:t>Target date</w:t>
            </w:r>
          </w:p>
        </w:tc>
      </w:tr>
      <w:tr>
        <w:tc>
          <w:tcPr>
            <w:tcW w:type="dxa" w:w="2351"/>
            <w:vAlign w:val="center"/>
            <w:tcW w:w="1620000" w:type="dxa"/>
          </w:tcPr>
          <w:p>
            <w:pPr>
              <w:spacing w:before="60" w:after="60"/>
              <w:ind w:left="113"/>
            </w:pPr>
            <w:r>
              <w:rPr>
                <w:b w:val="0"/>
                <w:color w:val="1A1917"/>
                <w:sz w:val="19"/>
              </w:rPr>
              <w:t>Company incorporation</w:t>
            </w:r>
          </w:p>
        </w:tc>
        <w:tc>
          <w:tcPr>
            <w:tcW w:type="dxa" w:w="2351"/>
            <w:vAlign w:val="center"/>
            <w:tcW w:w="1980000" w:type="dxa"/>
          </w:tcPr>
          <w:p>
            <w:pPr>
              <w:spacing w:before="60" w:after="60"/>
              <w:ind w:left="113"/>
            </w:pPr>
            <w:r>
              <w:rPr>
                <w:b w:val="0"/>
                <w:color w:val="5E5A52"/>
                <w:sz w:val="19"/>
              </w:rPr>
              <w:t>England &amp; Wales Ltd; appoint director</w:t>
            </w:r>
          </w:p>
        </w:tc>
        <w:tc>
          <w:tcPr>
            <w:tcW w:type="dxa" w:w="2351"/>
            <w:vAlign w:val="center"/>
            <w:tcW w:w="1080000" w:type="dxa"/>
          </w:tcPr>
          <w:p>
            <w:pPr>
              <w:spacing w:before="60" w:after="60"/>
              <w:ind w:left="113"/>
            </w:pPr>
            <w:r>
              <w:rPr>
                <w:b w:val="0"/>
                <w:color w:val="5E5A52"/>
                <w:sz w:val="19"/>
              </w:rPr>
              <w:t>Founder</w:t>
            </w:r>
          </w:p>
        </w:tc>
        <w:tc>
          <w:tcPr>
            <w:tcW w:type="dxa" w:w="2351"/>
            <w:vAlign w:val="center"/>
            <w:tcW w:w="1080000" w:type="dxa"/>
          </w:tcPr>
          <w:p>
            <w:pPr>
              <w:spacing w:before="60" w:after="60"/>
              <w:ind w:left="113"/>
            </w:pPr>
            <w:r>
              <w:rPr>
                <w:b w:val="0"/>
                <w:color w:val="5E5A52"/>
                <w:sz w:val="19"/>
              </w:rPr>
              <w:t>Q3 2026</w:t>
            </w:r>
          </w:p>
        </w:tc>
      </w:tr>
      <w:tr>
        <w:tc>
          <w:tcPr>
            <w:tcW w:type="dxa" w:w="2351"/>
            <w:vAlign w:val="center"/>
            <w:tcW w:w="1620000" w:type="dxa"/>
            <w:shd w:val="clear" w:color="auto" w:fill="F8F7F4"/>
          </w:tcPr>
          <w:p>
            <w:pPr>
              <w:spacing w:before="60" w:after="60"/>
              <w:ind w:left="113"/>
            </w:pPr>
            <w:r>
              <w:rPr>
                <w:b w:val="0"/>
                <w:color w:val="1A1917"/>
                <w:sz w:val="19"/>
              </w:rPr>
              <w:t>ICO registration</w:t>
            </w:r>
          </w:p>
        </w:tc>
        <w:tc>
          <w:tcPr>
            <w:tcW w:type="dxa" w:w="2351"/>
            <w:vAlign w:val="center"/>
            <w:tcW w:w="1980000" w:type="dxa"/>
            <w:shd w:val="clear" w:color="auto" w:fill="F8F7F4"/>
          </w:tcPr>
          <w:p>
            <w:pPr>
              <w:spacing w:before="60" w:after="60"/>
              <w:ind w:left="113"/>
            </w:pPr>
            <w:r>
              <w:rPr>
                <w:b w:val="0"/>
                <w:color w:val="5E5A52"/>
                <w:sz w:val="19"/>
              </w:rPr>
              <w:t>Register as data controller (Tier 1)</w:t>
            </w:r>
          </w:p>
        </w:tc>
        <w:tc>
          <w:tcPr>
            <w:tcW w:type="dxa" w:w="2351"/>
            <w:vAlign w:val="center"/>
            <w:tcW w:w="1080000" w:type="dxa"/>
            <w:shd w:val="clear" w:color="auto" w:fill="F8F7F4"/>
          </w:tcPr>
          <w:p>
            <w:pPr>
              <w:spacing w:before="60" w:after="60"/>
              <w:ind w:left="113"/>
            </w:pPr>
            <w:r>
              <w:rPr>
                <w:b w:val="0"/>
                <w:color w:val="5E5A52"/>
                <w:sz w:val="19"/>
              </w:rPr>
              <w:t>Founder</w:t>
            </w:r>
          </w:p>
        </w:tc>
        <w:tc>
          <w:tcPr>
            <w:tcW w:type="dxa" w:w="2351"/>
            <w:vAlign w:val="center"/>
            <w:tcW w:w="1080000" w:type="dxa"/>
            <w:shd w:val="clear" w:color="auto" w:fill="F8F7F4"/>
          </w:tcPr>
          <w:p>
            <w:pPr>
              <w:spacing w:before="60" w:after="60"/>
              <w:ind w:left="113"/>
            </w:pPr>
            <w:r>
              <w:rPr>
                <w:b w:val="0"/>
                <w:color w:val="5E5A52"/>
                <w:sz w:val="19"/>
              </w:rPr>
              <w:t>Month 1</w:t>
            </w:r>
          </w:p>
        </w:tc>
      </w:tr>
      <w:tr>
        <w:tc>
          <w:tcPr>
            <w:tcW w:type="dxa" w:w="2351"/>
            <w:vAlign w:val="center"/>
            <w:tcW w:w="1620000" w:type="dxa"/>
          </w:tcPr>
          <w:p>
            <w:pPr>
              <w:spacing w:before="60" w:after="60"/>
              <w:ind w:left="113"/>
            </w:pPr>
            <w:r>
              <w:rPr>
                <w:b w:val="0"/>
                <w:color w:val="1A1917"/>
                <w:sz w:val="19"/>
              </w:rPr>
              <w:t>UK GDPR privacy policy live</w:t>
            </w:r>
          </w:p>
        </w:tc>
        <w:tc>
          <w:tcPr>
            <w:tcW w:type="dxa" w:w="2351"/>
            <w:vAlign w:val="center"/>
            <w:tcW w:w="1980000" w:type="dxa"/>
          </w:tcPr>
          <w:p>
            <w:pPr>
              <w:spacing w:before="60" w:after="60"/>
              <w:ind w:left="113"/>
            </w:pPr>
            <w:r>
              <w:rPr>
                <w:b w:val="0"/>
                <w:color w:val="5E5A52"/>
                <w:sz w:val="19"/>
              </w:rPr>
              <w:t>Publish on site; add cookie consent</w:t>
            </w:r>
          </w:p>
        </w:tc>
        <w:tc>
          <w:tcPr>
            <w:tcW w:type="dxa" w:w="2351"/>
            <w:vAlign w:val="center"/>
            <w:tcW w:w="1080000" w:type="dxa"/>
          </w:tcPr>
          <w:p>
            <w:pPr>
              <w:spacing w:before="60" w:after="60"/>
              <w:ind w:left="113"/>
            </w:pPr>
            <w:r>
              <w:rPr>
                <w:b w:val="0"/>
                <w:color w:val="5E5A52"/>
                <w:sz w:val="19"/>
              </w:rPr>
              <w:t>Founder + solicitor</w:t>
            </w:r>
          </w:p>
        </w:tc>
        <w:tc>
          <w:tcPr>
            <w:tcW w:type="dxa" w:w="2351"/>
            <w:vAlign w:val="center"/>
            <w:tcW w:w="1080000" w:type="dxa"/>
          </w:tcPr>
          <w:p>
            <w:pPr>
              <w:spacing w:before="60" w:after="60"/>
              <w:ind w:left="113"/>
            </w:pPr>
            <w:r>
              <w:rPr>
                <w:b w:val="0"/>
                <w:color w:val="5E5A52"/>
                <w:sz w:val="19"/>
              </w:rPr>
              <w:t>Month 1</w:t>
            </w:r>
          </w:p>
        </w:tc>
      </w:tr>
      <w:tr>
        <w:tc>
          <w:tcPr>
            <w:tcW w:type="dxa" w:w="2351"/>
            <w:vAlign w:val="center"/>
            <w:tcW w:w="1620000" w:type="dxa"/>
            <w:shd w:val="clear" w:color="auto" w:fill="F8F7F4"/>
          </w:tcPr>
          <w:p>
            <w:pPr>
              <w:spacing w:before="60" w:after="60"/>
              <w:ind w:left="113"/>
            </w:pPr>
            <w:r>
              <w:rPr>
                <w:b w:val="0"/>
                <w:color w:val="1A1917"/>
                <w:sz w:val="19"/>
              </w:rPr>
              <w:t>Terms of service published</w:t>
            </w:r>
          </w:p>
        </w:tc>
        <w:tc>
          <w:tcPr>
            <w:tcW w:type="dxa" w:w="2351"/>
            <w:vAlign w:val="center"/>
            <w:tcW w:w="1980000" w:type="dxa"/>
            <w:shd w:val="clear" w:color="auto" w:fill="F8F7F4"/>
          </w:tcPr>
          <w:p>
            <w:pPr>
              <w:spacing w:before="60" w:after="60"/>
              <w:ind w:left="113"/>
            </w:pPr>
            <w:r>
              <w:rPr>
                <w:b w:val="0"/>
                <w:color w:val="5E5A52"/>
                <w:sz w:val="19"/>
              </w:rPr>
              <w:t>Consumer ToS + B2B API licence terms</w:t>
            </w:r>
          </w:p>
        </w:tc>
        <w:tc>
          <w:tcPr>
            <w:tcW w:type="dxa" w:w="2351"/>
            <w:vAlign w:val="center"/>
            <w:tcW w:w="1080000" w:type="dxa"/>
            <w:shd w:val="clear" w:color="auto" w:fill="F8F7F4"/>
          </w:tcPr>
          <w:p>
            <w:pPr>
              <w:spacing w:before="60" w:after="60"/>
              <w:ind w:left="113"/>
            </w:pPr>
            <w:r>
              <w:rPr>
                <w:b w:val="0"/>
                <w:color w:val="5E5A52"/>
                <w:sz w:val="19"/>
              </w:rPr>
              <w:t>Solicitor</w:t>
            </w:r>
          </w:p>
        </w:tc>
        <w:tc>
          <w:tcPr>
            <w:tcW w:type="dxa" w:w="2351"/>
            <w:vAlign w:val="center"/>
            <w:tcW w:w="1080000" w:type="dxa"/>
            <w:shd w:val="clear" w:color="auto" w:fill="F8F7F4"/>
          </w:tcPr>
          <w:p>
            <w:pPr>
              <w:spacing w:before="60" w:after="60"/>
              <w:ind w:left="113"/>
            </w:pPr>
            <w:r>
              <w:rPr>
                <w:b w:val="0"/>
                <w:color w:val="5E5A52"/>
                <w:sz w:val="19"/>
              </w:rPr>
              <w:t>Month 1</w:t>
            </w:r>
          </w:p>
        </w:tc>
      </w:tr>
      <w:tr>
        <w:tc>
          <w:tcPr>
            <w:tcW w:type="dxa" w:w="2351"/>
            <w:vAlign w:val="center"/>
            <w:tcW w:w="1620000" w:type="dxa"/>
          </w:tcPr>
          <w:p>
            <w:pPr>
              <w:spacing w:before="60" w:after="60"/>
              <w:ind w:left="113"/>
            </w:pPr>
            <w:r>
              <w:rPr>
                <w:b w:val="0"/>
                <w:color w:val="1A1917"/>
                <w:sz w:val="19"/>
              </w:rPr>
              <w:t>Professional services T&amp;Cs</w:t>
            </w:r>
          </w:p>
        </w:tc>
        <w:tc>
          <w:tcPr>
            <w:tcW w:type="dxa" w:w="2351"/>
            <w:vAlign w:val="center"/>
            <w:tcW w:w="1980000" w:type="dxa"/>
          </w:tcPr>
          <w:p>
            <w:pPr>
              <w:spacing w:before="60" w:after="60"/>
              <w:ind w:left="113"/>
            </w:pPr>
            <w:r>
              <w:rPr>
                <w:b w:val="0"/>
                <w:color w:val="5E5A52"/>
                <w:sz w:val="19"/>
              </w:rPr>
              <w:t>Partner onboarding agreement, liability allocation</w:t>
            </w:r>
          </w:p>
        </w:tc>
        <w:tc>
          <w:tcPr>
            <w:tcW w:type="dxa" w:w="2351"/>
            <w:vAlign w:val="center"/>
            <w:tcW w:w="1080000" w:type="dxa"/>
          </w:tcPr>
          <w:p>
            <w:pPr>
              <w:spacing w:before="60" w:after="60"/>
              <w:ind w:left="113"/>
            </w:pPr>
            <w:r>
              <w:rPr>
                <w:b w:val="0"/>
                <w:color w:val="5E5A52"/>
                <w:sz w:val="19"/>
              </w:rPr>
              <w:t>Solicitor</w:t>
            </w:r>
          </w:p>
        </w:tc>
        <w:tc>
          <w:tcPr>
            <w:tcW w:type="dxa" w:w="2351"/>
            <w:vAlign w:val="center"/>
            <w:tcW w:w="1080000" w:type="dxa"/>
          </w:tcPr>
          <w:p>
            <w:pPr>
              <w:spacing w:before="60" w:after="60"/>
              <w:ind w:left="113"/>
            </w:pPr>
            <w:r>
              <w:rPr>
                <w:b w:val="0"/>
                <w:color w:val="5E5A52"/>
                <w:sz w:val="19"/>
              </w:rPr>
              <w:t>Month 3</w:t>
            </w:r>
          </w:p>
        </w:tc>
      </w:tr>
      <w:tr>
        <w:tc>
          <w:tcPr>
            <w:tcW w:type="dxa" w:w="2351"/>
            <w:vAlign w:val="center"/>
            <w:tcW w:w="1620000" w:type="dxa"/>
            <w:shd w:val="clear" w:color="auto" w:fill="F8F7F4"/>
          </w:tcPr>
          <w:p>
            <w:pPr>
              <w:spacing w:before="60" w:after="60"/>
              <w:ind w:left="113"/>
            </w:pPr>
            <w:r>
              <w:rPr>
                <w:b w:val="0"/>
                <w:color w:val="1A1917"/>
                <w:sz w:val="19"/>
              </w:rPr>
              <w:t>SDLT / data disclaimer review</w:t>
            </w:r>
          </w:p>
        </w:tc>
        <w:tc>
          <w:tcPr>
            <w:tcW w:type="dxa" w:w="2351"/>
            <w:vAlign w:val="center"/>
            <w:tcW w:w="1980000" w:type="dxa"/>
            <w:shd w:val="clear" w:color="auto" w:fill="F8F7F4"/>
          </w:tcPr>
          <w:p>
            <w:pPr>
              <w:spacing w:before="60" w:after="60"/>
              <w:ind w:left="113"/>
            </w:pPr>
            <w:r>
              <w:rPr>
                <w:b w:val="0"/>
                <w:color w:val="5E5A52"/>
                <w:sz w:val="19"/>
              </w:rPr>
              <w:t>Legal review of all financial and data disclaimers</w:t>
            </w:r>
          </w:p>
        </w:tc>
        <w:tc>
          <w:tcPr>
            <w:tcW w:type="dxa" w:w="2351"/>
            <w:vAlign w:val="center"/>
            <w:tcW w:w="1080000" w:type="dxa"/>
            <w:shd w:val="clear" w:color="auto" w:fill="F8F7F4"/>
          </w:tcPr>
          <w:p>
            <w:pPr>
              <w:spacing w:before="60" w:after="60"/>
              <w:ind w:left="113"/>
            </w:pPr>
            <w:r>
              <w:rPr>
                <w:b w:val="0"/>
                <w:color w:val="5E5A52"/>
                <w:sz w:val="19"/>
              </w:rPr>
              <w:t>Solicitor</w:t>
            </w:r>
          </w:p>
        </w:tc>
        <w:tc>
          <w:tcPr>
            <w:tcW w:type="dxa" w:w="2351"/>
            <w:vAlign w:val="center"/>
            <w:tcW w:w="1080000" w:type="dxa"/>
            <w:shd w:val="clear" w:color="auto" w:fill="F8F7F4"/>
          </w:tcPr>
          <w:p>
            <w:pPr>
              <w:spacing w:before="60" w:after="60"/>
              <w:ind w:left="113"/>
            </w:pPr>
            <w:r>
              <w:rPr>
                <w:b w:val="0"/>
                <w:color w:val="5E5A52"/>
                <w:sz w:val="19"/>
              </w:rPr>
              <w:t>Month 2</w:t>
            </w:r>
          </w:p>
        </w:tc>
      </w:tr>
      <w:tr>
        <w:tc>
          <w:tcPr>
            <w:tcW w:type="dxa" w:w="2351"/>
            <w:vAlign w:val="center"/>
            <w:tcW w:w="1620000" w:type="dxa"/>
          </w:tcPr>
          <w:p>
            <w:pPr>
              <w:spacing w:before="60" w:after="60"/>
              <w:ind w:left="113"/>
            </w:pPr>
            <w:r>
              <w:rPr>
                <w:b w:val="0"/>
                <w:color w:val="1A1917"/>
                <w:sz w:val="19"/>
              </w:rPr>
              <w:t>FCA AR assessment</w:t>
            </w:r>
          </w:p>
        </w:tc>
        <w:tc>
          <w:tcPr>
            <w:tcW w:type="dxa" w:w="2351"/>
            <w:vAlign w:val="center"/>
            <w:tcW w:w="1980000" w:type="dxa"/>
          </w:tcPr>
          <w:p>
            <w:pPr>
              <w:spacing w:before="60" w:after="60"/>
              <w:ind w:left="113"/>
            </w:pPr>
            <w:r>
              <w:rPr>
                <w:b w:val="0"/>
                <w:color w:val="5E5A52"/>
                <w:sz w:val="19"/>
              </w:rPr>
              <w:t>Assess if mortgage comparison (H2) triggers FCA auth</w:t>
            </w:r>
          </w:p>
        </w:tc>
        <w:tc>
          <w:tcPr>
            <w:tcW w:type="dxa" w:w="2351"/>
            <w:vAlign w:val="center"/>
            <w:tcW w:w="1080000" w:type="dxa"/>
          </w:tcPr>
          <w:p>
            <w:pPr>
              <w:spacing w:before="60" w:after="60"/>
              <w:ind w:left="113"/>
            </w:pPr>
            <w:r>
              <w:rPr>
                <w:b w:val="0"/>
                <w:color w:val="5E5A52"/>
                <w:sz w:val="19"/>
              </w:rPr>
              <w:t>Solicitor</w:t>
            </w:r>
          </w:p>
        </w:tc>
        <w:tc>
          <w:tcPr>
            <w:tcW w:type="dxa" w:w="2351"/>
            <w:vAlign w:val="center"/>
            <w:tcW w:w="1080000" w:type="dxa"/>
          </w:tcPr>
          <w:p>
            <w:pPr>
              <w:spacing w:before="60" w:after="60"/>
              <w:ind w:left="113"/>
            </w:pPr>
            <w:r>
              <w:rPr>
                <w:b w:val="0"/>
                <w:color w:val="5E5A52"/>
                <w:sz w:val="19"/>
              </w:rPr>
              <w:t>Month 6</w:t>
            </w:r>
          </w:p>
        </w:tc>
      </w:tr>
      <w:tr>
        <w:tc>
          <w:tcPr>
            <w:tcW w:type="dxa" w:w="2351"/>
            <w:vAlign w:val="center"/>
            <w:tcW w:w="1620000" w:type="dxa"/>
            <w:shd w:val="clear" w:color="auto" w:fill="F8F7F4"/>
          </w:tcPr>
          <w:p>
            <w:pPr>
              <w:spacing w:before="60" w:after="60"/>
              <w:ind w:left="113"/>
            </w:pPr>
            <w:r>
              <w:rPr>
                <w:b w:val="0"/>
                <w:color w:val="1A1917"/>
                <w:sz w:val="19"/>
              </w:rPr>
              <w:t>Stripe PCI compliance</w:t>
            </w:r>
          </w:p>
        </w:tc>
        <w:tc>
          <w:tcPr>
            <w:tcW w:type="dxa" w:w="2351"/>
            <w:vAlign w:val="center"/>
            <w:tcW w:w="1980000" w:type="dxa"/>
            <w:shd w:val="clear" w:color="auto" w:fill="F8F7F4"/>
          </w:tcPr>
          <w:p>
            <w:pPr>
              <w:spacing w:before="60" w:after="60"/>
              <w:ind w:left="113"/>
            </w:pPr>
            <w:r>
              <w:rPr>
                <w:b w:val="0"/>
                <w:color w:val="5E5A52"/>
                <w:sz w:val="19"/>
              </w:rPr>
              <w:t>Verify PCI DSS compliance via Stripe dashboard</w:t>
            </w:r>
          </w:p>
        </w:tc>
        <w:tc>
          <w:tcPr>
            <w:tcW w:type="dxa" w:w="2351"/>
            <w:vAlign w:val="center"/>
            <w:tcW w:w="1080000" w:type="dxa"/>
            <w:shd w:val="clear" w:color="auto" w:fill="F8F7F4"/>
          </w:tcPr>
          <w:p>
            <w:pPr>
              <w:spacing w:before="60" w:after="60"/>
              <w:ind w:left="113"/>
            </w:pPr>
            <w:r>
              <w:rPr>
                <w:b w:val="0"/>
                <w:color w:val="5E5A52"/>
                <w:sz w:val="19"/>
              </w:rPr>
              <w:t>Engineer</w:t>
            </w:r>
          </w:p>
        </w:tc>
        <w:tc>
          <w:tcPr>
            <w:tcW w:type="dxa" w:w="2351"/>
            <w:vAlign w:val="center"/>
            <w:tcW w:w="1080000" w:type="dxa"/>
            <w:shd w:val="clear" w:color="auto" w:fill="F8F7F4"/>
          </w:tcPr>
          <w:p>
            <w:pPr>
              <w:spacing w:before="60" w:after="60"/>
              <w:ind w:left="113"/>
            </w:pPr>
            <w:r>
              <w:rPr>
                <w:b w:val="0"/>
                <w:color w:val="5E5A52"/>
                <w:sz w:val="19"/>
              </w:rPr>
              <w:t>Month 2</w:t>
            </w:r>
          </w:p>
        </w:tc>
      </w:tr>
      <w:tr>
        <w:tc>
          <w:tcPr>
            <w:tcW w:type="dxa" w:w="2351"/>
            <w:vAlign w:val="center"/>
            <w:tcW w:w="1620000" w:type="dxa"/>
          </w:tcPr>
          <w:p>
            <w:pPr>
              <w:spacing w:before="60" w:after="60"/>
              <w:ind w:left="113"/>
            </w:pPr>
            <w:r>
              <w:rPr>
                <w:b w:val="0"/>
                <w:color w:val="1A1917"/>
                <w:sz w:val="19"/>
              </w:rPr>
              <w:t>Cookie compliance audit</w:t>
            </w:r>
          </w:p>
        </w:tc>
        <w:tc>
          <w:tcPr>
            <w:tcW w:type="dxa" w:w="2351"/>
            <w:vAlign w:val="center"/>
            <w:tcW w:w="1980000" w:type="dxa"/>
          </w:tcPr>
          <w:p>
            <w:pPr>
              <w:spacing w:before="60" w:after="60"/>
              <w:ind w:left="113"/>
            </w:pPr>
            <w:r>
              <w:rPr>
                <w:b w:val="0"/>
                <w:color w:val="5E5A52"/>
                <w:sz w:val="19"/>
              </w:rPr>
              <w:t>Consent Management Platform (CMP) implementation</w:t>
            </w:r>
          </w:p>
        </w:tc>
        <w:tc>
          <w:tcPr>
            <w:tcW w:type="dxa" w:w="2351"/>
            <w:vAlign w:val="center"/>
            <w:tcW w:w="1080000" w:type="dxa"/>
          </w:tcPr>
          <w:p>
            <w:pPr>
              <w:spacing w:before="60" w:after="60"/>
              <w:ind w:left="113"/>
            </w:pPr>
            <w:r>
              <w:rPr>
                <w:b w:val="0"/>
                <w:color w:val="5E5A52"/>
                <w:sz w:val="19"/>
              </w:rPr>
              <w:t>Engineer</w:t>
            </w:r>
          </w:p>
        </w:tc>
        <w:tc>
          <w:tcPr>
            <w:tcW w:type="dxa" w:w="2351"/>
            <w:vAlign w:val="center"/>
            <w:tcW w:w="1080000" w:type="dxa"/>
          </w:tcPr>
          <w:p>
            <w:pPr>
              <w:spacing w:before="60" w:after="60"/>
              <w:ind w:left="113"/>
            </w:pPr>
            <w:r>
              <w:rPr>
                <w:b w:val="0"/>
                <w:color w:val="5E5A52"/>
                <w:sz w:val="19"/>
              </w:rPr>
              <w:t>Month 2</w:t>
            </w:r>
          </w:p>
        </w:tc>
      </w:tr>
      <w:tr>
        <w:tc>
          <w:tcPr>
            <w:tcW w:type="dxa" w:w="2351"/>
            <w:vAlign w:val="center"/>
            <w:tcW w:w="1620000" w:type="dxa"/>
            <w:shd w:val="clear" w:color="auto" w:fill="F8F7F4"/>
          </w:tcPr>
          <w:p>
            <w:pPr>
              <w:spacing w:before="60" w:after="60"/>
              <w:ind w:left="113"/>
            </w:pPr>
            <w:r>
              <w:rPr>
                <w:b w:val="0"/>
                <w:color w:val="1A1917"/>
                <w:sz w:val="19"/>
              </w:rPr>
              <w:t>Annual GDPR audit</w:t>
            </w:r>
          </w:p>
        </w:tc>
        <w:tc>
          <w:tcPr>
            <w:tcW w:type="dxa" w:w="2351"/>
            <w:vAlign w:val="center"/>
            <w:tcW w:w="1980000" w:type="dxa"/>
            <w:shd w:val="clear" w:color="auto" w:fill="F8F7F4"/>
          </w:tcPr>
          <w:p>
            <w:pPr>
              <w:spacing w:before="60" w:after="60"/>
              <w:ind w:left="113"/>
            </w:pPr>
            <w:r>
              <w:rPr>
                <w:b w:val="0"/>
                <w:color w:val="5E5A52"/>
                <w:sz w:val="19"/>
              </w:rPr>
              <w:t>Data audit, DPIA review, incident response test</w:t>
            </w:r>
          </w:p>
        </w:tc>
        <w:tc>
          <w:tcPr>
            <w:tcW w:type="dxa" w:w="2351"/>
            <w:vAlign w:val="center"/>
            <w:tcW w:w="1080000" w:type="dxa"/>
            <w:shd w:val="clear" w:color="auto" w:fill="F8F7F4"/>
          </w:tcPr>
          <w:p>
            <w:pPr>
              <w:spacing w:before="60" w:after="60"/>
              <w:ind w:left="113"/>
            </w:pPr>
            <w:r>
              <w:rPr>
                <w:b w:val="0"/>
                <w:color w:val="5E5A52"/>
                <w:sz w:val="19"/>
              </w:rPr>
              <w:t>Founder</w:t>
            </w:r>
          </w:p>
        </w:tc>
        <w:tc>
          <w:tcPr>
            <w:tcW w:type="dxa" w:w="2351"/>
            <w:vAlign w:val="center"/>
            <w:tcW w:w="1080000" w:type="dxa"/>
            <w:shd w:val="clear" w:color="auto" w:fill="F8F7F4"/>
          </w:tcPr>
          <w:p>
            <w:pPr>
              <w:spacing w:before="60" w:after="60"/>
              <w:ind w:left="113"/>
            </w:pPr>
            <w:r>
              <w:rPr>
                <w:b w:val="0"/>
                <w:color w:val="5E5A52"/>
                <w:sz w:val="19"/>
              </w:rPr>
              <w:t>Annually</w:t>
            </w:r>
          </w:p>
        </w:tc>
      </w:tr>
    </w:tbl>
    <w:p/>
    <w:p>
      <w:pPr>
        <w:spacing w:before="160" w:after="160"/>
        <w:pBdr>
          <w:bottom w:val="single" w:sz="4" w:space="1" w:color="D1CEC8"/>
        </w:pBdr>
      </w:pPr>
    </w:p>
    <w:p>
      <w:pPr>
        <w:pStyle w:val="Heading1"/>
        <w:spacing w:before="400" w:after="120"/>
      </w:pPr>
      <w:r>
        <w:rPr>
          <w:color w:val="1D9E75"/>
          <w:sz w:val="32"/>
        </w:rPr>
        <w:t>53. Security Audit Schedule</w:t>
      </w:r>
    </w:p>
    <w:tbl>
      <w:tblPr>
        <w:tblStyle w:val="TableGrid"/>
        <w:tblW w:type="auto" w:w="0"/>
        <w:tblLook w:firstColumn="1" w:firstRow="1" w:lastColumn="0" w:lastRow="0" w:noHBand="0" w:noVBand="1" w:val="04A0"/>
      </w:tblPr>
      <w:tblGrid>
        <w:gridCol w:w="2351"/>
        <w:gridCol w:w="2351"/>
        <w:gridCol w:w="2351"/>
        <w:gridCol w:w="2351"/>
      </w:tblGrid>
      <w:tr>
        <w:tc>
          <w:tcPr>
            <w:tcW w:type="dxa" w:w="2351"/>
            <w:vAlign w:val="center"/>
            <w:tcW w:w="1980000" w:type="dxa"/>
            <w:shd w:val="clear" w:color="auto" w:fill="1D9E75"/>
          </w:tcPr>
          <w:p>
            <w:pPr>
              <w:spacing w:before="60" w:after="60"/>
              <w:ind w:left="113"/>
            </w:pPr>
            <w:r>
              <w:rPr>
                <w:b/>
                <w:color w:val="FFFFFF"/>
                <w:sz w:val="19"/>
              </w:rPr>
              <w:t>Audit type</w:t>
            </w:r>
          </w:p>
        </w:tc>
        <w:tc>
          <w:tcPr>
            <w:tcW w:type="dxa" w:w="2351"/>
            <w:vAlign w:val="center"/>
            <w:tcW w:w="1080000" w:type="dxa"/>
            <w:shd w:val="clear" w:color="auto" w:fill="1D9E75"/>
          </w:tcPr>
          <w:p>
            <w:pPr>
              <w:spacing w:before="60" w:after="60"/>
              <w:ind w:left="113"/>
            </w:pPr>
            <w:r>
              <w:rPr>
                <w:b/>
                <w:color w:val="FFFFFF"/>
                <w:sz w:val="19"/>
              </w:rPr>
              <w:t>Frequency</w:t>
            </w:r>
          </w:p>
        </w:tc>
        <w:tc>
          <w:tcPr>
            <w:tcW w:type="dxa" w:w="2351"/>
            <w:vAlign w:val="center"/>
            <w:tcW w:w="1620000" w:type="dxa"/>
            <w:shd w:val="clear" w:color="auto" w:fill="1D9E75"/>
          </w:tcPr>
          <w:p>
            <w:pPr>
              <w:spacing w:before="60" w:after="60"/>
              <w:ind w:left="113"/>
            </w:pPr>
            <w:r>
              <w:rPr>
                <w:b/>
                <w:color w:val="FFFFFF"/>
                <w:sz w:val="19"/>
              </w:rPr>
              <w:t>Provider</w:t>
            </w:r>
          </w:p>
        </w:tc>
        <w:tc>
          <w:tcPr>
            <w:tcW w:type="dxa" w:w="2351"/>
            <w:vAlign w:val="center"/>
            <w:tcW w:w="1440000" w:type="dxa"/>
            <w:shd w:val="clear" w:color="auto" w:fill="1D9E75"/>
          </w:tcPr>
          <w:p>
            <w:pPr>
              <w:spacing w:before="60" w:after="60"/>
              <w:ind w:left="113"/>
            </w:pPr>
            <w:r>
              <w:rPr>
                <w:b/>
                <w:color w:val="FFFFFF"/>
                <w:sz w:val="19"/>
              </w:rPr>
              <w:t>First scheduled</w:t>
            </w:r>
          </w:p>
        </w:tc>
      </w:tr>
      <w:tr>
        <w:tc>
          <w:tcPr>
            <w:tcW w:type="dxa" w:w="2351"/>
            <w:vAlign w:val="center"/>
            <w:tcW w:w="1980000" w:type="dxa"/>
          </w:tcPr>
          <w:p>
            <w:pPr>
              <w:spacing w:before="60" w:after="60"/>
              <w:ind w:left="113"/>
            </w:pPr>
            <w:r>
              <w:rPr>
                <w:b w:val="0"/>
                <w:color w:val="1A1917"/>
                <w:sz w:val="19"/>
              </w:rPr>
              <w:t>Dependency vulnerability scan (npm audit)</w:t>
            </w:r>
          </w:p>
        </w:tc>
        <w:tc>
          <w:tcPr>
            <w:tcW w:type="dxa" w:w="2351"/>
            <w:vAlign w:val="center"/>
            <w:tcW w:w="1080000" w:type="dxa"/>
          </w:tcPr>
          <w:p>
            <w:pPr>
              <w:spacing w:before="60" w:after="60"/>
              <w:ind w:left="113"/>
            </w:pPr>
            <w:r>
              <w:rPr>
                <w:b w:val="0"/>
                <w:color w:val="5E5A52"/>
                <w:sz w:val="19"/>
              </w:rPr>
              <w:t>Every CI/CD deploy</w:t>
            </w:r>
          </w:p>
        </w:tc>
        <w:tc>
          <w:tcPr>
            <w:tcW w:type="dxa" w:w="2351"/>
            <w:vAlign w:val="center"/>
            <w:tcW w:w="1620000" w:type="dxa"/>
          </w:tcPr>
          <w:p>
            <w:pPr>
              <w:spacing w:before="60" w:after="60"/>
              <w:ind w:left="113"/>
            </w:pPr>
            <w:r>
              <w:rPr>
                <w:b w:val="0"/>
                <w:color w:val="5E5A52"/>
                <w:sz w:val="19"/>
              </w:rPr>
              <w:t>GitHub Dependabot + npm audit</w:t>
            </w:r>
          </w:p>
        </w:tc>
        <w:tc>
          <w:tcPr>
            <w:tcW w:type="dxa" w:w="2351"/>
            <w:vAlign w:val="center"/>
            <w:tcW w:w="1440000" w:type="dxa"/>
          </w:tcPr>
          <w:p>
            <w:pPr>
              <w:spacing w:before="60" w:after="60"/>
              <w:ind w:left="113"/>
            </w:pPr>
            <w:r>
              <w:rPr>
                <w:b w:val="0"/>
                <w:color w:val="5E5A52"/>
                <w:sz w:val="19"/>
              </w:rPr>
              <w:t>Ongoing</w:t>
            </w:r>
          </w:p>
        </w:tc>
      </w:tr>
      <w:tr>
        <w:tc>
          <w:tcPr>
            <w:tcW w:type="dxa" w:w="2351"/>
            <w:vAlign w:val="center"/>
            <w:tcW w:w="1980000" w:type="dxa"/>
            <w:shd w:val="clear" w:color="auto" w:fill="F8F7F4"/>
          </w:tcPr>
          <w:p>
            <w:pPr>
              <w:spacing w:before="60" w:after="60"/>
              <w:ind w:left="113"/>
            </w:pPr>
            <w:r>
              <w:rPr>
                <w:b w:val="0"/>
                <w:color w:val="1A1917"/>
                <w:sz w:val="19"/>
              </w:rPr>
              <w:t>OWASP Top 10 self-assessment</w:t>
            </w:r>
          </w:p>
        </w:tc>
        <w:tc>
          <w:tcPr>
            <w:tcW w:type="dxa" w:w="2351"/>
            <w:vAlign w:val="center"/>
            <w:tcW w:w="1080000" w:type="dxa"/>
            <w:shd w:val="clear" w:color="auto" w:fill="F8F7F4"/>
          </w:tcPr>
          <w:p>
            <w:pPr>
              <w:spacing w:before="60" w:after="60"/>
              <w:ind w:left="113"/>
            </w:pPr>
            <w:r>
              <w:rPr>
                <w:b w:val="0"/>
                <w:color w:val="5E5A52"/>
                <w:sz w:val="19"/>
              </w:rPr>
              <w:t>Quarterly</w:t>
            </w:r>
          </w:p>
        </w:tc>
        <w:tc>
          <w:tcPr>
            <w:tcW w:type="dxa" w:w="2351"/>
            <w:vAlign w:val="center"/>
            <w:tcW w:w="1620000" w:type="dxa"/>
            <w:shd w:val="clear" w:color="auto" w:fill="F8F7F4"/>
          </w:tcPr>
          <w:p>
            <w:pPr>
              <w:spacing w:before="60" w:after="60"/>
              <w:ind w:left="113"/>
            </w:pPr>
            <w:r>
              <w:rPr>
                <w:b w:val="0"/>
                <w:color w:val="5E5A52"/>
                <w:sz w:val="19"/>
              </w:rPr>
              <w:t>Founder / Senior Engineer</w:t>
            </w:r>
          </w:p>
        </w:tc>
        <w:tc>
          <w:tcPr>
            <w:tcW w:type="dxa" w:w="2351"/>
            <w:vAlign w:val="center"/>
            <w:tcW w:w="1440000" w:type="dxa"/>
            <w:shd w:val="clear" w:color="auto" w:fill="F8F7F4"/>
          </w:tcPr>
          <w:p>
            <w:pPr>
              <w:spacing w:before="60" w:after="60"/>
              <w:ind w:left="113"/>
            </w:pPr>
            <w:r>
              <w:rPr>
                <w:b w:val="0"/>
                <w:color w:val="5E5A52"/>
                <w:sz w:val="19"/>
              </w:rPr>
              <w:t>Month 3</w:t>
            </w:r>
          </w:p>
        </w:tc>
      </w:tr>
      <w:tr>
        <w:tc>
          <w:tcPr>
            <w:tcW w:type="dxa" w:w="2351"/>
            <w:vAlign w:val="center"/>
            <w:tcW w:w="1980000" w:type="dxa"/>
          </w:tcPr>
          <w:p>
            <w:pPr>
              <w:spacing w:before="60" w:after="60"/>
              <w:ind w:left="113"/>
            </w:pPr>
            <w:r>
              <w:rPr>
                <w:b w:val="0"/>
                <w:color w:val="1A1917"/>
                <w:sz w:val="19"/>
              </w:rPr>
              <w:t>Penetration test (external)</w:t>
            </w:r>
          </w:p>
        </w:tc>
        <w:tc>
          <w:tcPr>
            <w:tcW w:type="dxa" w:w="2351"/>
            <w:vAlign w:val="center"/>
            <w:tcW w:w="1080000" w:type="dxa"/>
          </w:tcPr>
          <w:p>
            <w:pPr>
              <w:spacing w:before="60" w:after="60"/>
              <w:ind w:left="113"/>
            </w:pPr>
            <w:r>
              <w:rPr>
                <w:b w:val="0"/>
                <w:color w:val="5E5A52"/>
                <w:sz w:val="19"/>
              </w:rPr>
              <w:t>Annual</w:t>
            </w:r>
          </w:p>
        </w:tc>
        <w:tc>
          <w:tcPr>
            <w:tcW w:type="dxa" w:w="2351"/>
            <w:vAlign w:val="center"/>
            <w:tcW w:w="1620000" w:type="dxa"/>
          </w:tcPr>
          <w:p>
            <w:pPr>
              <w:spacing w:before="60" w:after="60"/>
              <w:ind w:left="113"/>
            </w:pPr>
            <w:r>
              <w:rPr>
                <w:b w:val="0"/>
                <w:color w:val="5E5A52"/>
                <w:sz w:val="19"/>
              </w:rPr>
              <w:t>CREST-accredited firm</w:t>
            </w:r>
          </w:p>
        </w:tc>
        <w:tc>
          <w:tcPr>
            <w:tcW w:type="dxa" w:w="2351"/>
            <w:vAlign w:val="center"/>
            <w:tcW w:w="1440000" w:type="dxa"/>
          </w:tcPr>
          <w:p>
            <w:pPr>
              <w:spacing w:before="60" w:after="60"/>
              <w:ind w:left="113"/>
            </w:pPr>
            <w:r>
              <w:rPr>
                <w:b w:val="0"/>
                <w:color w:val="5E5A52"/>
                <w:sz w:val="19"/>
              </w:rPr>
              <w:t>Month 12</w:t>
            </w:r>
          </w:p>
        </w:tc>
      </w:tr>
      <w:tr>
        <w:tc>
          <w:tcPr>
            <w:tcW w:type="dxa" w:w="2351"/>
            <w:vAlign w:val="center"/>
            <w:tcW w:w="1980000" w:type="dxa"/>
            <w:shd w:val="clear" w:color="auto" w:fill="F8F7F4"/>
          </w:tcPr>
          <w:p>
            <w:pPr>
              <w:spacing w:before="60" w:after="60"/>
              <w:ind w:left="113"/>
            </w:pPr>
            <w:r>
              <w:rPr>
                <w:b w:val="0"/>
                <w:color w:val="1A1917"/>
                <w:sz w:val="19"/>
              </w:rPr>
              <w:t>API key rotation</w:t>
            </w:r>
          </w:p>
        </w:tc>
        <w:tc>
          <w:tcPr>
            <w:tcW w:type="dxa" w:w="2351"/>
            <w:vAlign w:val="center"/>
            <w:tcW w:w="1080000" w:type="dxa"/>
            <w:shd w:val="clear" w:color="auto" w:fill="F8F7F4"/>
          </w:tcPr>
          <w:p>
            <w:pPr>
              <w:spacing w:before="60" w:after="60"/>
              <w:ind w:left="113"/>
            </w:pPr>
            <w:r>
              <w:rPr>
                <w:b w:val="0"/>
                <w:color w:val="5E5A52"/>
                <w:sz w:val="19"/>
              </w:rPr>
              <w:t>Every 6 months</w:t>
            </w:r>
          </w:p>
        </w:tc>
        <w:tc>
          <w:tcPr>
            <w:tcW w:type="dxa" w:w="2351"/>
            <w:vAlign w:val="center"/>
            <w:tcW w:w="1620000" w:type="dxa"/>
            <w:shd w:val="clear" w:color="auto" w:fill="F8F7F4"/>
          </w:tcPr>
          <w:p>
            <w:pPr>
              <w:spacing w:before="60" w:after="60"/>
              <w:ind w:left="113"/>
            </w:pPr>
            <w:r>
              <w:rPr>
                <w:b w:val="0"/>
                <w:color w:val="5E5A52"/>
                <w:sz w:val="19"/>
              </w:rPr>
              <w:t>Vercel Environment Variables</w:t>
            </w:r>
          </w:p>
        </w:tc>
        <w:tc>
          <w:tcPr>
            <w:tcW w:type="dxa" w:w="2351"/>
            <w:vAlign w:val="center"/>
            <w:tcW w:w="1440000" w:type="dxa"/>
            <w:shd w:val="clear" w:color="auto" w:fill="F8F7F4"/>
          </w:tcPr>
          <w:p>
            <w:pPr>
              <w:spacing w:before="60" w:after="60"/>
              <w:ind w:left="113"/>
            </w:pPr>
            <w:r>
              <w:rPr>
                <w:b w:val="0"/>
                <w:color w:val="5E5A52"/>
                <w:sz w:val="19"/>
              </w:rPr>
              <w:t>Month 6</w:t>
            </w:r>
          </w:p>
        </w:tc>
      </w:tr>
      <w:tr>
        <w:tc>
          <w:tcPr>
            <w:tcW w:type="dxa" w:w="2351"/>
            <w:vAlign w:val="center"/>
            <w:tcW w:w="1980000" w:type="dxa"/>
          </w:tcPr>
          <w:p>
            <w:pPr>
              <w:spacing w:before="60" w:after="60"/>
              <w:ind w:left="113"/>
            </w:pPr>
            <w:r>
              <w:rPr>
                <w:b w:val="0"/>
                <w:color w:val="1A1917"/>
                <w:sz w:val="19"/>
              </w:rPr>
              <w:t>Supabase RLS (row-level security) audit</w:t>
            </w:r>
          </w:p>
        </w:tc>
        <w:tc>
          <w:tcPr>
            <w:tcW w:type="dxa" w:w="2351"/>
            <w:vAlign w:val="center"/>
            <w:tcW w:w="1080000" w:type="dxa"/>
          </w:tcPr>
          <w:p>
            <w:pPr>
              <w:spacing w:before="60" w:after="60"/>
              <w:ind w:left="113"/>
            </w:pPr>
            <w:r>
              <w:rPr>
                <w:b w:val="0"/>
                <w:color w:val="5E5A52"/>
                <w:sz w:val="19"/>
              </w:rPr>
              <w:t>Quarterly</w:t>
            </w:r>
          </w:p>
        </w:tc>
        <w:tc>
          <w:tcPr>
            <w:tcW w:type="dxa" w:w="2351"/>
            <w:vAlign w:val="center"/>
            <w:tcW w:w="1620000" w:type="dxa"/>
          </w:tcPr>
          <w:p>
            <w:pPr>
              <w:spacing w:before="60" w:after="60"/>
              <w:ind w:left="113"/>
            </w:pPr>
            <w:r>
              <w:rPr>
                <w:b w:val="0"/>
                <w:color w:val="5E5A52"/>
                <w:sz w:val="19"/>
              </w:rPr>
              <w:t>Senior Engineer</w:t>
            </w:r>
          </w:p>
        </w:tc>
        <w:tc>
          <w:tcPr>
            <w:tcW w:type="dxa" w:w="2351"/>
            <w:vAlign w:val="center"/>
            <w:tcW w:w="1440000" w:type="dxa"/>
          </w:tcPr>
          <w:p>
            <w:pPr>
              <w:spacing w:before="60" w:after="60"/>
              <w:ind w:left="113"/>
            </w:pPr>
            <w:r>
              <w:rPr>
                <w:b w:val="0"/>
                <w:color w:val="5E5A52"/>
                <w:sz w:val="19"/>
              </w:rPr>
              <w:t>Month 3</w:t>
            </w:r>
          </w:p>
        </w:tc>
      </w:tr>
      <w:tr>
        <w:tc>
          <w:tcPr>
            <w:tcW w:type="dxa" w:w="2351"/>
            <w:vAlign w:val="center"/>
            <w:tcW w:w="1980000" w:type="dxa"/>
            <w:shd w:val="clear" w:color="auto" w:fill="F8F7F4"/>
          </w:tcPr>
          <w:p>
            <w:pPr>
              <w:spacing w:before="60" w:after="60"/>
              <w:ind w:left="113"/>
            </w:pPr>
            <w:r>
              <w:rPr>
                <w:b w:val="0"/>
                <w:color w:val="1A1917"/>
                <w:sz w:val="19"/>
              </w:rPr>
              <w:t>SSL/TLS certificate check</w:t>
            </w:r>
          </w:p>
        </w:tc>
        <w:tc>
          <w:tcPr>
            <w:tcW w:type="dxa" w:w="2351"/>
            <w:vAlign w:val="center"/>
            <w:tcW w:w="1080000" w:type="dxa"/>
            <w:shd w:val="clear" w:color="auto" w:fill="F8F7F4"/>
          </w:tcPr>
          <w:p>
            <w:pPr>
              <w:spacing w:before="60" w:after="60"/>
              <w:ind w:left="113"/>
            </w:pPr>
            <w:r>
              <w:rPr>
                <w:b w:val="0"/>
                <w:color w:val="5E5A52"/>
                <w:sz w:val="19"/>
              </w:rPr>
              <w:t>Monthly</w:t>
            </w:r>
          </w:p>
        </w:tc>
        <w:tc>
          <w:tcPr>
            <w:tcW w:type="dxa" w:w="2351"/>
            <w:vAlign w:val="center"/>
            <w:tcW w:w="1620000" w:type="dxa"/>
            <w:shd w:val="clear" w:color="auto" w:fill="F8F7F4"/>
          </w:tcPr>
          <w:p>
            <w:pPr>
              <w:spacing w:before="60" w:after="60"/>
              <w:ind w:left="113"/>
            </w:pPr>
            <w:r>
              <w:rPr>
                <w:b w:val="0"/>
                <w:color w:val="5E5A52"/>
                <w:sz w:val="19"/>
              </w:rPr>
              <w:t>Vercel automated renewal</w:t>
            </w:r>
          </w:p>
        </w:tc>
        <w:tc>
          <w:tcPr>
            <w:tcW w:type="dxa" w:w="2351"/>
            <w:vAlign w:val="center"/>
            <w:tcW w:w="1440000" w:type="dxa"/>
            <w:shd w:val="clear" w:color="auto" w:fill="F8F7F4"/>
          </w:tcPr>
          <w:p>
            <w:pPr>
              <w:spacing w:before="60" w:after="60"/>
              <w:ind w:left="113"/>
            </w:pPr>
            <w:r>
              <w:rPr>
                <w:b w:val="0"/>
                <w:color w:val="5E5A52"/>
                <w:sz w:val="19"/>
              </w:rPr>
              <w:t>Ongoing</w:t>
            </w:r>
          </w:p>
        </w:tc>
      </w:tr>
      <w:tr>
        <w:tc>
          <w:tcPr>
            <w:tcW w:type="dxa" w:w="2351"/>
            <w:vAlign w:val="center"/>
            <w:tcW w:w="1980000" w:type="dxa"/>
          </w:tcPr>
          <w:p>
            <w:pPr>
              <w:spacing w:before="60" w:after="60"/>
              <w:ind w:left="113"/>
            </w:pPr>
            <w:r>
              <w:rPr>
                <w:b w:val="0"/>
                <w:color w:val="1A1917"/>
                <w:sz w:val="19"/>
              </w:rPr>
              <w:t>Stripe PCI compliance review</w:t>
            </w:r>
          </w:p>
        </w:tc>
        <w:tc>
          <w:tcPr>
            <w:tcW w:type="dxa" w:w="2351"/>
            <w:vAlign w:val="center"/>
            <w:tcW w:w="1080000" w:type="dxa"/>
          </w:tcPr>
          <w:p>
            <w:pPr>
              <w:spacing w:before="60" w:after="60"/>
              <w:ind w:left="113"/>
            </w:pPr>
            <w:r>
              <w:rPr>
                <w:b w:val="0"/>
                <w:color w:val="5E5A52"/>
                <w:sz w:val="19"/>
              </w:rPr>
              <w:t>Annual</w:t>
            </w:r>
          </w:p>
        </w:tc>
        <w:tc>
          <w:tcPr>
            <w:tcW w:type="dxa" w:w="2351"/>
            <w:vAlign w:val="center"/>
            <w:tcW w:w="1620000" w:type="dxa"/>
          </w:tcPr>
          <w:p>
            <w:pPr>
              <w:spacing w:before="60" w:after="60"/>
              <w:ind w:left="113"/>
            </w:pPr>
            <w:r>
              <w:rPr>
                <w:b w:val="0"/>
                <w:color w:val="5E5A52"/>
                <w:sz w:val="19"/>
              </w:rPr>
              <w:t>Stripe Dashboard self-assessment</w:t>
            </w:r>
          </w:p>
        </w:tc>
        <w:tc>
          <w:tcPr>
            <w:tcW w:type="dxa" w:w="2351"/>
            <w:vAlign w:val="center"/>
            <w:tcW w:w="1440000" w:type="dxa"/>
          </w:tcPr>
          <w:p>
            <w:pPr>
              <w:spacing w:before="60" w:after="60"/>
              <w:ind w:left="113"/>
            </w:pPr>
            <w:r>
              <w:rPr>
                <w:b w:val="0"/>
                <w:color w:val="5E5A52"/>
                <w:sz w:val="19"/>
              </w:rPr>
              <w:t>Month 12</w:t>
            </w:r>
          </w:p>
        </w:tc>
      </w:tr>
      <w:tr>
        <w:tc>
          <w:tcPr>
            <w:tcW w:type="dxa" w:w="2351"/>
            <w:vAlign w:val="center"/>
            <w:tcW w:w="1980000" w:type="dxa"/>
            <w:shd w:val="clear" w:color="auto" w:fill="F8F7F4"/>
          </w:tcPr>
          <w:p>
            <w:pPr>
              <w:spacing w:before="60" w:after="60"/>
              <w:ind w:left="113"/>
            </w:pPr>
            <w:r>
              <w:rPr>
                <w:b w:val="0"/>
                <w:color w:val="1A1917"/>
                <w:sz w:val="19"/>
              </w:rPr>
              <w:t>Data breach response drill</w:t>
            </w:r>
          </w:p>
        </w:tc>
        <w:tc>
          <w:tcPr>
            <w:tcW w:type="dxa" w:w="2351"/>
            <w:vAlign w:val="center"/>
            <w:tcW w:w="1080000" w:type="dxa"/>
            <w:shd w:val="clear" w:color="auto" w:fill="F8F7F4"/>
          </w:tcPr>
          <w:p>
            <w:pPr>
              <w:spacing w:before="60" w:after="60"/>
              <w:ind w:left="113"/>
            </w:pPr>
            <w:r>
              <w:rPr>
                <w:b w:val="0"/>
                <w:color w:val="5E5A52"/>
                <w:sz w:val="19"/>
              </w:rPr>
              <w:t>Annual</w:t>
            </w:r>
          </w:p>
        </w:tc>
        <w:tc>
          <w:tcPr>
            <w:tcW w:type="dxa" w:w="2351"/>
            <w:vAlign w:val="center"/>
            <w:tcW w:w="1620000" w:type="dxa"/>
            <w:shd w:val="clear" w:color="auto" w:fill="F8F7F4"/>
          </w:tcPr>
          <w:p>
            <w:pPr>
              <w:spacing w:before="60" w:after="60"/>
              <w:ind w:left="113"/>
            </w:pPr>
            <w:r>
              <w:rPr>
                <w:b w:val="0"/>
                <w:color w:val="5E5A52"/>
                <w:sz w:val="19"/>
              </w:rPr>
              <w:t>Founder + legal</w:t>
            </w:r>
          </w:p>
        </w:tc>
        <w:tc>
          <w:tcPr>
            <w:tcW w:type="dxa" w:w="2351"/>
            <w:vAlign w:val="center"/>
            <w:tcW w:w="1440000" w:type="dxa"/>
            <w:shd w:val="clear" w:color="auto" w:fill="F8F7F4"/>
          </w:tcPr>
          <w:p>
            <w:pPr>
              <w:spacing w:before="60" w:after="60"/>
              <w:ind w:left="113"/>
            </w:pPr>
            <w:r>
              <w:rPr>
                <w:b w:val="0"/>
                <w:color w:val="5E5A52"/>
                <w:sz w:val="19"/>
              </w:rPr>
              <w:t>Month 12</w:t>
            </w:r>
          </w:p>
        </w:tc>
      </w:tr>
    </w:tbl>
    <w:p/>
    <w:p>
      <w:pPr>
        <w:spacing w:before="160" w:after="160"/>
        <w:pBdr>
          <w:bottom w:val="single" w:sz="4" w:space="1" w:color="D1CEC8"/>
        </w:pBdr>
      </w:pPr>
    </w:p>
    <w:p>
      <w:r>
        <w:br w:type="page"/>
      </w:r>
    </w:p>
    <w:p>
      <w:pPr>
        <w:pStyle w:val="Heading1"/>
        <w:spacing w:before="400" w:after="120"/>
      </w:pPr>
      <w:r>
        <w:rPr>
          <w:color w:val="1D9E75"/>
          <w:sz w:val="32"/>
        </w:rPr>
        <w:t>54. Data Protection Protocols</w:t>
      </w:r>
    </w:p>
    <w:p>
      <w:pPr>
        <w:pStyle w:val="ListBullet"/>
        <w:spacing w:after="60"/>
        <w:ind w:left="283"/>
      </w:pPr>
      <w:r>
        <w:rPr>
          <w:color w:val="5E5A52"/>
          <w:sz w:val="21"/>
        </w:rPr>
        <w:t>Minimal data collection: PropPilot collects only name, email, hashed password, role, plan, and saved property data. No tracking pixels, no behavioural profiling without explicit consent.</w:t>
      </w:r>
    </w:p>
    <w:p>
      <w:pPr>
        <w:pStyle w:val="ListBullet"/>
        <w:spacing w:after="60"/>
        <w:ind w:left="283"/>
      </w:pPr>
      <w:r>
        <w:rPr>
          <w:color w:val="5E5A52"/>
          <w:sz w:val="21"/>
        </w:rPr>
        <w:t>Data residency: Supabase UK/EU region (AWS eu-west-2, London). All user data stored and processed within the UK/EEA. No transfers to third countries without adequacy decision or SCCs.</w:t>
      </w:r>
    </w:p>
    <w:p>
      <w:pPr>
        <w:pStyle w:val="ListBullet"/>
        <w:spacing w:after="60"/>
        <w:ind w:left="283"/>
      </w:pPr>
      <w:r>
        <w:rPr>
          <w:color w:val="5E5A52"/>
          <w:sz w:val="21"/>
        </w:rPr>
        <w:t>Password security: bcrypt hashing (cost factor 12) via Supabase Auth. Passwords never stored in plaintext. No password visible to PropPilot staff.</w:t>
      </w:r>
    </w:p>
    <w:p>
      <w:pPr>
        <w:pStyle w:val="ListBullet"/>
        <w:spacing w:after="60"/>
        <w:ind w:left="283"/>
      </w:pPr>
      <w:r>
        <w:rPr>
          <w:color w:val="5E5A52"/>
          <w:sz w:val="21"/>
        </w:rPr>
        <w:t>Session security: JWT tokens with 7-day expiry; refresh token rotation. HTTPS-only cookies with Secure and HttpOnly flags.</w:t>
      </w:r>
    </w:p>
    <w:p>
      <w:pPr>
        <w:pStyle w:val="ListBullet"/>
        <w:spacing w:after="60"/>
        <w:ind w:left="283"/>
      </w:pPr>
      <w:r>
        <w:rPr>
          <w:color w:val="5E5A52"/>
          <w:sz w:val="21"/>
        </w:rPr>
        <w:t>Right to erasure: Users can request account deletion via in-app Settings. All personal data deleted within 30 days. Anonymised aggregated analytics data retained.</w:t>
      </w:r>
    </w:p>
    <w:p>
      <w:pPr>
        <w:pStyle w:val="ListBullet"/>
        <w:spacing w:after="60"/>
        <w:ind w:left="283"/>
      </w:pPr>
      <w:r>
        <w:rPr>
          <w:color w:val="5E5A52"/>
          <w:sz w:val="21"/>
        </w:rPr>
        <w:t>Breach notification: If a data breach affecting user personal data is detected, ICO notified within 72 hours (as required by UK GDPR Art. 33). Affected users notified without undue delay.</w:t>
      </w:r>
    </w:p>
    <w:p>
      <w:pPr>
        <w:pStyle w:val="ListBullet"/>
        <w:spacing w:after="60"/>
        <w:ind w:left="283"/>
      </w:pPr>
      <w:r>
        <w:rPr>
          <w:color w:val="5E5A52"/>
          <w:sz w:val="21"/>
        </w:rPr>
        <w:t>Third-party processors: Supabase (database), Stripe (payments), Resend (email), Vercel (hosting), PostHog (analytics — cookie-consent gated). All processors assessed for GDPR compliance.</w:t>
      </w:r>
    </w:p>
    <w:p>
      <w:pPr>
        <w:spacing w:before="160" w:after="160"/>
        <w:pBdr>
          <w:bottom w:val="single" w:sz="4" w:space="1" w:color="D1CEC8"/>
        </w:pBdr>
      </w:pPr>
    </w:p>
    <w:p>
      <w:pPr>
        <w:pStyle w:val="Heading1"/>
        <w:spacing w:before="400" w:after="120"/>
      </w:pPr>
      <w:r>
        <w:rPr>
          <w:color w:val="1D9E75"/>
          <w:sz w:val="32"/>
        </w:rPr>
        <w:t>55. Insurance and Risk Protection Strategy</w:t>
      </w:r>
    </w:p>
    <w:tbl>
      <w:tblPr>
        <w:tblStyle w:val="TableGrid"/>
        <w:tblW w:type="auto" w:w="0"/>
        <w:tblLook w:firstColumn="1" w:firstRow="1" w:lastColumn="0" w:lastRow="0" w:noHBand="0" w:noVBand="1" w:val="04A0"/>
      </w:tblPr>
      <w:tblGrid>
        <w:gridCol w:w="2351"/>
        <w:gridCol w:w="2351"/>
        <w:gridCol w:w="2351"/>
        <w:gridCol w:w="2351"/>
      </w:tblGrid>
      <w:tr>
        <w:tc>
          <w:tcPr>
            <w:tcW w:type="dxa" w:w="2351"/>
            <w:vAlign w:val="center"/>
            <w:tcW w:w="1440000" w:type="dxa"/>
            <w:shd w:val="clear" w:color="auto" w:fill="1D9E75"/>
          </w:tcPr>
          <w:p>
            <w:pPr>
              <w:spacing w:before="60" w:after="60"/>
              <w:ind w:left="113"/>
            </w:pPr>
            <w:r>
              <w:rPr>
                <w:b/>
                <w:color w:val="FFFFFF"/>
                <w:sz w:val="19"/>
              </w:rPr>
              <w:t>Insurance type</w:t>
            </w:r>
          </w:p>
        </w:tc>
        <w:tc>
          <w:tcPr>
            <w:tcW w:type="dxa" w:w="2351"/>
            <w:vAlign w:val="center"/>
            <w:tcW w:w="720000" w:type="dxa"/>
            <w:shd w:val="clear" w:color="auto" w:fill="1D9E75"/>
          </w:tcPr>
          <w:p>
            <w:pPr>
              <w:spacing w:before="60" w:after="60"/>
              <w:ind w:left="113"/>
            </w:pPr>
            <w:r>
              <w:rPr>
                <w:b/>
                <w:color w:val="FFFFFF"/>
                <w:sz w:val="19"/>
              </w:rPr>
              <w:t>Coverage</w:t>
            </w:r>
          </w:p>
        </w:tc>
        <w:tc>
          <w:tcPr>
            <w:tcW w:type="dxa" w:w="2351"/>
            <w:vAlign w:val="center"/>
            <w:tcW w:w="2880000" w:type="dxa"/>
            <w:shd w:val="clear" w:color="auto" w:fill="1D9E75"/>
          </w:tcPr>
          <w:p>
            <w:pPr>
              <w:spacing w:before="60" w:after="60"/>
              <w:ind w:left="113"/>
            </w:pPr>
            <w:r>
              <w:rPr>
                <w:b/>
                <w:color w:val="FFFFFF"/>
                <w:sz w:val="19"/>
              </w:rPr>
              <w:t>Rationale</w:t>
            </w:r>
          </w:p>
        </w:tc>
        <w:tc>
          <w:tcPr>
            <w:tcW w:type="dxa" w:w="2351"/>
            <w:vAlign w:val="center"/>
            <w:tcW w:w="1080000" w:type="dxa"/>
            <w:shd w:val="clear" w:color="auto" w:fill="1D9E75"/>
          </w:tcPr>
          <w:p>
            <w:pPr>
              <w:spacing w:before="60" w:after="60"/>
              <w:ind w:left="113"/>
            </w:pPr>
            <w:r>
              <w:rPr>
                <w:b/>
                <w:color w:val="FFFFFF"/>
                <w:sz w:val="19"/>
              </w:rPr>
              <w:t>Estimated premium</w:t>
            </w:r>
          </w:p>
        </w:tc>
      </w:tr>
      <w:tr>
        <w:tc>
          <w:tcPr>
            <w:tcW w:type="dxa" w:w="2351"/>
            <w:vAlign w:val="center"/>
            <w:tcW w:w="1440000" w:type="dxa"/>
          </w:tcPr>
          <w:p>
            <w:pPr>
              <w:spacing w:before="60" w:after="60"/>
              <w:ind w:left="113"/>
            </w:pPr>
            <w:r>
              <w:rPr>
                <w:b w:val="0"/>
                <w:color w:val="1A1917"/>
                <w:sz w:val="19"/>
              </w:rPr>
              <w:t>Professional Indemnity</w:t>
            </w:r>
          </w:p>
        </w:tc>
        <w:tc>
          <w:tcPr>
            <w:tcW w:type="dxa" w:w="2351"/>
            <w:vAlign w:val="center"/>
            <w:tcW w:w="720000" w:type="dxa"/>
          </w:tcPr>
          <w:p>
            <w:pPr>
              <w:spacing w:before="60" w:after="60"/>
              <w:ind w:left="113"/>
            </w:pPr>
            <w:r>
              <w:rPr>
                <w:b w:val="0"/>
                <w:color w:val="5E5A52"/>
                <w:sz w:val="19"/>
              </w:rPr>
              <w:t>£1M</w:t>
            </w:r>
          </w:p>
        </w:tc>
        <w:tc>
          <w:tcPr>
            <w:tcW w:type="dxa" w:w="2351"/>
            <w:vAlign w:val="center"/>
            <w:tcW w:w="2880000" w:type="dxa"/>
          </w:tcPr>
          <w:p>
            <w:pPr>
              <w:spacing w:before="60" w:after="60"/>
              <w:ind w:left="113"/>
            </w:pPr>
            <w:r>
              <w:rPr>
                <w:b w:val="0"/>
                <w:color w:val="5E5A52"/>
                <w:sz w:val="19"/>
              </w:rPr>
              <w:t>PropPilot reports are informational; PI covers claims if a user alleges financial loss from incorrect data</w:t>
            </w:r>
          </w:p>
        </w:tc>
        <w:tc>
          <w:tcPr>
            <w:tcW w:type="dxa" w:w="2351"/>
            <w:vAlign w:val="center"/>
            <w:tcW w:w="1080000" w:type="dxa"/>
          </w:tcPr>
          <w:p>
            <w:pPr>
              <w:spacing w:before="60" w:after="60"/>
              <w:ind w:left="113"/>
            </w:pPr>
            <w:r>
              <w:rPr>
                <w:b w:val="0"/>
                <w:color w:val="5E5A52"/>
                <w:sz w:val="19"/>
              </w:rPr>
              <w:t>£800-£1,500/year</w:t>
            </w:r>
          </w:p>
        </w:tc>
      </w:tr>
      <w:tr>
        <w:tc>
          <w:tcPr>
            <w:tcW w:type="dxa" w:w="2351"/>
            <w:vAlign w:val="center"/>
            <w:tcW w:w="1440000" w:type="dxa"/>
            <w:shd w:val="clear" w:color="auto" w:fill="F8F7F4"/>
          </w:tcPr>
          <w:p>
            <w:pPr>
              <w:spacing w:before="60" w:after="60"/>
              <w:ind w:left="113"/>
            </w:pPr>
            <w:r>
              <w:rPr>
                <w:b w:val="0"/>
                <w:color w:val="1A1917"/>
                <w:sz w:val="19"/>
              </w:rPr>
              <w:t>Cyber Liability</w:t>
            </w:r>
          </w:p>
        </w:tc>
        <w:tc>
          <w:tcPr>
            <w:tcW w:type="dxa" w:w="2351"/>
            <w:vAlign w:val="center"/>
            <w:tcW w:w="720000" w:type="dxa"/>
            <w:shd w:val="clear" w:color="auto" w:fill="F8F7F4"/>
          </w:tcPr>
          <w:p>
            <w:pPr>
              <w:spacing w:before="60" w:after="60"/>
              <w:ind w:left="113"/>
            </w:pPr>
            <w:r>
              <w:rPr>
                <w:b w:val="0"/>
                <w:color w:val="5E5A52"/>
                <w:sz w:val="19"/>
              </w:rPr>
              <w:t>£500K</w:t>
            </w:r>
          </w:p>
        </w:tc>
        <w:tc>
          <w:tcPr>
            <w:tcW w:type="dxa" w:w="2351"/>
            <w:vAlign w:val="center"/>
            <w:tcW w:w="2880000" w:type="dxa"/>
            <w:shd w:val="clear" w:color="auto" w:fill="F8F7F4"/>
          </w:tcPr>
          <w:p>
            <w:pPr>
              <w:spacing w:before="60" w:after="60"/>
              <w:ind w:left="113"/>
            </w:pPr>
            <w:r>
              <w:rPr>
                <w:b w:val="0"/>
                <w:color w:val="5E5A52"/>
                <w:sz w:val="19"/>
              </w:rPr>
              <w:t>Covers data breach costs, ICO fines, legal costs, user notification</w:t>
            </w:r>
          </w:p>
        </w:tc>
        <w:tc>
          <w:tcPr>
            <w:tcW w:type="dxa" w:w="2351"/>
            <w:vAlign w:val="center"/>
            <w:tcW w:w="1080000" w:type="dxa"/>
            <w:shd w:val="clear" w:color="auto" w:fill="F8F7F4"/>
          </w:tcPr>
          <w:p>
            <w:pPr>
              <w:spacing w:before="60" w:after="60"/>
              <w:ind w:left="113"/>
            </w:pPr>
            <w:r>
              <w:rPr>
                <w:b w:val="0"/>
                <w:color w:val="5E5A52"/>
                <w:sz w:val="19"/>
              </w:rPr>
              <w:t>£600-£1,200/year</w:t>
            </w:r>
          </w:p>
        </w:tc>
      </w:tr>
      <w:tr>
        <w:tc>
          <w:tcPr>
            <w:tcW w:type="dxa" w:w="2351"/>
            <w:vAlign w:val="center"/>
            <w:tcW w:w="1440000" w:type="dxa"/>
          </w:tcPr>
          <w:p>
            <w:pPr>
              <w:spacing w:before="60" w:after="60"/>
              <w:ind w:left="113"/>
            </w:pPr>
            <w:r>
              <w:rPr>
                <w:b w:val="0"/>
                <w:color w:val="1A1917"/>
                <w:sz w:val="19"/>
              </w:rPr>
              <w:t>Public Liability</w:t>
            </w:r>
          </w:p>
        </w:tc>
        <w:tc>
          <w:tcPr>
            <w:tcW w:type="dxa" w:w="2351"/>
            <w:vAlign w:val="center"/>
            <w:tcW w:w="720000" w:type="dxa"/>
          </w:tcPr>
          <w:p>
            <w:pPr>
              <w:spacing w:before="60" w:after="60"/>
              <w:ind w:left="113"/>
            </w:pPr>
            <w:r>
              <w:rPr>
                <w:b w:val="0"/>
                <w:color w:val="5E5A52"/>
                <w:sz w:val="19"/>
              </w:rPr>
              <w:t>£1M</w:t>
            </w:r>
          </w:p>
        </w:tc>
        <w:tc>
          <w:tcPr>
            <w:tcW w:type="dxa" w:w="2351"/>
            <w:vAlign w:val="center"/>
            <w:tcW w:w="2880000" w:type="dxa"/>
          </w:tcPr>
          <w:p>
            <w:pPr>
              <w:spacing w:before="60" w:after="60"/>
              <w:ind w:left="113"/>
            </w:pPr>
            <w:r>
              <w:rPr>
                <w:b w:val="0"/>
                <w:color w:val="5E5A52"/>
                <w:sz w:val="19"/>
              </w:rPr>
              <w:t>Covers third-party injury/property damage (events, office)</w:t>
            </w:r>
          </w:p>
        </w:tc>
        <w:tc>
          <w:tcPr>
            <w:tcW w:type="dxa" w:w="2351"/>
            <w:vAlign w:val="center"/>
            <w:tcW w:w="1080000" w:type="dxa"/>
          </w:tcPr>
          <w:p>
            <w:pPr>
              <w:spacing w:before="60" w:after="60"/>
              <w:ind w:left="113"/>
            </w:pPr>
            <w:r>
              <w:rPr>
                <w:b w:val="0"/>
                <w:color w:val="5E5A52"/>
                <w:sz w:val="19"/>
              </w:rPr>
              <w:t>£200-£400/year</w:t>
            </w:r>
          </w:p>
        </w:tc>
      </w:tr>
      <w:tr>
        <w:tc>
          <w:tcPr>
            <w:tcW w:type="dxa" w:w="2351"/>
            <w:vAlign w:val="center"/>
            <w:tcW w:w="1440000" w:type="dxa"/>
            <w:shd w:val="clear" w:color="auto" w:fill="F8F7F4"/>
          </w:tcPr>
          <w:p>
            <w:pPr>
              <w:spacing w:before="60" w:after="60"/>
              <w:ind w:left="113"/>
            </w:pPr>
            <w:r>
              <w:rPr>
                <w:b w:val="0"/>
                <w:color w:val="1A1917"/>
                <w:sz w:val="19"/>
              </w:rPr>
              <w:t>Directors &amp; Officers (D&amp;O)</w:t>
            </w:r>
          </w:p>
        </w:tc>
        <w:tc>
          <w:tcPr>
            <w:tcW w:type="dxa" w:w="2351"/>
            <w:vAlign w:val="center"/>
            <w:tcW w:w="720000" w:type="dxa"/>
            <w:shd w:val="clear" w:color="auto" w:fill="F8F7F4"/>
          </w:tcPr>
          <w:p>
            <w:pPr>
              <w:spacing w:before="60" w:after="60"/>
              <w:ind w:left="113"/>
            </w:pPr>
            <w:r>
              <w:rPr>
                <w:b w:val="0"/>
                <w:color w:val="5E5A52"/>
                <w:sz w:val="19"/>
              </w:rPr>
              <w:t>£500K</w:t>
            </w:r>
          </w:p>
        </w:tc>
        <w:tc>
          <w:tcPr>
            <w:tcW w:type="dxa" w:w="2351"/>
            <w:vAlign w:val="center"/>
            <w:tcW w:w="2880000" w:type="dxa"/>
            <w:shd w:val="clear" w:color="auto" w:fill="F8F7F4"/>
          </w:tcPr>
          <w:p>
            <w:pPr>
              <w:spacing w:before="60" w:after="60"/>
              <w:ind w:left="113"/>
            </w:pPr>
            <w:r>
              <w:rPr>
                <w:b w:val="0"/>
                <w:color w:val="5E5A52"/>
                <w:sz w:val="19"/>
              </w:rPr>
              <w:t>Covers founder liability for company decisions — required by many investors</w:t>
            </w:r>
          </w:p>
        </w:tc>
        <w:tc>
          <w:tcPr>
            <w:tcW w:type="dxa" w:w="2351"/>
            <w:vAlign w:val="center"/>
            <w:tcW w:w="1080000" w:type="dxa"/>
            <w:shd w:val="clear" w:color="auto" w:fill="F8F7F4"/>
          </w:tcPr>
          <w:p>
            <w:pPr>
              <w:spacing w:before="60" w:after="60"/>
              <w:ind w:left="113"/>
            </w:pPr>
            <w:r>
              <w:rPr>
                <w:b w:val="0"/>
                <w:color w:val="5E5A52"/>
                <w:sz w:val="19"/>
              </w:rPr>
              <w:t>£500-£900/year</w:t>
            </w:r>
          </w:p>
        </w:tc>
      </w:tr>
      <w:tr>
        <w:tc>
          <w:tcPr>
            <w:tcW w:type="dxa" w:w="2351"/>
            <w:vAlign w:val="center"/>
            <w:tcW w:w="1440000" w:type="dxa"/>
          </w:tcPr>
          <w:p>
            <w:pPr>
              <w:spacing w:before="60" w:after="60"/>
              <w:ind w:left="113"/>
            </w:pPr>
            <w:r>
              <w:rPr>
                <w:b w:val="0"/>
                <w:color w:val="1A1917"/>
                <w:sz w:val="19"/>
              </w:rPr>
              <w:t>Employers Liability</w:t>
            </w:r>
          </w:p>
        </w:tc>
        <w:tc>
          <w:tcPr>
            <w:tcW w:type="dxa" w:w="2351"/>
            <w:vAlign w:val="center"/>
            <w:tcW w:w="720000" w:type="dxa"/>
          </w:tcPr>
          <w:p>
            <w:pPr>
              <w:spacing w:before="60" w:after="60"/>
              <w:ind w:left="113"/>
            </w:pPr>
            <w:r>
              <w:rPr>
                <w:b w:val="0"/>
                <w:color w:val="5E5A52"/>
                <w:sz w:val="19"/>
              </w:rPr>
              <w:t>£10M</w:t>
            </w:r>
          </w:p>
        </w:tc>
        <w:tc>
          <w:tcPr>
            <w:tcW w:type="dxa" w:w="2351"/>
            <w:vAlign w:val="center"/>
            <w:tcW w:w="2880000" w:type="dxa"/>
          </w:tcPr>
          <w:p>
            <w:pPr>
              <w:spacing w:before="60" w:after="60"/>
              <w:ind w:left="113"/>
            </w:pPr>
            <w:r>
              <w:rPr>
                <w:b w:val="0"/>
                <w:color w:val="5E5A52"/>
                <w:sz w:val="19"/>
              </w:rPr>
              <w:t>Legally required in UK once first employee is hired</w:t>
            </w:r>
          </w:p>
        </w:tc>
        <w:tc>
          <w:tcPr>
            <w:tcW w:type="dxa" w:w="2351"/>
            <w:vAlign w:val="center"/>
            <w:tcW w:w="1080000" w:type="dxa"/>
          </w:tcPr>
          <w:p>
            <w:pPr>
              <w:spacing w:before="60" w:after="60"/>
              <w:ind w:left="113"/>
            </w:pPr>
            <w:r>
              <w:rPr>
                <w:b w:val="0"/>
                <w:color w:val="5E5A52"/>
                <w:sz w:val="19"/>
              </w:rPr>
              <w:t>£200-£400/year</w:t>
            </w:r>
          </w:p>
        </w:tc>
      </w:tr>
    </w:tbl>
    <w:p/>
    <w:p>
      <w:pPr>
        <w:spacing w:after="120"/>
      </w:pPr>
      <w:r>
        <w:rPr>
          <w:i/>
          <w:color w:val="9E998F"/>
          <w:sz w:val="21"/>
        </w:rPr>
        <w:t>Total estimated annual insurance cost (Year 1): £2,300-£4,400. All policies to be placed by Month 2 via a specialist tech startup insurance broker (e.g., Superscript, Hiscox Start).</w:t>
      </w:r>
    </w:p>
    <w:p>
      <w:pPr>
        <w:spacing w:before="160" w:after="160"/>
        <w:pBdr>
          <w:bottom w:val="single" w:sz="4" w:space="1" w:color="D1CEC8"/>
        </w:pBdr>
      </w:pPr>
    </w:p>
    <w:p>
      <w:pPr>
        <w:pStyle w:val="Heading1"/>
        <w:spacing w:before="400" w:after="120"/>
      </w:pPr>
      <w:r>
        <w:rPr>
          <w:color w:val="1D9E75"/>
          <w:sz w:val="32"/>
        </w:rPr>
        <w:t>56. Short, Medium and Long-Term Goals</w:t>
      </w:r>
    </w:p>
    <w:p>
      <w:pPr>
        <w:pStyle w:val="Heading2"/>
        <w:spacing w:before="240" w:after="80"/>
      </w:pPr>
      <w:r>
        <w:rPr>
          <w:color w:val="1A1917"/>
          <w:sz w:val="26"/>
        </w:rPr>
        <w:t>Short-term (0-12 months)</w:t>
      </w:r>
    </w:p>
    <w:p>
      <w:pPr>
        <w:pStyle w:val="ListBullet"/>
        <w:spacing w:after="60"/>
        <w:ind w:left="283"/>
      </w:pPr>
      <w:r>
        <w:rPr>
          <w:color w:val="5E5A52"/>
          <w:sz w:val="21"/>
        </w:rPr>
        <w:t>Incorporate PropPilot Ltd and open business bank account (Month 1).</w:t>
      </w:r>
    </w:p>
    <w:p>
      <w:pPr>
        <w:pStyle w:val="ListBullet"/>
        <w:spacing w:after="60"/>
        <w:ind w:left="283"/>
      </w:pPr>
      <w:r>
        <w:rPr>
          <w:color w:val="5E5A52"/>
          <w:sz w:val="21"/>
        </w:rPr>
        <w:t>Close seed round of £500,000 (Month 4 target).</w:t>
      </w:r>
    </w:p>
    <w:p>
      <w:pPr>
        <w:pStyle w:val="ListBullet"/>
        <w:spacing w:after="60"/>
        <w:ind w:left="283"/>
      </w:pPr>
      <w:r>
        <w:rPr>
          <w:color w:val="5E5A52"/>
          <w:sz w:val="21"/>
        </w:rPr>
        <w:t>Launch Stripe payments and acquire first 100 paying subscribers (Month 3).</w:t>
      </w:r>
    </w:p>
    <w:p>
      <w:pPr>
        <w:pStyle w:val="ListBullet"/>
        <w:spacing w:after="60"/>
        <w:ind w:left="283"/>
      </w:pPr>
      <w:r>
        <w:rPr>
          <w:color w:val="5E5A52"/>
          <w:sz w:val="21"/>
        </w:rPr>
        <w:t>Build and onboard 10 vetted professional services partners (Month 6).</w:t>
      </w:r>
    </w:p>
    <w:p>
      <w:pPr>
        <w:pStyle w:val="ListBullet"/>
        <w:spacing w:after="60"/>
        <w:ind w:left="283"/>
      </w:pPr>
      <w:r>
        <w:rPr>
          <w:color w:val="5E5A52"/>
          <w:sz w:val="21"/>
        </w:rPr>
        <w:t>Reach £10,000 MRR (Month 9 target).</w:t>
      </w:r>
    </w:p>
    <w:p>
      <w:pPr>
        <w:pStyle w:val="ListBullet"/>
        <w:spacing w:after="60"/>
        <w:ind w:left="283"/>
      </w:pPr>
      <w:r>
        <w:rPr>
          <w:color w:val="5E5A52"/>
          <w:sz w:val="21"/>
        </w:rPr>
        <w:t>Achieve 5,000 registered users and 800 paid subscribers by Month 12.</w:t>
      </w:r>
    </w:p>
    <w:p>
      <w:pPr>
        <w:pStyle w:val="Heading2"/>
        <w:spacing w:before="240" w:after="80"/>
      </w:pPr>
      <w:r>
        <w:rPr>
          <w:color w:val="1A1917"/>
          <w:sz w:val="26"/>
        </w:rPr>
        <w:t>Medium-term (12-36 months)</w:t>
      </w:r>
    </w:p>
    <w:p>
      <w:pPr>
        <w:pStyle w:val="ListBullet"/>
        <w:spacing w:after="60"/>
        <w:ind w:left="283"/>
      </w:pPr>
      <w:r>
        <w:rPr>
          <w:color w:val="5E5A52"/>
          <w:sz w:val="21"/>
        </w:rPr>
        <w:t>Close Series A of £1.5M (Month 18 target) based on demonstrated MRR and growth.</w:t>
      </w:r>
    </w:p>
    <w:p>
      <w:pPr>
        <w:pStyle w:val="ListBullet"/>
        <w:spacing w:after="60"/>
        <w:ind w:left="283"/>
      </w:pPr>
      <w:r>
        <w:rPr>
          <w:color w:val="5E5A52"/>
          <w:sz w:val="21"/>
        </w:rPr>
        <w:t>Launch mobile app on iOS and Android (Month 9).</w:t>
      </w:r>
    </w:p>
    <w:p>
      <w:pPr>
        <w:pStyle w:val="ListBullet"/>
        <w:spacing w:after="60"/>
        <w:ind w:left="283"/>
      </w:pPr>
      <w:r>
        <w:rPr>
          <w:color w:val="5E5A52"/>
          <w:sz w:val="21"/>
        </w:rPr>
        <w:t>Reach £50,000 MRR (Month 24 target).</w:t>
      </w:r>
    </w:p>
    <w:p>
      <w:pPr>
        <w:pStyle w:val="ListBullet"/>
        <w:spacing w:after="60"/>
        <w:ind w:left="283"/>
      </w:pPr>
      <w:r>
        <w:rPr>
          <w:color w:val="5E5A52"/>
          <w:sz w:val="21"/>
        </w:rPr>
        <w:t>Launch estate agent white-label API (Month 15).</w:t>
      </w:r>
    </w:p>
    <w:p>
      <w:pPr>
        <w:pStyle w:val="ListBullet"/>
        <w:spacing w:after="60"/>
        <w:ind w:left="283"/>
      </w:pPr>
      <w:r>
        <w:rPr>
          <w:color w:val="5E5A52"/>
          <w:sz w:val="21"/>
        </w:rPr>
        <w:t>Onboard 20 B2B estate agent or broker partners (Month 24).</w:t>
      </w:r>
    </w:p>
    <w:p>
      <w:pPr>
        <w:pStyle w:val="ListBullet"/>
        <w:spacing w:after="60"/>
        <w:ind w:left="283"/>
      </w:pPr>
      <w:r>
        <w:rPr>
          <w:color w:val="5E5A52"/>
          <w:sz w:val="21"/>
        </w:rPr>
        <w:t>Achieve 25,000 registered users and 3,500 paid subscribers by Month 24.</w:t>
      </w:r>
    </w:p>
    <w:p>
      <w:pPr>
        <w:pStyle w:val="Heading2"/>
        <w:spacing w:before="240" w:after="80"/>
      </w:pPr>
      <w:r>
        <w:rPr>
          <w:color w:val="1A1917"/>
          <w:sz w:val="26"/>
        </w:rPr>
        <w:t>Long-term (36+ months)</w:t>
      </w:r>
    </w:p>
    <w:p>
      <w:pPr>
        <w:pStyle w:val="ListBullet"/>
        <w:spacing w:after="60"/>
        <w:ind w:left="283"/>
      </w:pPr>
      <w:r>
        <w:rPr>
          <w:color w:val="5E5A52"/>
          <w:sz w:val="21"/>
        </w:rPr>
        <w:t>Reach £200,000 MRR (Month 36 target).</w:t>
      </w:r>
    </w:p>
    <w:p>
      <w:pPr>
        <w:pStyle w:val="ListBullet"/>
        <w:spacing w:after="60"/>
        <w:ind w:left="283"/>
      </w:pPr>
      <w:r>
        <w:rPr>
          <w:color w:val="5E5A52"/>
          <w:sz w:val="21"/>
        </w:rPr>
        <w:t>Launch PropPilot Score B2B data API for lenders and insurers (Month 30).</w:t>
      </w:r>
    </w:p>
    <w:p>
      <w:pPr>
        <w:pStyle w:val="ListBullet"/>
        <w:spacing w:after="60"/>
        <w:ind w:left="283"/>
      </w:pPr>
      <w:r>
        <w:rPr>
          <w:color w:val="5E5A52"/>
          <w:sz w:val="21"/>
        </w:rPr>
        <w:t>Expand to Republic of Ireland (Month 36), Australia (Month 42).</w:t>
      </w:r>
    </w:p>
    <w:p>
      <w:pPr>
        <w:pStyle w:val="ListBullet"/>
        <w:spacing w:after="60"/>
        <w:ind w:left="283"/>
      </w:pPr>
      <w:r>
        <w:rPr>
          <w:color w:val="5E5A52"/>
          <w:sz w:val="21"/>
        </w:rPr>
        <w:t>Evaluate Series B or strategic acquisition by a major property portal or lender (Year 4-5).</w:t>
      </w:r>
    </w:p>
    <w:p>
      <w:pPr>
        <w:spacing w:before="160" w:after="160"/>
        <w:pBdr>
          <w:bottom w:val="single" w:sz="4" w:space="1" w:color="D1CEC8"/>
        </w:pBdr>
      </w:pPr>
    </w:p>
    <w:p>
      <w:r>
        <w:br w:type="page"/>
      </w:r>
    </w:p>
    <w:p>
      <w:pPr>
        <w:pStyle w:val="Heading1"/>
        <w:spacing w:before="400" w:after="120"/>
      </w:pPr>
      <w:r>
        <w:rPr>
          <w:color w:val="1D9E75"/>
          <w:sz w:val="32"/>
        </w:rPr>
        <w:t>57. Global Expansion Plan</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vAlign w:val="center"/>
            <w:tcW w:w="1080000" w:type="dxa"/>
            <w:shd w:val="clear" w:color="auto" w:fill="1D9E75"/>
          </w:tcPr>
          <w:p>
            <w:pPr>
              <w:spacing w:before="60" w:after="60"/>
              <w:ind w:left="113"/>
            </w:pPr>
            <w:r>
              <w:rPr>
                <w:b/>
                <w:color w:val="FFFFFF"/>
                <w:sz w:val="19"/>
              </w:rPr>
              <w:t>Market</w:t>
            </w:r>
          </w:p>
        </w:tc>
        <w:tc>
          <w:tcPr>
            <w:tcW w:type="dxa" w:w="1881"/>
            <w:vAlign w:val="center"/>
            <w:tcW w:w="900000" w:type="dxa"/>
            <w:shd w:val="clear" w:color="auto" w:fill="1D9E75"/>
          </w:tcPr>
          <w:p>
            <w:pPr>
              <w:spacing w:before="60" w:after="60"/>
              <w:ind w:left="113"/>
            </w:pPr>
            <w:r>
              <w:rPr>
                <w:b/>
                <w:color w:val="FFFFFF"/>
                <w:sz w:val="19"/>
              </w:rPr>
              <w:t>Timeline</w:t>
            </w:r>
          </w:p>
        </w:tc>
        <w:tc>
          <w:tcPr>
            <w:tcW w:type="dxa" w:w="1881"/>
            <w:vAlign w:val="center"/>
            <w:tcW w:w="1980000" w:type="dxa"/>
            <w:shd w:val="clear" w:color="auto" w:fill="1D9E75"/>
          </w:tcPr>
          <w:p>
            <w:pPr>
              <w:spacing w:before="60" w:after="60"/>
              <w:ind w:left="113"/>
            </w:pPr>
            <w:r>
              <w:rPr>
                <w:b/>
                <w:color w:val="FFFFFF"/>
                <w:sz w:val="19"/>
              </w:rPr>
              <w:t>Rationale</w:t>
            </w:r>
          </w:p>
        </w:tc>
        <w:tc>
          <w:tcPr>
            <w:tcW w:type="dxa" w:w="1881"/>
            <w:vAlign w:val="center"/>
            <w:tcW w:w="1260000" w:type="dxa"/>
            <w:shd w:val="clear" w:color="auto" w:fill="1D9E75"/>
          </w:tcPr>
          <w:p>
            <w:pPr>
              <w:spacing w:before="60" w:after="60"/>
              <w:ind w:left="113"/>
            </w:pPr>
            <w:r>
              <w:rPr>
                <w:b/>
                <w:color w:val="FFFFFF"/>
                <w:sz w:val="19"/>
              </w:rPr>
              <w:t>Market size (est.)</w:t>
            </w:r>
          </w:p>
        </w:tc>
        <w:tc>
          <w:tcPr>
            <w:tcW w:type="dxa" w:w="1881"/>
            <w:vAlign w:val="center"/>
            <w:tcW w:w="1440000" w:type="dxa"/>
            <w:shd w:val="clear" w:color="auto" w:fill="1D9E75"/>
          </w:tcPr>
          <w:p>
            <w:pPr>
              <w:spacing w:before="60" w:after="60"/>
              <w:ind w:left="113"/>
            </w:pPr>
            <w:r>
              <w:rPr>
                <w:b/>
                <w:color w:val="FFFFFF"/>
                <w:sz w:val="19"/>
              </w:rPr>
              <w:t>Entry strategy</w:t>
            </w:r>
          </w:p>
        </w:tc>
      </w:tr>
      <w:tr>
        <w:tc>
          <w:tcPr>
            <w:tcW w:type="dxa" w:w="1881"/>
            <w:vAlign w:val="center"/>
            <w:tcW w:w="1080000" w:type="dxa"/>
          </w:tcPr>
          <w:p>
            <w:pPr>
              <w:spacing w:before="60" w:after="60"/>
              <w:ind w:left="113"/>
            </w:pPr>
            <w:r>
              <w:rPr>
                <w:b w:val="0"/>
                <w:color w:val="1A1917"/>
                <w:sz w:val="19"/>
              </w:rPr>
              <w:t>Republic of Ireland</w:t>
            </w:r>
          </w:p>
        </w:tc>
        <w:tc>
          <w:tcPr>
            <w:tcW w:type="dxa" w:w="1881"/>
            <w:vAlign w:val="center"/>
            <w:tcW w:w="900000" w:type="dxa"/>
          </w:tcPr>
          <w:p>
            <w:pPr>
              <w:spacing w:before="60" w:after="60"/>
              <w:ind w:left="113"/>
            </w:pPr>
            <w:r>
              <w:rPr>
                <w:b w:val="0"/>
                <w:color w:val="5E5A52"/>
                <w:sz w:val="19"/>
              </w:rPr>
              <w:t>Month 36</w:t>
            </w:r>
          </w:p>
        </w:tc>
        <w:tc>
          <w:tcPr>
            <w:tcW w:type="dxa" w:w="1881"/>
            <w:vAlign w:val="center"/>
            <w:tcW w:w="1980000" w:type="dxa"/>
          </w:tcPr>
          <w:p>
            <w:pPr>
              <w:spacing w:before="60" w:after="60"/>
              <w:ind w:left="113"/>
            </w:pPr>
            <w:r>
              <w:rPr>
                <w:b w:val="0"/>
                <w:color w:val="5E5A52"/>
                <w:sz w:val="19"/>
              </w:rPr>
              <w:t>English language; similar property law; Property Services Regulatory Authority data open access</w:t>
            </w:r>
          </w:p>
        </w:tc>
        <w:tc>
          <w:tcPr>
            <w:tcW w:type="dxa" w:w="1881"/>
            <w:vAlign w:val="center"/>
            <w:tcW w:w="1260000" w:type="dxa"/>
          </w:tcPr>
          <w:p>
            <w:pPr>
              <w:spacing w:before="60" w:after="60"/>
              <w:ind w:left="113"/>
            </w:pPr>
            <w:r>
              <w:rPr>
                <w:b w:val="0"/>
                <w:color w:val="5E5A52"/>
                <w:sz w:val="19"/>
              </w:rPr>
              <w:t>€18B property market</w:t>
            </w:r>
          </w:p>
        </w:tc>
        <w:tc>
          <w:tcPr>
            <w:tcW w:type="dxa" w:w="1881"/>
            <w:vAlign w:val="center"/>
            <w:tcW w:w="1440000" w:type="dxa"/>
          </w:tcPr>
          <w:p>
            <w:pPr>
              <w:spacing w:before="60" w:after="60"/>
              <w:ind w:left="113"/>
            </w:pPr>
            <w:r>
              <w:rPr>
                <w:b w:val="0"/>
                <w:color w:val="5E5A52"/>
                <w:sz w:val="19"/>
              </w:rPr>
              <w:t>Localise data sources; adapt SDLT calculator to Irish stamp duty</w:t>
            </w:r>
          </w:p>
        </w:tc>
      </w:tr>
      <w:tr>
        <w:tc>
          <w:tcPr>
            <w:tcW w:type="dxa" w:w="1881"/>
            <w:vAlign w:val="center"/>
            <w:tcW w:w="1080000" w:type="dxa"/>
            <w:shd w:val="clear" w:color="auto" w:fill="F8F7F4"/>
          </w:tcPr>
          <w:p>
            <w:pPr>
              <w:spacing w:before="60" w:after="60"/>
              <w:ind w:left="113"/>
            </w:pPr>
            <w:r>
              <w:rPr>
                <w:b w:val="0"/>
                <w:color w:val="1A1917"/>
                <w:sz w:val="19"/>
              </w:rPr>
              <w:t>Australia</w:t>
            </w:r>
          </w:p>
        </w:tc>
        <w:tc>
          <w:tcPr>
            <w:tcW w:type="dxa" w:w="1881"/>
            <w:vAlign w:val="center"/>
            <w:tcW w:w="900000" w:type="dxa"/>
            <w:shd w:val="clear" w:color="auto" w:fill="F8F7F4"/>
          </w:tcPr>
          <w:p>
            <w:pPr>
              <w:spacing w:before="60" w:after="60"/>
              <w:ind w:left="113"/>
            </w:pPr>
            <w:r>
              <w:rPr>
                <w:b w:val="0"/>
                <w:color w:val="5E5A52"/>
                <w:sz w:val="19"/>
              </w:rPr>
              <w:t>Month 42</w:t>
            </w:r>
          </w:p>
        </w:tc>
        <w:tc>
          <w:tcPr>
            <w:tcW w:type="dxa" w:w="1881"/>
            <w:vAlign w:val="center"/>
            <w:tcW w:w="1980000" w:type="dxa"/>
            <w:shd w:val="clear" w:color="auto" w:fill="F8F7F4"/>
          </w:tcPr>
          <w:p>
            <w:pPr>
              <w:spacing w:before="60" w:after="60"/>
              <w:ind w:left="113"/>
            </w:pPr>
            <w:r>
              <w:rPr>
                <w:b w:val="0"/>
                <w:color w:val="5E5A52"/>
                <w:sz w:val="19"/>
              </w:rPr>
              <w:t>English language; strong open government property data (CoreLogic, ABS); mature proptech market</w:t>
            </w:r>
          </w:p>
        </w:tc>
        <w:tc>
          <w:tcPr>
            <w:tcW w:type="dxa" w:w="1881"/>
            <w:vAlign w:val="center"/>
            <w:tcW w:w="1260000" w:type="dxa"/>
            <w:shd w:val="clear" w:color="auto" w:fill="F8F7F4"/>
          </w:tcPr>
          <w:p>
            <w:pPr>
              <w:spacing w:before="60" w:after="60"/>
              <w:ind w:left="113"/>
            </w:pPr>
            <w:r>
              <w:rPr>
                <w:b w:val="0"/>
                <w:color w:val="5E5A52"/>
                <w:sz w:val="19"/>
              </w:rPr>
              <w:t>AUD 10.4T housing stock</w:t>
            </w:r>
          </w:p>
        </w:tc>
        <w:tc>
          <w:tcPr>
            <w:tcW w:type="dxa" w:w="1881"/>
            <w:vAlign w:val="center"/>
            <w:tcW w:w="1440000" w:type="dxa"/>
            <w:shd w:val="clear" w:color="auto" w:fill="F8F7F4"/>
          </w:tcPr>
          <w:p>
            <w:pPr>
              <w:spacing w:before="60" w:after="60"/>
              <w:ind w:left="113"/>
            </w:pPr>
            <w:r>
              <w:rPr>
                <w:b w:val="0"/>
                <w:color w:val="5E5A52"/>
                <w:sz w:val="19"/>
              </w:rPr>
              <w:t>Partner with Australian proptech; leverage RICS surveyor network</w:t>
            </w:r>
          </w:p>
        </w:tc>
      </w:tr>
      <w:tr>
        <w:tc>
          <w:tcPr>
            <w:tcW w:type="dxa" w:w="1881"/>
            <w:vAlign w:val="center"/>
            <w:tcW w:w="1080000" w:type="dxa"/>
          </w:tcPr>
          <w:p>
            <w:pPr>
              <w:spacing w:before="60" w:after="60"/>
              <w:ind w:left="113"/>
            </w:pPr>
            <w:r>
              <w:rPr>
                <w:b w:val="0"/>
                <w:color w:val="1A1917"/>
                <w:sz w:val="19"/>
              </w:rPr>
              <w:t>Canada</w:t>
            </w:r>
          </w:p>
        </w:tc>
        <w:tc>
          <w:tcPr>
            <w:tcW w:type="dxa" w:w="1881"/>
            <w:vAlign w:val="center"/>
            <w:tcW w:w="900000" w:type="dxa"/>
          </w:tcPr>
          <w:p>
            <w:pPr>
              <w:spacing w:before="60" w:after="60"/>
              <w:ind w:left="113"/>
            </w:pPr>
            <w:r>
              <w:rPr>
                <w:b w:val="0"/>
                <w:color w:val="5E5A52"/>
                <w:sz w:val="19"/>
              </w:rPr>
              <w:t>Month 48</w:t>
            </w:r>
          </w:p>
        </w:tc>
        <w:tc>
          <w:tcPr>
            <w:tcW w:type="dxa" w:w="1881"/>
            <w:vAlign w:val="center"/>
            <w:tcW w:w="1980000" w:type="dxa"/>
          </w:tcPr>
          <w:p>
            <w:pPr>
              <w:spacing w:before="60" w:after="60"/>
              <w:ind w:left="113"/>
            </w:pPr>
            <w:r>
              <w:rPr>
                <w:b w:val="0"/>
                <w:color w:val="5E5A52"/>
                <w:sz w:val="19"/>
              </w:rPr>
              <w:t>English/French; provincial property data APIs; CMHC open data programme</w:t>
            </w:r>
          </w:p>
        </w:tc>
        <w:tc>
          <w:tcPr>
            <w:tcW w:type="dxa" w:w="1881"/>
            <w:vAlign w:val="center"/>
            <w:tcW w:w="1260000" w:type="dxa"/>
          </w:tcPr>
          <w:p>
            <w:pPr>
              <w:spacing w:before="60" w:after="60"/>
              <w:ind w:left="113"/>
            </w:pPr>
            <w:r>
              <w:rPr>
                <w:b w:val="0"/>
                <w:color w:val="5E5A52"/>
                <w:sz w:val="19"/>
              </w:rPr>
              <w:t>CAD 5.1T housing market</w:t>
            </w:r>
          </w:p>
        </w:tc>
        <w:tc>
          <w:tcPr>
            <w:tcW w:type="dxa" w:w="1881"/>
            <w:vAlign w:val="center"/>
            <w:tcW w:w="1440000" w:type="dxa"/>
          </w:tcPr>
          <w:p>
            <w:pPr>
              <w:spacing w:before="60" w:after="60"/>
              <w:ind w:left="113"/>
            </w:pPr>
            <w:r>
              <w:rPr>
                <w:b w:val="0"/>
                <w:color w:val="5E5A52"/>
                <w:sz w:val="19"/>
              </w:rPr>
              <w:t>Province-by-province rollout starting Ontario and BC</w:t>
            </w:r>
          </w:p>
        </w:tc>
      </w:tr>
      <w:tr>
        <w:tc>
          <w:tcPr>
            <w:tcW w:type="dxa" w:w="1881"/>
            <w:vAlign w:val="center"/>
            <w:tcW w:w="1080000" w:type="dxa"/>
            <w:shd w:val="clear" w:color="auto" w:fill="F8F7F4"/>
          </w:tcPr>
          <w:p>
            <w:pPr>
              <w:spacing w:before="60" w:after="60"/>
              <w:ind w:left="113"/>
            </w:pPr>
            <w:r>
              <w:rPr>
                <w:b w:val="0"/>
                <w:color w:val="1A1917"/>
                <w:sz w:val="19"/>
              </w:rPr>
              <w:t>United States</w:t>
            </w:r>
          </w:p>
        </w:tc>
        <w:tc>
          <w:tcPr>
            <w:tcW w:type="dxa" w:w="1881"/>
            <w:vAlign w:val="center"/>
            <w:tcW w:w="900000" w:type="dxa"/>
            <w:shd w:val="clear" w:color="auto" w:fill="F8F7F4"/>
          </w:tcPr>
          <w:p>
            <w:pPr>
              <w:spacing w:before="60" w:after="60"/>
              <w:ind w:left="113"/>
            </w:pPr>
            <w:r>
              <w:rPr>
                <w:b w:val="0"/>
                <w:color w:val="5E5A52"/>
                <w:sz w:val="19"/>
              </w:rPr>
              <w:t>Month 54</w:t>
            </w:r>
          </w:p>
        </w:tc>
        <w:tc>
          <w:tcPr>
            <w:tcW w:type="dxa" w:w="1881"/>
            <w:vAlign w:val="center"/>
            <w:tcW w:w="1980000" w:type="dxa"/>
            <w:shd w:val="clear" w:color="auto" w:fill="F8F7F4"/>
          </w:tcPr>
          <w:p>
            <w:pPr>
              <w:spacing w:before="60" w:after="60"/>
              <w:ind w:left="113"/>
            </w:pPr>
            <w:r>
              <w:rPr>
                <w:b w:val="0"/>
                <w:color w:val="5E5A52"/>
                <w:sz w:val="19"/>
              </w:rPr>
              <w:t>Largest addressable market; complex state-by-state regulation</w:t>
            </w:r>
          </w:p>
        </w:tc>
        <w:tc>
          <w:tcPr>
            <w:tcW w:type="dxa" w:w="1881"/>
            <w:vAlign w:val="center"/>
            <w:tcW w:w="1260000" w:type="dxa"/>
            <w:shd w:val="clear" w:color="auto" w:fill="F8F7F4"/>
          </w:tcPr>
          <w:p>
            <w:pPr>
              <w:spacing w:before="60" w:after="60"/>
              <w:ind w:left="113"/>
            </w:pPr>
            <w:r>
              <w:rPr>
                <w:b w:val="0"/>
                <w:color w:val="5E5A52"/>
                <w:sz w:val="19"/>
              </w:rPr>
              <w:t>USD 45T housing stock</w:t>
            </w:r>
          </w:p>
        </w:tc>
        <w:tc>
          <w:tcPr>
            <w:tcW w:type="dxa" w:w="1881"/>
            <w:vAlign w:val="center"/>
            <w:tcW w:w="1440000" w:type="dxa"/>
            <w:shd w:val="clear" w:color="auto" w:fill="F8F7F4"/>
          </w:tcPr>
          <w:p>
            <w:pPr>
              <w:spacing w:before="60" w:after="60"/>
              <w:ind w:left="113"/>
            </w:pPr>
            <w:r>
              <w:rPr>
                <w:b w:val="0"/>
                <w:color w:val="5E5A52"/>
                <w:sz w:val="19"/>
              </w:rPr>
              <w:t>Raise Series C or partner with US proptech (Zillow, Redfin data)</w:t>
            </w:r>
          </w:p>
        </w:tc>
      </w:tr>
    </w:tbl>
    <w:p/>
    <w:p>
      <w:pPr>
        <w:spacing w:before="160" w:after="160"/>
        <w:pBdr>
          <w:bottom w:val="single" w:sz="4" w:space="1" w:color="D1CEC8"/>
        </w:pBdr>
      </w:pPr>
    </w:p>
    <w:p>
      <w:pPr>
        <w:pStyle w:val="Heading1"/>
        <w:spacing w:before="400" w:after="120"/>
      </w:pPr>
      <w:r>
        <w:rPr>
          <w:color w:val="1D9E75"/>
          <w:sz w:val="32"/>
        </w:rPr>
        <w:t>58. Contributions to the UK</w:t>
      </w:r>
    </w:p>
    <w:p>
      <w:pPr>
        <w:pStyle w:val="ListBullet"/>
        <w:spacing w:after="60"/>
        <w:ind w:left="283"/>
      </w:pPr>
      <w:r>
        <w:rPr>
          <w:color w:val="5E5A52"/>
          <w:sz w:val="21"/>
        </w:rPr>
        <w:t>Job creation: PropPilot targets creating 21 full-time jobs by end of Year 3, based in Manchester (primary) and London (sales). All roles paid at or above Manchester Living Wage.</w:t>
      </w:r>
    </w:p>
    <w:p>
      <w:pPr>
        <w:pStyle w:val="ListBullet"/>
        <w:spacing w:after="60"/>
        <w:ind w:left="283"/>
      </w:pPr>
      <w:r>
        <w:rPr>
          <w:color w:val="5E5A52"/>
          <w:sz w:val="21"/>
        </w:rPr>
        <w:t>Tax contribution: At £672K revenue (Year 2) with 19% Corporation Tax, PropPilot contributes approximately £48,000 in corporation tax. VAT registration at the £90,000 threshold adds further contribution.</w:t>
      </w:r>
    </w:p>
    <w:p>
      <w:pPr>
        <w:pStyle w:val="ListBullet"/>
        <w:spacing w:after="60"/>
        <w:ind w:left="283"/>
      </w:pPr>
      <w:r>
        <w:rPr>
          <w:color w:val="5E5A52"/>
          <w:sz w:val="21"/>
        </w:rPr>
        <w:t>Open data utilisation: PropPilot is a showcase for the value of the UK Government's open data programme — demonstrating commercial viability of publicly funded data assets.</w:t>
      </w:r>
    </w:p>
    <w:p>
      <w:pPr>
        <w:pStyle w:val="ListBullet"/>
        <w:spacing w:after="60"/>
        <w:ind w:left="283"/>
      </w:pPr>
      <w:r>
        <w:rPr>
          <w:color w:val="5E5A52"/>
          <w:sz w:val="21"/>
        </w:rPr>
        <w:t>Property market efficiency: By reducing information asymmetry between buyers and sellers, PropPilot contributes to a more efficient, transparent residential property market — supporting the Government's housing market reform agenda.</w:t>
      </w:r>
    </w:p>
    <w:p>
      <w:pPr>
        <w:pStyle w:val="ListBullet"/>
        <w:spacing w:after="60"/>
        <w:ind w:left="283"/>
      </w:pPr>
      <w:r>
        <w:rPr>
          <w:color w:val="5E5A52"/>
          <w:sz w:val="21"/>
        </w:rPr>
        <w:t>Financial inclusion: The free tier puts professional-grade property intelligence in the hands of first-time buyers who cannot afford a solicitor's initial advice. This is particularly impactful for buyers in underserved markets (Northern England, Midlands, Wales).</w:t>
      </w:r>
    </w:p>
    <w:p>
      <w:pPr>
        <w:pStyle w:val="ListBullet"/>
        <w:spacing w:after="60"/>
        <w:ind w:left="283"/>
      </w:pPr>
      <w:r>
        <w:rPr>
          <w:color w:val="5E5A52"/>
          <w:sz w:val="21"/>
        </w:rPr>
        <w:t>Proptech ecosystem: PropPilot contributes to Manchester's growing reputation as a proptech hub, complementing companies like Landmark Information, the Tenancy Deposit Scheme, and Panacea Software.</w:t>
      </w:r>
    </w:p>
    <w:p>
      <w:pPr>
        <w:spacing w:before="160" w:after="160"/>
        <w:pBdr>
          <w:bottom w:val="single" w:sz="4" w:space="1" w:color="D1CEC8"/>
        </w:pBdr>
      </w:pPr>
    </w:p>
    <w:p>
      <w:pPr>
        <w:pStyle w:val="Heading1"/>
        <w:spacing w:before="400" w:after="120"/>
      </w:pPr>
      <w:r>
        <w:rPr>
          <w:color w:val="1D9E75"/>
          <w:sz w:val="32"/>
        </w:rPr>
        <w:t>59. Exit Strategy</w:t>
      </w:r>
    </w:p>
    <w:p>
      <w:pPr>
        <w:pStyle w:val="Heading2"/>
        <w:spacing w:before="240" w:after="80"/>
      </w:pPr>
      <w:r>
        <w:rPr>
          <w:color w:val="1A1917"/>
          <w:sz w:val="26"/>
        </w:rPr>
        <w:t>Primary exit path: Strategic acquisition (Year 4-6)</w:t>
      </w:r>
    </w:p>
    <w:p>
      <w:pPr>
        <w:spacing w:after="120"/>
      </w:pPr>
      <w:r>
        <w:rPr>
          <w:i w:val="0"/>
          <w:color w:val="5E5A52"/>
          <w:sz w:val="21"/>
        </w:rPr>
        <w:t>PropPilot's most likely exit is a strategic acquisition by a major UK or global property platform that wishes to add consumer-facing property intelligence capabilities without building from scratch. Target acquirers:</w:t>
      </w:r>
    </w:p>
    <w:tbl>
      <w:tblPr>
        <w:tblStyle w:val="TableGrid"/>
        <w:tblW w:type="auto" w:w="0"/>
        <w:tblLook w:firstColumn="1" w:firstRow="1" w:lastColumn="0" w:lastRow="0" w:noHBand="0" w:noVBand="1" w:val="04A0"/>
      </w:tblPr>
      <w:tblGrid>
        <w:gridCol w:w="3135"/>
        <w:gridCol w:w="3135"/>
        <w:gridCol w:w="3135"/>
      </w:tblGrid>
      <w:tr>
        <w:tc>
          <w:tcPr>
            <w:tcW w:type="dxa" w:w="3135"/>
            <w:vAlign w:val="center"/>
            <w:tcW w:w="1440000" w:type="dxa"/>
            <w:shd w:val="clear" w:color="auto" w:fill="1D9E75"/>
          </w:tcPr>
          <w:p>
            <w:pPr>
              <w:spacing w:before="60" w:after="60"/>
              <w:ind w:left="113"/>
            </w:pPr>
            <w:r>
              <w:rPr>
                <w:b/>
                <w:color w:val="FFFFFF"/>
                <w:sz w:val="19"/>
              </w:rPr>
              <w:t>Potential acquirer</w:t>
            </w:r>
          </w:p>
        </w:tc>
        <w:tc>
          <w:tcPr>
            <w:tcW w:type="dxa" w:w="3135"/>
            <w:vAlign w:val="center"/>
            <w:tcW w:w="2340000" w:type="dxa"/>
            <w:shd w:val="clear" w:color="auto" w:fill="1D9E75"/>
          </w:tcPr>
          <w:p>
            <w:pPr>
              <w:spacing w:before="60" w:after="60"/>
              <w:ind w:left="113"/>
            </w:pPr>
            <w:r>
              <w:rPr>
                <w:b/>
                <w:color w:val="FFFFFF"/>
                <w:sz w:val="19"/>
              </w:rPr>
              <w:t>Strategic rationale</w:t>
            </w:r>
          </w:p>
        </w:tc>
        <w:tc>
          <w:tcPr>
            <w:tcW w:type="dxa" w:w="3135"/>
            <w:vAlign w:val="center"/>
            <w:tcW w:w="2340000" w:type="dxa"/>
            <w:shd w:val="clear" w:color="auto" w:fill="1D9E75"/>
          </w:tcPr>
          <w:p>
            <w:pPr>
              <w:spacing w:before="60" w:after="60"/>
              <w:ind w:left="113"/>
            </w:pPr>
            <w:r>
              <w:rPr>
                <w:b/>
                <w:color w:val="FFFFFF"/>
                <w:sz w:val="19"/>
              </w:rPr>
              <w:t>Acquisition precedent</w:t>
            </w:r>
          </w:p>
        </w:tc>
      </w:tr>
      <w:tr>
        <w:tc>
          <w:tcPr>
            <w:tcW w:type="dxa" w:w="3135"/>
            <w:vAlign w:val="center"/>
            <w:tcW w:w="1440000" w:type="dxa"/>
          </w:tcPr>
          <w:p>
            <w:pPr>
              <w:spacing w:before="60" w:after="60"/>
              <w:ind w:left="113"/>
            </w:pPr>
            <w:r>
              <w:rPr>
                <w:b w:val="0"/>
                <w:color w:val="1A1917"/>
                <w:sz w:val="19"/>
              </w:rPr>
              <w:t>Rightmove</w:t>
            </w:r>
          </w:p>
        </w:tc>
        <w:tc>
          <w:tcPr>
            <w:tcW w:type="dxa" w:w="3135"/>
            <w:vAlign w:val="center"/>
            <w:tcW w:w="2340000" w:type="dxa"/>
          </w:tcPr>
          <w:p>
            <w:pPr>
              <w:spacing w:before="60" w:after="60"/>
              <w:ind w:left="113"/>
            </w:pPr>
            <w:r>
              <w:rPr>
                <w:b w:val="0"/>
                <w:color w:val="5E5A52"/>
                <w:sz w:val="19"/>
              </w:rPr>
              <w:t>Add due diligence and owner tools to portal; reduce churn</w:t>
            </w:r>
          </w:p>
        </w:tc>
        <w:tc>
          <w:tcPr>
            <w:tcW w:type="dxa" w:w="3135"/>
            <w:vAlign w:val="center"/>
            <w:tcW w:w="2340000" w:type="dxa"/>
          </w:tcPr>
          <w:p>
            <w:pPr>
              <w:spacing w:before="60" w:after="60"/>
              <w:ind w:left="113"/>
            </w:pPr>
            <w:r>
              <w:rPr>
                <w:b w:val="0"/>
                <w:color w:val="5E5A52"/>
                <w:sz w:val="19"/>
              </w:rPr>
              <w:t>Rightmove acquired Van Mildert (data analytics) 2018</w:t>
            </w:r>
          </w:p>
        </w:tc>
      </w:tr>
      <w:tr>
        <w:tc>
          <w:tcPr>
            <w:tcW w:type="dxa" w:w="3135"/>
            <w:vAlign w:val="center"/>
            <w:tcW w:w="1440000" w:type="dxa"/>
            <w:shd w:val="clear" w:color="auto" w:fill="F8F7F4"/>
          </w:tcPr>
          <w:p>
            <w:pPr>
              <w:spacing w:before="60" w:after="60"/>
              <w:ind w:left="113"/>
            </w:pPr>
            <w:r>
              <w:rPr>
                <w:b w:val="0"/>
                <w:color w:val="1A1917"/>
                <w:sz w:val="19"/>
              </w:rPr>
              <w:t>Zoopla / Silver Lake</w:t>
            </w:r>
          </w:p>
        </w:tc>
        <w:tc>
          <w:tcPr>
            <w:tcW w:type="dxa" w:w="3135"/>
            <w:vAlign w:val="center"/>
            <w:tcW w:w="2340000" w:type="dxa"/>
            <w:shd w:val="clear" w:color="auto" w:fill="F8F7F4"/>
          </w:tcPr>
          <w:p>
            <w:pPr>
              <w:spacing w:before="60" w:after="60"/>
              <w:ind w:left="113"/>
            </w:pPr>
            <w:r>
              <w:rPr>
                <w:b w:val="0"/>
                <w:color w:val="5E5A52"/>
                <w:sz w:val="19"/>
              </w:rPr>
              <w:t>Complement listing platform with post-discovery tools</w:t>
            </w:r>
          </w:p>
        </w:tc>
        <w:tc>
          <w:tcPr>
            <w:tcW w:type="dxa" w:w="3135"/>
            <w:vAlign w:val="center"/>
            <w:tcW w:w="2340000" w:type="dxa"/>
            <w:shd w:val="clear" w:color="auto" w:fill="F8F7F4"/>
          </w:tcPr>
          <w:p>
            <w:pPr>
              <w:spacing w:before="60" w:after="60"/>
              <w:ind w:left="113"/>
            </w:pPr>
            <w:r>
              <w:rPr>
                <w:b w:val="0"/>
                <w:color w:val="5E5A52"/>
                <w:sz w:val="19"/>
              </w:rPr>
              <w:t>Zoopla acquired Hometrack 2018 (£120M)</w:t>
            </w:r>
          </w:p>
        </w:tc>
      </w:tr>
      <w:tr>
        <w:tc>
          <w:tcPr>
            <w:tcW w:type="dxa" w:w="3135"/>
            <w:vAlign w:val="center"/>
            <w:tcW w:w="1440000" w:type="dxa"/>
          </w:tcPr>
          <w:p>
            <w:pPr>
              <w:spacing w:before="60" w:after="60"/>
              <w:ind w:left="113"/>
            </w:pPr>
            <w:r>
              <w:rPr>
                <w:b w:val="0"/>
                <w:color w:val="1A1917"/>
                <w:sz w:val="19"/>
              </w:rPr>
              <w:t>REA Group (Australia)</w:t>
            </w:r>
          </w:p>
        </w:tc>
        <w:tc>
          <w:tcPr>
            <w:tcW w:type="dxa" w:w="3135"/>
            <w:vAlign w:val="center"/>
            <w:tcW w:w="2340000" w:type="dxa"/>
          </w:tcPr>
          <w:p>
            <w:pPr>
              <w:spacing w:before="60" w:after="60"/>
              <w:ind w:left="113"/>
            </w:pPr>
            <w:r>
              <w:rPr>
                <w:b w:val="0"/>
                <w:color w:val="5E5A52"/>
                <w:sz w:val="19"/>
              </w:rPr>
              <w:t>UK expansion strategy; PropPilot as UK consumer data product</w:t>
            </w:r>
          </w:p>
        </w:tc>
        <w:tc>
          <w:tcPr>
            <w:tcW w:type="dxa" w:w="3135"/>
            <w:vAlign w:val="center"/>
            <w:tcW w:w="2340000" w:type="dxa"/>
          </w:tcPr>
          <w:p>
            <w:pPr>
              <w:spacing w:before="60" w:after="60"/>
              <w:ind w:left="113"/>
            </w:pPr>
            <w:r>
              <w:rPr>
                <w:b w:val="0"/>
                <w:color w:val="5E5A52"/>
                <w:sz w:val="19"/>
              </w:rPr>
              <w:t>REA acquired Mortgage Choice (AUD 244M) 2021</w:t>
            </w:r>
          </w:p>
        </w:tc>
      </w:tr>
      <w:tr>
        <w:tc>
          <w:tcPr>
            <w:tcW w:type="dxa" w:w="3135"/>
            <w:vAlign w:val="center"/>
            <w:tcW w:w="1440000" w:type="dxa"/>
            <w:shd w:val="clear" w:color="auto" w:fill="F8F7F4"/>
          </w:tcPr>
          <w:p>
            <w:pPr>
              <w:spacing w:before="60" w:after="60"/>
              <w:ind w:left="113"/>
            </w:pPr>
            <w:r>
              <w:rPr>
                <w:b w:val="0"/>
                <w:color w:val="1A1917"/>
                <w:sz w:val="19"/>
              </w:rPr>
              <w:t>Aviva / Legal &amp; General</w:t>
            </w:r>
          </w:p>
        </w:tc>
        <w:tc>
          <w:tcPr>
            <w:tcW w:type="dxa" w:w="3135"/>
            <w:vAlign w:val="center"/>
            <w:tcW w:w="2340000" w:type="dxa"/>
            <w:shd w:val="clear" w:color="auto" w:fill="F8F7F4"/>
          </w:tcPr>
          <w:p>
            <w:pPr>
              <w:spacing w:before="60" w:after="60"/>
              <w:ind w:left="113"/>
            </w:pPr>
            <w:r>
              <w:rPr>
                <w:b w:val="0"/>
                <w:color w:val="5E5A52"/>
                <w:sz w:val="19"/>
              </w:rPr>
              <w:t>Insurance underwriting use of PropPilot Score; distribution</w:t>
            </w:r>
          </w:p>
        </w:tc>
        <w:tc>
          <w:tcPr>
            <w:tcW w:type="dxa" w:w="3135"/>
            <w:vAlign w:val="center"/>
            <w:tcW w:w="2340000" w:type="dxa"/>
            <w:shd w:val="clear" w:color="auto" w:fill="F8F7F4"/>
          </w:tcPr>
          <w:p>
            <w:pPr>
              <w:spacing w:before="60" w:after="60"/>
              <w:ind w:left="113"/>
            </w:pPr>
            <w:r>
              <w:rPr>
                <w:b w:val="0"/>
                <w:color w:val="5E5A52"/>
                <w:sz w:val="19"/>
              </w:rPr>
              <w:t>Aviva invested in Laka (proptech) 2021</w:t>
            </w:r>
          </w:p>
        </w:tc>
      </w:tr>
      <w:tr>
        <w:tc>
          <w:tcPr>
            <w:tcW w:type="dxa" w:w="3135"/>
            <w:vAlign w:val="center"/>
            <w:tcW w:w="1440000" w:type="dxa"/>
          </w:tcPr>
          <w:p>
            <w:pPr>
              <w:spacing w:before="60" w:after="60"/>
              <w:ind w:left="113"/>
            </w:pPr>
            <w:r>
              <w:rPr>
                <w:b w:val="0"/>
                <w:color w:val="1A1917"/>
                <w:sz w:val="19"/>
              </w:rPr>
              <w:t>Lloyds / Halifax</w:t>
            </w:r>
          </w:p>
        </w:tc>
        <w:tc>
          <w:tcPr>
            <w:tcW w:type="dxa" w:w="3135"/>
            <w:vAlign w:val="center"/>
            <w:tcW w:w="2340000" w:type="dxa"/>
          </w:tcPr>
          <w:p>
            <w:pPr>
              <w:spacing w:before="60" w:after="60"/>
              <w:ind w:left="113"/>
            </w:pPr>
            <w:r>
              <w:rPr>
                <w:b w:val="0"/>
                <w:color w:val="5E5A52"/>
                <w:sz w:val="19"/>
              </w:rPr>
              <w:t>Mortgage origination: remortgage radar + property intelligence</w:t>
            </w:r>
          </w:p>
        </w:tc>
        <w:tc>
          <w:tcPr>
            <w:tcW w:type="dxa" w:w="3135"/>
            <w:vAlign w:val="center"/>
            <w:tcW w:w="2340000" w:type="dxa"/>
          </w:tcPr>
          <w:p>
            <w:pPr>
              <w:spacing w:before="60" w:after="60"/>
              <w:ind w:left="113"/>
            </w:pPr>
            <w:r>
              <w:rPr>
                <w:b w:val="0"/>
                <w:color w:val="5E5A52"/>
                <w:sz w:val="19"/>
              </w:rPr>
              <w:t>Lloyds acquired HSBC's UK branch network (indirect)</w:t>
            </w:r>
          </w:p>
        </w:tc>
      </w:tr>
    </w:tbl>
    <w:p/>
    <w:p>
      <w:pPr>
        <w:pStyle w:val="Heading2"/>
        <w:spacing w:before="240" w:after="80"/>
      </w:pPr>
      <w:r>
        <w:rPr>
          <w:color w:val="1A1917"/>
          <w:sz w:val="26"/>
        </w:rPr>
        <w:t>Secondary exit path: IPO (Year 7+)</w:t>
      </w:r>
    </w:p>
    <w:p>
      <w:pPr>
        <w:spacing w:after="120"/>
      </w:pPr>
      <w:r>
        <w:rPr>
          <w:i w:val="0"/>
          <w:color w:val="5E5A52"/>
          <w:sz w:val="21"/>
        </w:rPr>
        <w:t>If PropPilot achieves £5M+ ARR, positive EBITDA, and a clear path to £20M+ ARR, a London AIM listing or NASDAQ listing is a viable secondary exit path. PropTech comparables: Purplebricks (AIM, 2015), Rightmove (LSE, 2006).</w:t>
      </w:r>
    </w:p>
    <w:p>
      <w:pPr>
        <w:pStyle w:val="Heading2"/>
        <w:spacing w:before="240" w:after="80"/>
      </w:pPr>
      <w:r>
        <w:rPr>
          <w:color w:val="1A1917"/>
          <w:sz w:val="26"/>
        </w:rPr>
        <w:t>Investor return target</w:t>
      </w:r>
    </w:p>
    <w:p>
      <w:pPr>
        <w:spacing w:after="120"/>
      </w:pPr>
      <w:r>
        <w:rPr>
          <w:i w:val="0"/>
          <w:color w:val="5E5A52"/>
          <w:sz w:val="21"/>
        </w:rPr>
        <w:t>Based on a seed valuation of £2.5M (post-money) and a target exit valuation of £25-50M (10-20× revenue at Year 5 ARR of £2.5M), seed investors can expect a 10-20× return on invested capital. SEIS/EIS relief increases the effective IRR for UK angel investors.</w:t>
      </w:r>
    </w:p>
    <w:p>
      <w:pPr>
        <w:spacing w:before="160" w:after="160"/>
        <w:pBdr>
          <w:bottom w:val="single" w:sz="4" w:space="1" w:color="D1CEC8"/>
        </w:pBdr>
      </w:pPr>
    </w:p>
    <w:p>
      <w:r>
        <w:br w:type="page"/>
      </w:r>
    </w:p>
    <w:p>
      <w:pPr>
        <w:pStyle w:val="Heading1"/>
        <w:spacing w:before="400" w:after="120"/>
      </w:pPr>
      <w:r>
        <w:rPr>
          <w:color w:val="1D9E75"/>
          <w:sz w:val="32"/>
        </w:rPr>
        <w:t>60. Operational Plan — Year 1 (Monthly)</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vAlign w:val="center"/>
            <w:tcW w:w="540000" w:type="dxa"/>
            <w:shd w:val="clear" w:color="auto" w:fill="1D9E75"/>
          </w:tcPr>
          <w:p>
            <w:pPr>
              <w:spacing w:before="60" w:after="60"/>
              <w:ind w:left="113"/>
            </w:pPr>
            <w:r>
              <w:rPr>
                <w:b/>
                <w:color w:val="FFFFFF"/>
                <w:sz w:val="19"/>
              </w:rPr>
              <w:t>Month</w:t>
            </w:r>
          </w:p>
        </w:tc>
        <w:tc>
          <w:tcPr>
            <w:tcW w:type="dxa" w:w="1881"/>
            <w:vAlign w:val="center"/>
            <w:tcW w:w="1800000" w:type="dxa"/>
            <w:shd w:val="clear" w:color="auto" w:fill="1D9E75"/>
          </w:tcPr>
          <w:p>
            <w:pPr>
              <w:spacing w:before="60" w:after="60"/>
              <w:ind w:left="113"/>
            </w:pPr>
            <w:r>
              <w:rPr>
                <w:b/>
                <w:color w:val="FFFFFF"/>
                <w:sz w:val="19"/>
              </w:rPr>
              <w:t>Engineering</w:t>
            </w:r>
          </w:p>
        </w:tc>
        <w:tc>
          <w:tcPr>
            <w:tcW w:type="dxa" w:w="1881"/>
            <w:vAlign w:val="center"/>
            <w:tcW w:w="1620000" w:type="dxa"/>
            <w:shd w:val="clear" w:color="auto" w:fill="1D9E75"/>
          </w:tcPr>
          <w:p>
            <w:pPr>
              <w:spacing w:before="60" w:after="60"/>
              <w:ind w:left="113"/>
            </w:pPr>
            <w:r>
              <w:rPr>
                <w:b/>
                <w:color w:val="FFFFFF"/>
                <w:sz w:val="19"/>
              </w:rPr>
              <w:t>Marketing / Growth</w:t>
            </w:r>
          </w:p>
        </w:tc>
        <w:tc>
          <w:tcPr>
            <w:tcW w:type="dxa" w:w="1881"/>
            <w:vAlign w:val="center"/>
            <w:tcW w:w="1440000" w:type="dxa"/>
            <w:shd w:val="clear" w:color="auto" w:fill="1D9E75"/>
          </w:tcPr>
          <w:p>
            <w:pPr>
              <w:spacing w:before="60" w:after="60"/>
              <w:ind w:left="113"/>
            </w:pPr>
            <w:r>
              <w:rPr>
                <w:b/>
                <w:color w:val="FFFFFF"/>
                <w:sz w:val="19"/>
              </w:rPr>
              <w:t>Operations / BD</w:t>
            </w:r>
          </w:p>
        </w:tc>
        <w:tc>
          <w:tcPr>
            <w:tcW w:type="dxa" w:w="1881"/>
            <w:vAlign w:val="center"/>
            <w:tcW w:w="1260000" w:type="dxa"/>
            <w:shd w:val="clear" w:color="auto" w:fill="1D9E75"/>
          </w:tcPr>
          <w:p>
            <w:pPr>
              <w:spacing w:before="60" w:after="60"/>
              <w:ind w:left="113"/>
            </w:pPr>
            <w:r>
              <w:rPr>
                <w:b/>
                <w:color w:val="FFFFFF"/>
                <w:sz w:val="19"/>
              </w:rPr>
              <w:t>Financial milestone</w:t>
            </w:r>
          </w:p>
        </w:tc>
      </w:tr>
      <w:tr>
        <w:tc>
          <w:tcPr>
            <w:tcW w:type="dxa" w:w="1881"/>
            <w:vAlign w:val="center"/>
            <w:tcW w:w="540000" w:type="dxa"/>
          </w:tcPr>
          <w:p>
            <w:pPr>
              <w:spacing w:before="60" w:after="60"/>
              <w:ind w:left="113"/>
            </w:pPr>
            <w:r>
              <w:rPr>
                <w:b w:val="0"/>
                <w:color w:val="1A1917"/>
                <w:sz w:val="19"/>
              </w:rPr>
              <w:t>1</w:t>
            </w:r>
          </w:p>
        </w:tc>
        <w:tc>
          <w:tcPr>
            <w:tcW w:type="dxa" w:w="1881"/>
            <w:vAlign w:val="center"/>
            <w:tcW w:w="1800000" w:type="dxa"/>
          </w:tcPr>
          <w:p>
            <w:pPr>
              <w:spacing w:before="60" w:after="60"/>
              <w:ind w:left="113"/>
            </w:pPr>
            <w:r>
              <w:rPr>
                <w:b w:val="0"/>
                <w:color w:val="5E5A52"/>
                <w:sz w:val="19"/>
              </w:rPr>
              <w:t>Supabase schema design; begin Stripe integration; ICO registration</w:t>
            </w:r>
          </w:p>
        </w:tc>
        <w:tc>
          <w:tcPr>
            <w:tcW w:type="dxa" w:w="1881"/>
            <w:vAlign w:val="center"/>
            <w:tcW w:w="1620000" w:type="dxa"/>
          </w:tcPr>
          <w:p>
            <w:pPr>
              <w:spacing w:before="60" w:after="60"/>
              <w:ind w:left="113"/>
            </w:pPr>
            <w:r>
              <w:rPr>
                <w:b w:val="0"/>
                <w:color w:val="5E5A52"/>
                <w:sz w:val="19"/>
              </w:rPr>
              <w:t>Launch blog; publish first 5 SEO articles; LinkedIn outreach begins</w:t>
            </w:r>
          </w:p>
        </w:tc>
        <w:tc>
          <w:tcPr>
            <w:tcW w:type="dxa" w:w="1881"/>
            <w:vAlign w:val="center"/>
            <w:tcW w:w="1440000" w:type="dxa"/>
          </w:tcPr>
          <w:p>
            <w:pPr>
              <w:spacing w:before="60" w:after="60"/>
              <w:ind w:left="113"/>
            </w:pPr>
            <w:r>
              <w:rPr>
                <w:b w:val="0"/>
                <w:color w:val="5E5A52"/>
                <w:sz w:val="19"/>
              </w:rPr>
              <w:t>Incorporate Ltd; open Tide bank account; PI + cyber insurance</w:t>
            </w:r>
          </w:p>
        </w:tc>
        <w:tc>
          <w:tcPr>
            <w:tcW w:type="dxa" w:w="1881"/>
            <w:vAlign w:val="center"/>
            <w:tcW w:w="1260000" w:type="dxa"/>
          </w:tcPr>
          <w:p>
            <w:pPr>
              <w:spacing w:before="60" w:after="60"/>
              <w:ind w:left="113"/>
            </w:pPr>
            <w:r>
              <w:rPr>
                <w:b w:val="0"/>
                <w:color w:val="5E5A52"/>
                <w:sz w:val="19"/>
              </w:rPr>
              <w:t>Seed pitch deck complete; first investor meetings</w:t>
            </w:r>
          </w:p>
        </w:tc>
      </w:tr>
      <w:tr>
        <w:tc>
          <w:tcPr>
            <w:tcW w:type="dxa" w:w="1881"/>
            <w:vAlign w:val="center"/>
            <w:tcW w:w="540000" w:type="dxa"/>
            <w:shd w:val="clear" w:color="auto" w:fill="F8F7F4"/>
          </w:tcPr>
          <w:p>
            <w:pPr>
              <w:spacing w:before="60" w:after="60"/>
              <w:ind w:left="113"/>
            </w:pPr>
            <w:r>
              <w:rPr>
                <w:b w:val="0"/>
                <w:color w:val="1A1917"/>
                <w:sz w:val="19"/>
              </w:rPr>
              <w:t>2</w:t>
            </w:r>
          </w:p>
        </w:tc>
        <w:tc>
          <w:tcPr>
            <w:tcW w:type="dxa" w:w="1881"/>
            <w:vAlign w:val="center"/>
            <w:tcW w:w="1800000" w:type="dxa"/>
            <w:shd w:val="clear" w:color="auto" w:fill="F8F7F4"/>
          </w:tcPr>
          <w:p>
            <w:pPr>
              <w:spacing w:before="60" w:after="60"/>
              <w:ind w:left="113"/>
            </w:pPr>
            <w:r>
              <w:rPr>
                <w:b w:val="0"/>
                <w:color w:val="5E5A52"/>
                <w:sz w:val="19"/>
              </w:rPr>
              <w:t>Stripe Checkout + webhooks live; Resend email system; cookie consent CMP</w:t>
            </w:r>
          </w:p>
        </w:tc>
        <w:tc>
          <w:tcPr>
            <w:tcW w:type="dxa" w:w="1881"/>
            <w:vAlign w:val="center"/>
            <w:tcW w:w="1620000" w:type="dxa"/>
            <w:shd w:val="clear" w:color="auto" w:fill="F8F7F4"/>
          </w:tcPr>
          <w:p>
            <w:pPr>
              <w:spacing w:before="60" w:after="60"/>
              <w:ind w:left="113"/>
            </w:pPr>
            <w:r>
              <w:rPr>
                <w:b w:val="0"/>
                <w:color w:val="5E5A52"/>
                <w:sz w:val="19"/>
              </w:rPr>
              <w:t>ProductHunt teaser; waitlist email campaign; Reddit engagement</w:t>
            </w:r>
          </w:p>
        </w:tc>
        <w:tc>
          <w:tcPr>
            <w:tcW w:type="dxa" w:w="1881"/>
            <w:vAlign w:val="center"/>
            <w:tcW w:w="1440000" w:type="dxa"/>
            <w:shd w:val="clear" w:color="auto" w:fill="F8F7F4"/>
          </w:tcPr>
          <w:p>
            <w:pPr>
              <w:spacing w:before="60" w:after="60"/>
              <w:ind w:left="113"/>
            </w:pPr>
            <w:r>
              <w:rPr>
                <w:b w:val="0"/>
                <w:color w:val="5E5A52"/>
                <w:sz w:val="19"/>
              </w:rPr>
              <w:t>Onboard first 2 professional services partners (solicitor + surveyor)</w:t>
            </w:r>
          </w:p>
        </w:tc>
        <w:tc>
          <w:tcPr>
            <w:tcW w:type="dxa" w:w="1881"/>
            <w:vAlign w:val="center"/>
            <w:tcW w:w="1260000" w:type="dxa"/>
            <w:shd w:val="clear" w:color="auto" w:fill="F8F7F4"/>
          </w:tcPr>
          <w:p>
            <w:pPr>
              <w:spacing w:before="60" w:after="60"/>
              <w:ind w:left="113"/>
            </w:pPr>
            <w:r>
              <w:rPr>
                <w:b w:val="0"/>
                <w:color w:val="5E5A52"/>
                <w:sz w:val="19"/>
              </w:rPr>
              <w:t>First test Stripe payment; insurance in place</w:t>
            </w:r>
          </w:p>
        </w:tc>
      </w:tr>
      <w:tr>
        <w:tc>
          <w:tcPr>
            <w:tcW w:type="dxa" w:w="1881"/>
            <w:vAlign w:val="center"/>
            <w:tcW w:w="540000" w:type="dxa"/>
          </w:tcPr>
          <w:p>
            <w:pPr>
              <w:spacing w:before="60" w:after="60"/>
              <w:ind w:left="113"/>
            </w:pPr>
            <w:r>
              <w:rPr>
                <w:b w:val="0"/>
                <w:color w:val="1A1917"/>
                <w:sz w:val="19"/>
              </w:rPr>
              <w:t>3</w:t>
            </w:r>
          </w:p>
        </w:tc>
        <w:tc>
          <w:tcPr>
            <w:tcW w:type="dxa" w:w="1881"/>
            <w:vAlign w:val="center"/>
            <w:tcW w:w="1800000" w:type="dxa"/>
          </w:tcPr>
          <w:p>
            <w:pPr>
              <w:spacing w:before="60" w:after="60"/>
              <w:ind w:left="113"/>
            </w:pPr>
            <w:r>
              <w:rPr>
                <w:b w:val="0"/>
                <w:color w:val="5E5A52"/>
                <w:sz w:val="19"/>
              </w:rPr>
              <w:t>Stripe Customer Portal; full Supabase auth migration; welcome email flow</w:t>
            </w:r>
          </w:p>
        </w:tc>
        <w:tc>
          <w:tcPr>
            <w:tcW w:type="dxa" w:w="1881"/>
            <w:vAlign w:val="center"/>
            <w:tcW w:w="1620000" w:type="dxa"/>
          </w:tcPr>
          <w:p>
            <w:pPr>
              <w:spacing w:before="60" w:after="60"/>
              <w:ind w:left="113"/>
            </w:pPr>
            <w:r>
              <w:rPr>
                <w:b w:val="0"/>
                <w:color w:val="5E5A52"/>
                <w:sz w:val="19"/>
              </w:rPr>
              <w:t>First paid Google Ads test (£500 budget); referral programme launch</w:t>
            </w:r>
          </w:p>
        </w:tc>
        <w:tc>
          <w:tcPr>
            <w:tcW w:type="dxa" w:w="1881"/>
            <w:vAlign w:val="center"/>
            <w:tcW w:w="1440000" w:type="dxa"/>
          </w:tcPr>
          <w:p>
            <w:pPr>
              <w:spacing w:before="60" w:after="60"/>
              <w:ind w:left="113"/>
            </w:pPr>
            <w:r>
              <w:rPr>
                <w:b w:val="0"/>
                <w:color w:val="5E5A52"/>
                <w:sz w:val="19"/>
              </w:rPr>
              <w:t>Seed round closing conversations; SEIS advance assurance from HMRC</w:t>
            </w:r>
          </w:p>
        </w:tc>
        <w:tc>
          <w:tcPr>
            <w:tcW w:type="dxa" w:w="1881"/>
            <w:vAlign w:val="center"/>
            <w:tcW w:w="1260000" w:type="dxa"/>
          </w:tcPr>
          <w:p>
            <w:pPr>
              <w:spacing w:before="60" w:after="60"/>
              <w:ind w:left="113"/>
            </w:pPr>
            <w:r>
              <w:rPr>
                <w:b w:val="0"/>
                <w:color w:val="5E5A52"/>
                <w:sz w:val="19"/>
              </w:rPr>
              <w:t>First paying subscriber target; MRR £500</w:t>
            </w:r>
          </w:p>
        </w:tc>
      </w:tr>
      <w:tr>
        <w:tc>
          <w:tcPr>
            <w:tcW w:type="dxa" w:w="1881"/>
            <w:vAlign w:val="center"/>
            <w:tcW w:w="540000" w:type="dxa"/>
            <w:shd w:val="clear" w:color="auto" w:fill="F8F7F4"/>
          </w:tcPr>
          <w:p>
            <w:pPr>
              <w:spacing w:before="60" w:after="60"/>
              <w:ind w:left="113"/>
            </w:pPr>
            <w:r>
              <w:rPr>
                <w:b w:val="0"/>
                <w:color w:val="1A1917"/>
                <w:sz w:val="19"/>
              </w:rPr>
              <w:t>4</w:t>
            </w:r>
          </w:p>
        </w:tc>
        <w:tc>
          <w:tcPr>
            <w:tcW w:type="dxa" w:w="1881"/>
            <w:vAlign w:val="center"/>
            <w:tcW w:w="1800000" w:type="dxa"/>
            <w:shd w:val="clear" w:color="auto" w:fill="F8F7F4"/>
          </w:tcPr>
          <w:p>
            <w:pPr>
              <w:spacing w:before="60" w:after="60"/>
              <w:ind w:left="113"/>
            </w:pPr>
            <w:r>
              <w:rPr>
                <w:b w:val="0"/>
                <w:color w:val="5E5A52"/>
                <w:sz w:val="19"/>
              </w:rPr>
              <w:t>Maintenance calendar email reminders; document vault file upload</w:t>
            </w:r>
          </w:p>
        </w:tc>
        <w:tc>
          <w:tcPr>
            <w:tcW w:type="dxa" w:w="1881"/>
            <w:vAlign w:val="center"/>
            <w:tcW w:w="1620000" w:type="dxa"/>
            <w:shd w:val="clear" w:color="auto" w:fill="F8F7F4"/>
          </w:tcPr>
          <w:p>
            <w:pPr>
              <w:spacing w:before="60" w:after="60"/>
              <w:ind w:left="113"/>
            </w:pPr>
            <w:r>
              <w:rPr>
                <w:b w:val="0"/>
                <w:color w:val="5E5A52"/>
                <w:sz w:val="19"/>
              </w:rPr>
              <w:t>SEO: 20 postcode landing pages live; affiliate programme launch</w:t>
            </w:r>
          </w:p>
        </w:tc>
        <w:tc>
          <w:tcPr>
            <w:tcW w:type="dxa" w:w="1881"/>
            <w:vAlign w:val="center"/>
            <w:tcW w:w="1440000" w:type="dxa"/>
            <w:shd w:val="clear" w:color="auto" w:fill="F8F7F4"/>
          </w:tcPr>
          <w:p>
            <w:pPr>
              <w:spacing w:before="60" w:after="60"/>
              <w:ind w:left="113"/>
            </w:pPr>
            <w:r>
              <w:rPr>
                <w:b w:val="0"/>
                <w:color w:val="5E5A52"/>
                <w:sz w:val="19"/>
              </w:rPr>
              <w:t>Seed round close (target); NRLA partnership intro meeting</w:t>
            </w:r>
          </w:p>
        </w:tc>
        <w:tc>
          <w:tcPr>
            <w:tcW w:type="dxa" w:w="1881"/>
            <w:vAlign w:val="center"/>
            <w:tcW w:w="1260000" w:type="dxa"/>
            <w:shd w:val="clear" w:color="auto" w:fill="F8F7F4"/>
          </w:tcPr>
          <w:p>
            <w:pPr>
              <w:spacing w:before="60" w:after="60"/>
              <w:ind w:left="113"/>
            </w:pPr>
            <w:r>
              <w:rPr>
                <w:b w:val="0"/>
                <w:color w:val="5E5A52"/>
                <w:sz w:val="19"/>
              </w:rPr>
              <w:t>MRR £2,000; seed funding received</w:t>
            </w:r>
          </w:p>
        </w:tc>
      </w:tr>
      <w:tr>
        <w:tc>
          <w:tcPr>
            <w:tcW w:type="dxa" w:w="1881"/>
            <w:vAlign w:val="center"/>
            <w:tcW w:w="540000" w:type="dxa"/>
          </w:tcPr>
          <w:p>
            <w:pPr>
              <w:spacing w:before="60" w:after="60"/>
              <w:ind w:left="113"/>
            </w:pPr>
            <w:r>
              <w:rPr>
                <w:b w:val="0"/>
                <w:color w:val="1A1917"/>
                <w:sz w:val="19"/>
              </w:rPr>
              <w:t>5</w:t>
            </w:r>
          </w:p>
        </w:tc>
        <w:tc>
          <w:tcPr>
            <w:tcW w:type="dxa" w:w="1881"/>
            <w:vAlign w:val="center"/>
            <w:tcW w:w="1800000" w:type="dxa"/>
          </w:tcPr>
          <w:p>
            <w:pPr>
              <w:spacing w:before="60" w:after="60"/>
              <w:ind w:left="113"/>
            </w:pPr>
            <w:r>
              <w:rPr>
                <w:b w:val="0"/>
                <w:color w:val="5E5A52"/>
                <w:sz w:val="19"/>
              </w:rPr>
              <w:t>Planning permission API integration; AI property narrative (beta)</w:t>
            </w:r>
          </w:p>
        </w:tc>
        <w:tc>
          <w:tcPr>
            <w:tcW w:type="dxa" w:w="1881"/>
            <w:vAlign w:val="center"/>
            <w:tcW w:w="1620000" w:type="dxa"/>
          </w:tcPr>
          <w:p>
            <w:pPr>
              <w:spacing w:before="60" w:after="60"/>
              <w:ind w:left="113"/>
            </w:pPr>
            <w:r>
              <w:rPr>
                <w:b w:val="0"/>
                <w:color w:val="5E5A52"/>
                <w:sz w:val="19"/>
              </w:rPr>
              <w:t>UK property newsletter launch; 1,000 subscriber target</w:t>
            </w:r>
          </w:p>
        </w:tc>
        <w:tc>
          <w:tcPr>
            <w:tcW w:type="dxa" w:w="1881"/>
            <w:vAlign w:val="center"/>
            <w:tcW w:w="1440000" w:type="dxa"/>
          </w:tcPr>
          <w:p>
            <w:pPr>
              <w:spacing w:before="60" w:after="60"/>
              <w:ind w:left="113"/>
            </w:pPr>
            <w:r>
              <w:rPr>
                <w:b w:val="0"/>
                <w:color w:val="5E5A52"/>
                <w:sz w:val="19"/>
              </w:rPr>
              <w:t>Professional services: onboard 5 gas engineers + 5 electricians</w:t>
            </w:r>
          </w:p>
        </w:tc>
        <w:tc>
          <w:tcPr>
            <w:tcW w:type="dxa" w:w="1881"/>
            <w:vAlign w:val="center"/>
            <w:tcW w:w="1260000" w:type="dxa"/>
          </w:tcPr>
          <w:p>
            <w:pPr>
              <w:spacing w:before="60" w:after="60"/>
              <w:ind w:left="113"/>
            </w:pPr>
            <w:r>
              <w:rPr>
                <w:b w:val="0"/>
                <w:color w:val="5E5A52"/>
                <w:sz w:val="19"/>
              </w:rPr>
              <w:t>MRR £4,000</w:t>
            </w:r>
          </w:p>
        </w:tc>
      </w:tr>
      <w:tr>
        <w:tc>
          <w:tcPr>
            <w:tcW w:type="dxa" w:w="1881"/>
            <w:vAlign w:val="center"/>
            <w:tcW w:w="540000" w:type="dxa"/>
            <w:shd w:val="clear" w:color="auto" w:fill="F8F7F4"/>
          </w:tcPr>
          <w:p>
            <w:pPr>
              <w:spacing w:before="60" w:after="60"/>
              <w:ind w:left="113"/>
            </w:pPr>
            <w:r>
              <w:rPr>
                <w:b w:val="0"/>
                <w:color w:val="1A1917"/>
                <w:sz w:val="19"/>
              </w:rPr>
              <w:t>6</w:t>
            </w:r>
          </w:p>
        </w:tc>
        <w:tc>
          <w:tcPr>
            <w:tcW w:type="dxa" w:w="1881"/>
            <w:vAlign w:val="center"/>
            <w:tcW w:w="1800000" w:type="dxa"/>
            <w:shd w:val="clear" w:color="auto" w:fill="F8F7F4"/>
          </w:tcPr>
          <w:p>
            <w:pPr>
              <w:spacing w:before="60" w:after="60"/>
              <w:ind w:left="113"/>
            </w:pPr>
            <w:r>
              <w:rPr>
                <w:b w:val="0"/>
                <w:color w:val="5E5A52"/>
                <w:sz w:val="19"/>
              </w:rPr>
              <w:t>Land Registry price paid integration; PropPilot Score v1.0 launch</w:t>
            </w:r>
          </w:p>
        </w:tc>
        <w:tc>
          <w:tcPr>
            <w:tcW w:type="dxa" w:w="1881"/>
            <w:vAlign w:val="center"/>
            <w:tcW w:w="1620000" w:type="dxa"/>
            <w:shd w:val="clear" w:color="auto" w:fill="F8F7F4"/>
          </w:tcPr>
          <w:p>
            <w:pPr>
              <w:spacing w:before="60" w:after="60"/>
              <w:ind w:left="113"/>
            </w:pPr>
            <w:r>
              <w:rPr>
                <w:b w:val="0"/>
                <w:color w:val="5E5A52"/>
                <w:sz w:val="19"/>
              </w:rPr>
              <w:t>First PR pitch to Which? and MoneySavingExpert; LinkedIn article</w:t>
            </w:r>
          </w:p>
        </w:tc>
        <w:tc>
          <w:tcPr>
            <w:tcW w:type="dxa" w:w="1881"/>
            <w:vAlign w:val="center"/>
            <w:tcW w:w="1440000" w:type="dxa"/>
            <w:shd w:val="clear" w:color="auto" w:fill="F8F7F4"/>
          </w:tcPr>
          <w:p>
            <w:pPr>
              <w:spacing w:before="60" w:after="60"/>
              <w:ind w:left="113"/>
            </w:pPr>
            <w:r>
              <w:rPr>
                <w:b w:val="0"/>
                <w:color w:val="5E5A52"/>
                <w:sz w:val="19"/>
              </w:rPr>
              <w:t>Estate agent BD: 10 outbound contacts; London co-working space</w:t>
            </w:r>
          </w:p>
        </w:tc>
        <w:tc>
          <w:tcPr>
            <w:tcW w:type="dxa" w:w="1881"/>
            <w:vAlign w:val="center"/>
            <w:tcW w:w="1260000" w:type="dxa"/>
            <w:shd w:val="clear" w:color="auto" w:fill="F8F7F4"/>
          </w:tcPr>
          <w:p>
            <w:pPr>
              <w:spacing w:before="60" w:after="60"/>
              <w:ind w:left="113"/>
            </w:pPr>
            <w:r>
              <w:rPr>
                <w:b w:val="0"/>
                <w:color w:val="5E5A52"/>
                <w:sz w:val="19"/>
              </w:rPr>
              <w:t>MRR £7,000</w:t>
            </w:r>
          </w:p>
        </w:tc>
      </w:tr>
      <w:tr>
        <w:tc>
          <w:tcPr>
            <w:tcW w:type="dxa" w:w="1881"/>
            <w:vAlign w:val="center"/>
            <w:tcW w:w="540000" w:type="dxa"/>
          </w:tcPr>
          <w:p>
            <w:pPr>
              <w:spacing w:before="60" w:after="60"/>
              <w:ind w:left="113"/>
            </w:pPr>
            <w:r>
              <w:rPr>
                <w:b w:val="0"/>
                <w:color w:val="1A1917"/>
                <w:sz w:val="19"/>
              </w:rPr>
              <w:t>7</w:t>
            </w:r>
          </w:p>
        </w:tc>
        <w:tc>
          <w:tcPr>
            <w:tcW w:type="dxa" w:w="1881"/>
            <w:vAlign w:val="center"/>
            <w:tcW w:w="1800000" w:type="dxa"/>
          </w:tcPr>
          <w:p>
            <w:pPr>
              <w:spacing w:before="60" w:after="60"/>
              <w:ind w:left="113"/>
            </w:pPr>
            <w:r>
              <w:rPr>
                <w:b w:val="0"/>
                <w:color w:val="5E5A52"/>
                <w:sz w:val="19"/>
              </w:rPr>
              <w:t>Mortgage comparison API research; Neighbourhood analytics (schools, transport)</w:t>
            </w:r>
          </w:p>
        </w:tc>
        <w:tc>
          <w:tcPr>
            <w:tcW w:type="dxa" w:w="1881"/>
            <w:vAlign w:val="center"/>
            <w:tcW w:w="1620000" w:type="dxa"/>
          </w:tcPr>
          <w:p>
            <w:pPr>
              <w:spacing w:before="60" w:after="60"/>
              <w:ind w:left="113"/>
            </w:pPr>
            <w:r>
              <w:rPr>
                <w:b w:val="0"/>
                <w:color w:val="5E5A52"/>
                <w:sz w:val="19"/>
              </w:rPr>
              <w:t>Google Ads scale to £2,000/month; retargeting campaigns live</w:t>
            </w:r>
          </w:p>
        </w:tc>
        <w:tc>
          <w:tcPr>
            <w:tcW w:type="dxa" w:w="1881"/>
            <w:vAlign w:val="center"/>
            <w:tcW w:w="1440000" w:type="dxa"/>
          </w:tcPr>
          <w:p>
            <w:pPr>
              <w:spacing w:before="60" w:after="60"/>
              <w:ind w:left="113"/>
            </w:pPr>
            <w:r>
              <w:rPr>
                <w:b w:val="0"/>
                <w:color w:val="5E5A52"/>
                <w:sz w:val="19"/>
              </w:rPr>
              <w:t>First estate agent API pilot (1 agent); NRLA co-branded content</w:t>
            </w:r>
          </w:p>
        </w:tc>
        <w:tc>
          <w:tcPr>
            <w:tcW w:type="dxa" w:w="1881"/>
            <w:vAlign w:val="center"/>
            <w:tcW w:w="1260000" w:type="dxa"/>
          </w:tcPr>
          <w:p>
            <w:pPr>
              <w:spacing w:before="60" w:after="60"/>
              <w:ind w:left="113"/>
            </w:pPr>
            <w:r>
              <w:rPr>
                <w:b w:val="0"/>
                <w:color w:val="5E5A52"/>
                <w:sz w:val="19"/>
              </w:rPr>
              <w:t>MRR £9,000</w:t>
            </w:r>
          </w:p>
        </w:tc>
      </w:tr>
      <w:tr>
        <w:tc>
          <w:tcPr>
            <w:tcW w:type="dxa" w:w="1881"/>
            <w:vAlign w:val="center"/>
            <w:tcW w:w="540000" w:type="dxa"/>
            <w:shd w:val="clear" w:color="auto" w:fill="F8F7F4"/>
          </w:tcPr>
          <w:p>
            <w:pPr>
              <w:spacing w:before="60" w:after="60"/>
              <w:ind w:left="113"/>
            </w:pPr>
            <w:r>
              <w:rPr>
                <w:b w:val="0"/>
                <w:color w:val="1A1917"/>
                <w:sz w:val="19"/>
              </w:rPr>
              <w:t>8</w:t>
            </w:r>
          </w:p>
        </w:tc>
        <w:tc>
          <w:tcPr>
            <w:tcW w:type="dxa" w:w="1881"/>
            <w:vAlign w:val="center"/>
            <w:tcW w:w="1800000" w:type="dxa"/>
            <w:shd w:val="clear" w:color="auto" w:fill="F8F7F4"/>
          </w:tcPr>
          <w:p>
            <w:pPr>
              <w:spacing w:before="60" w:after="60"/>
              <w:ind w:left="113"/>
            </w:pPr>
            <w:r>
              <w:rPr>
                <w:b w:val="0"/>
                <w:color w:val="5E5A52"/>
                <w:sz w:val="19"/>
              </w:rPr>
              <w:t>React Native mobile app development begins; Puppeteer PDF (server-side)</w:t>
            </w:r>
          </w:p>
        </w:tc>
        <w:tc>
          <w:tcPr>
            <w:tcW w:type="dxa" w:w="1881"/>
            <w:vAlign w:val="center"/>
            <w:tcW w:w="1620000" w:type="dxa"/>
            <w:shd w:val="clear" w:color="auto" w:fill="F8F7F4"/>
          </w:tcPr>
          <w:p>
            <w:pPr>
              <w:spacing w:before="60" w:after="60"/>
              <w:ind w:left="113"/>
            </w:pPr>
            <w:r>
              <w:rPr>
                <w:b w:val="0"/>
                <w:color w:val="5E5A52"/>
                <w:sz w:val="19"/>
              </w:rPr>
              <w:t>TikTok / YouTube Shorts content pilot; 5,000 email subscribers</w:t>
            </w:r>
          </w:p>
        </w:tc>
        <w:tc>
          <w:tcPr>
            <w:tcW w:type="dxa" w:w="1881"/>
            <w:vAlign w:val="center"/>
            <w:tcW w:w="1440000" w:type="dxa"/>
            <w:shd w:val="clear" w:color="auto" w:fill="F8F7F4"/>
          </w:tcPr>
          <w:p>
            <w:pPr>
              <w:spacing w:before="60" w:after="60"/>
              <w:ind w:left="113"/>
            </w:pPr>
            <w:r>
              <w:rPr>
                <w:b w:val="0"/>
                <w:color w:val="5E5A52"/>
                <w:sz w:val="19"/>
              </w:rPr>
              <w:t>10 professional services partners total; first service booked</w:t>
            </w:r>
          </w:p>
        </w:tc>
        <w:tc>
          <w:tcPr>
            <w:tcW w:type="dxa" w:w="1881"/>
            <w:vAlign w:val="center"/>
            <w:tcW w:w="1260000" w:type="dxa"/>
            <w:shd w:val="clear" w:color="auto" w:fill="F8F7F4"/>
          </w:tcPr>
          <w:p>
            <w:pPr>
              <w:spacing w:before="60" w:after="60"/>
              <w:ind w:left="113"/>
            </w:pPr>
            <w:r>
              <w:rPr>
                <w:b w:val="0"/>
                <w:color w:val="5E5A52"/>
                <w:sz w:val="19"/>
              </w:rPr>
              <w:t>MRR £11,000; first service commission revenue</w:t>
            </w:r>
          </w:p>
        </w:tc>
      </w:tr>
      <w:tr>
        <w:tc>
          <w:tcPr>
            <w:tcW w:type="dxa" w:w="1881"/>
            <w:vAlign w:val="center"/>
            <w:tcW w:w="540000" w:type="dxa"/>
          </w:tcPr>
          <w:p>
            <w:pPr>
              <w:spacing w:before="60" w:after="60"/>
              <w:ind w:left="113"/>
            </w:pPr>
            <w:r>
              <w:rPr>
                <w:b w:val="0"/>
                <w:color w:val="1A1917"/>
                <w:sz w:val="19"/>
              </w:rPr>
              <w:t>9</w:t>
            </w:r>
          </w:p>
        </w:tc>
        <w:tc>
          <w:tcPr>
            <w:tcW w:type="dxa" w:w="1881"/>
            <w:vAlign w:val="center"/>
            <w:tcW w:w="1800000" w:type="dxa"/>
          </w:tcPr>
          <w:p>
            <w:pPr>
              <w:spacing w:before="60" w:after="60"/>
              <w:ind w:left="113"/>
            </w:pPr>
            <w:r>
              <w:rPr>
                <w:b w:val="0"/>
                <w:color w:val="5E5A52"/>
                <w:sz w:val="19"/>
              </w:rPr>
              <w:t>Mobile app (alpha): iOS + Android internal testing; AI summary live</w:t>
            </w:r>
          </w:p>
        </w:tc>
        <w:tc>
          <w:tcPr>
            <w:tcW w:type="dxa" w:w="1881"/>
            <w:vAlign w:val="center"/>
            <w:tcW w:w="1620000" w:type="dxa"/>
          </w:tcPr>
          <w:p>
            <w:pPr>
              <w:spacing w:before="60" w:after="60"/>
              <w:ind w:left="113"/>
            </w:pPr>
            <w:r>
              <w:rPr>
                <w:b w:val="0"/>
                <w:color w:val="5E5A52"/>
                <w:sz w:val="19"/>
              </w:rPr>
              <w:t>ProductHunt official launch; App Store submission</w:t>
            </w:r>
          </w:p>
        </w:tc>
        <w:tc>
          <w:tcPr>
            <w:tcW w:type="dxa" w:w="1881"/>
            <w:vAlign w:val="center"/>
            <w:tcW w:w="1440000" w:type="dxa"/>
          </w:tcPr>
          <w:p>
            <w:pPr>
              <w:spacing w:before="60" w:after="60"/>
              <w:ind w:left="113"/>
            </w:pPr>
            <w:r>
              <w:rPr>
                <w:b w:val="0"/>
                <w:color w:val="5E5A52"/>
                <w:sz w:val="19"/>
              </w:rPr>
              <w:t>SDR hire; Series A deck preparation begins</w:t>
            </w:r>
          </w:p>
        </w:tc>
        <w:tc>
          <w:tcPr>
            <w:tcW w:type="dxa" w:w="1881"/>
            <w:vAlign w:val="center"/>
            <w:tcW w:w="1260000" w:type="dxa"/>
          </w:tcPr>
          <w:p>
            <w:pPr>
              <w:spacing w:before="60" w:after="60"/>
              <w:ind w:left="113"/>
            </w:pPr>
            <w:r>
              <w:rPr>
                <w:b w:val="0"/>
                <w:color w:val="5E5A52"/>
                <w:sz w:val="19"/>
              </w:rPr>
              <w:t>MRR £13,500; 500 paid subscribers</w:t>
            </w:r>
          </w:p>
        </w:tc>
      </w:tr>
      <w:tr>
        <w:tc>
          <w:tcPr>
            <w:tcW w:type="dxa" w:w="1881"/>
            <w:vAlign w:val="center"/>
            <w:tcW w:w="540000" w:type="dxa"/>
            <w:shd w:val="clear" w:color="auto" w:fill="F8F7F4"/>
          </w:tcPr>
          <w:p>
            <w:pPr>
              <w:spacing w:before="60" w:after="60"/>
              <w:ind w:left="113"/>
            </w:pPr>
            <w:r>
              <w:rPr>
                <w:b w:val="0"/>
                <w:color w:val="1A1917"/>
                <w:sz w:val="19"/>
              </w:rPr>
              <w:t>10</w:t>
            </w:r>
          </w:p>
        </w:tc>
        <w:tc>
          <w:tcPr>
            <w:tcW w:type="dxa" w:w="1881"/>
            <w:vAlign w:val="center"/>
            <w:tcW w:w="1800000" w:type="dxa"/>
            <w:shd w:val="clear" w:color="auto" w:fill="F8F7F4"/>
          </w:tcPr>
          <w:p>
            <w:pPr>
              <w:spacing w:before="60" w:after="60"/>
              <w:ind w:left="113"/>
            </w:pPr>
            <w:r>
              <w:rPr>
                <w:b w:val="0"/>
                <w:color w:val="5E5A52"/>
                <w:sz w:val="19"/>
              </w:rPr>
              <w:t>Mobile app (beta): invite-only; push notifications; EPC prediction model</w:t>
            </w:r>
          </w:p>
        </w:tc>
        <w:tc>
          <w:tcPr>
            <w:tcW w:type="dxa" w:w="1881"/>
            <w:vAlign w:val="center"/>
            <w:tcW w:w="1620000" w:type="dxa"/>
            <w:shd w:val="clear" w:color="auto" w:fill="F8F7F4"/>
          </w:tcPr>
          <w:p>
            <w:pPr>
              <w:spacing w:before="60" w:after="60"/>
              <w:ind w:left="113"/>
            </w:pPr>
            <w:r>
              <w:rPr>
                <w:b w:val="0"/>
                <w:color w:val="5E5A52"/>
                <w:sz w:val="19"/>
              </w:rPr>
              <w:t>App Store featuring pitch; review generation campaign</w:t>
            </w:r>
          </w:p>
        </w:tc>
        <w:tc>
          <w:tcPr>
            <w:tcW w:type="dxa" w:w="1881"/>
            <w:vAlign w:val="center"/>
            <w:tcW w:w="1440000" w:type="dxa"/>
            <w:shd w:val="clear" w:color="auto" w:fill="F8F7F4"/>
          </w:tcPr>
          <w:p>
            <w:pPr>
              <w:spacing w:before="60" w:after="60"/>
              <w:ind w:left="113"/>
            </w:pPr>
            <w:r>
              <w:rPr>
                <w:b w:val="0"/>
                <w:color w:val="5E5A52"/>
                <w:sz w:val="19"/>
              </w:rPr>
              <w:t>5 estate agent API pilots; Series A investor meetings</w:t>
            </w:r>
          </w:p>
        </w:tc>
        <w:tc>
          <w:tcPr>
            <w:tcW w:type="dxa" w:w="1881"/>
            <w:vAlign w:val="center"/>
            <w:tcW w:w="1260000" w:type="dxa"/>
            <w:shd w:val="clear" w:color="auto" w:fill="F8F7F4"/>
          </w:tcPr>
          <w:p>
            <w:pPr>
              <w:spacing w:before="60" w:after="60"/>
              <w:ind w:left="113"/>
            </w:pPr>
            <w:r>
              <w:rPr>
                <w:b w:val="0"/>
                <w:color w:val="5E5A52"/>
                <w:sz w:val="19"/>
              </w:rPr>
              <w:t>MRR £16,000</w:t>
            </w:r>
          </w:p>
        </w:tc>
      </w:tr>
      <w:tr>
        <w:tc>
          <w:tcPr>
            <w:tcW w:type="dxa" w:w="1881"/>
            <w:vAlign w:val="center"/>
            <w:tcW w:w="540000" w:type="dxa"/>
          </w:tcPr>
          <w:p>
            <w:pPr>
              <w:spacing w:before="60" w:after="60"/>
              <w:ind w:left="113"/>
            </w:pPr>
            <w:r>
              <w:rPr>
                <w:b w:val="0"/>
                <w:color w:val="1A1917"/>
                <w:sz w:val="19"/>
              </w:rPr>
              <w:t>11</w:t>
            </w:r>
          </w:p>
        </w:tc>
        <w:tc>
          <w:tcPr>
            <w:tcW w:type="dxa" w:w="1881"/>
            <w:vAlign w:val="center"/>
            <w:tcW w:w="1800000" w:type="dxa"/>
          </w:tcPr>
          <w:p>
            <w:pPr>
              <w:spacing w:before="60" w:after="60"/>
              <w:ind w:left="113"/>
            </w:pPr>
            <w:r>
              <w:rPr>
                <w:b w:val="0"/>
                <w:color w:val="5E5A52"/>
                <w:sz w:val="19"/>
              </w:rPr>
              <w:t>Mobile app public launch; React Native polishing; performance optimisation</w:t>
            </w:r>
          </w:p>
        </w:tc>
        <w:tc>
          <w:tcPr>
            <w:tcW w:type="dxa" w:w="1881"/>
            <w:vAlign w:val="center"/>
            <w:tcW w:w="1620000" w:type="dxa"/>
          </w:tcPr>
          <w:p>
            <w:pPr>
              <w:spacing w:before="60" w:after="60"/>
              <w:ind w:left="113"/>
            </w:pPr>
            <w:r>
              <w:rPr>
                <w:b w:val="0"/>
                <w:color w:val="5E5A52"/>
                <w:sz w:val="19"/>
              </w:rPr>
              <w:t>Mobile-specific marketing campaign; App Store Ads pilot</w:t>
            </w:r>
          </w:p>
        </w:tc>
        <w:tc>
          <w:tcPr>
            <w:tcW w:type="dxa" w:w="1881"/>
            <w:vAlign w:val="center"/>
            <w:tcW w:w="1440000" w:type="dxa"/>
          </w:tcPr>
          <w:p>
            <w:pPr>
              <w:spacing w:before="60" w:after="60"/>
              <w:ind w:left="113"/>
            </w:pPr>
            <w:r>
              <w:rPr>
                <w:b w:val="0"/>
                <w:color w:val="5E5A52"/>
                <w:sz w:val="19"/>
              </w:rPr>
              <w:t>First mortgage broker referral agreement signed</w:t>
            </w:r>
          </w:p>
        </w:tc>
        <w:tc>
          <w:tcPr>
            <w:tcW w:type="dxa" w:w="1881"/>
            <w:vAlign w:val="center"/>
            <w:tcW w:w="1260000" w:type="dxa"/>
          </w:tcPr>
          <w:p>
            <w:pPr>
              <w:spacing w:before="60" w:after="60"/>
              <w:ind w:left="113"/>
            </w:pPr>
            <w:r>
              <w:rPr>
                <w:b w:val="0"/>
                <w:color w:val="5E5A52"/>
                <w:sz w:val="19"/>
              </w:rPr>
              <w:t>MRR £19,000; 650 paid subscribers</w:t>
            </w:r>
          </w:p>
        </w:tc>
      </w:tr>
      <w:tr>
        <w:tc>
          <w:tcPr>
            <w:tcW w:type="dxa" w:w="1881"/>
            <w:vAlign w:val="center"/>
            <w:tcW w:w="540000" w:type="dxa"/>
            <w:shd w:val="clear" w:color="auto" w:fill="F8F7F4"/>
          </w:tcPr>
          <w:p>
            <w:pPr>
              <w:spacing w:before="60" w:after="60"/>
              <w:ind w:left="113"/>
            </w:pPr>
            <w:r>
              <w:rPr>
                <w:b w:val="0"/>
                <w:color w:val="1A1917"/>
                <w:sz w:val="19"/>
              </w:rPr>
              <w:t>12</w:t>
            </w:r>
          </w:p>
        </w:tc>
        <w:tc>
          <w:tcPr>
            <w:tcW w:type="dxa" w:w="1881"/>
            <w:vAlign w:val="center"/>
            <w:tcW w:w="1800000" w:type="dxa"/>
            <w:shd w:val="clear" w:color="auto" w:fill="F8F7F4"/>
          </w:tcPr>
          <w:p>
            <w:pPr>
              <w:spacing w:before="60" w:after="60"/>
              <w:ind w:left="113"/>
            </w:pPr>
            <w:r>
              <w:rPr>
                <w:b w:val="0"/>
                <w:color w:val="5E5A52"/>
                <w:sz w:val="19"/>
              </w:rPr>
              <w:t>Insurance marketplace research; Landlord portfolio dashboard v1.0</w:t>
            </w:r>
          </w:p>
        </w:tc>
        <w:tc>
          <w:tcPr>
            <w:tcW w:type="dxa" w:w="1881"/>
            <w:vAlign w:val="center"/>
            <w:tcW w:w="1620000" w:type="dxa"/>
            <w:shd w:val="clear" w:color="auto" w:fill="F8F7F4"/>
          </w:tcPr>
          <w:p>
            <w:pPr>
              <w:spacing w:before="60" w:after="60"/>
              <w:ind w:left="113"/>
            </w:pPr>
            <w:r>
              <w:rPr>
                <w:b w:val="0"/>
                <w:color w:val="5E5A52"/>
                <w:sz w:val="19"/>
              </w:rPr>
              <w:t>Year 1 recap content; user testimonial collection; affiliate payouts</w:t>
            </w:r>
          </w:p>
        </w:tc>
        <w:tc>
          <w:tcPr>
            <w:tcW w:type="dxa" w:w="1881"/>
            <w:vAlign w:val="center"/>
            <w:tcW w:w="1440000" w:type="dxa"/>
            <w:shd w:val="clear" w:color="auto" w:fill="F8F7F4"/>
          </w:tcPr>
          <w:p>
            <w:pPr>
              <w:spacing w:before="60" w:after="60"/>
              <w:ind w:left="113"/>
            </w:pPr>
            <w:r>
              <w:rPr>
                <w:b w:val="0"/>
                <w:color w:val="5E5A52"/>
                <w:sz w:val="19"/>
              </w:rPr>
              <w:t>Series A close target; 10 B2B partners signed</w:t>
            </w:r>
          </w:p>
        </w:tc>
        <w:tc>
          <w:tcPr>
            <w:tcW w:type="dxa" w:w="1881"/>
            <w:vAlign w:val="center"/>
            <w:tcW w:w="1260000" w:type="dxa"/>
            <w:shd w:val="clear" w:color="auto" w:fill="F8F7F4"/>
          </w:tcPr>
          <w:p>
            <w:pPr>
              <w:spacing w:before="60" w:after="60"/>
              <w:ind w:left="113"/>
            </w:pPr>
            <w:r>
              <w:rPr>
                <w:b w:val="0"/>
                <w:color w:val="5E5A52"/>
                <w:sz w:val="19"/>
              </w:rPr>
              <w:t>MRR £22,000; 800 paid subscribers; ARR £264,000</w:t>
            </w:r>
          </w:p>
        </w:tc>
      </w:tr>
    </w:tbl>
    <w:p/>
    <w:p>
      <w:pPr>
        <w:spacing w:before="160" w:after="160"/>
        <w:pBdr>
          <w:bottom w:val="single" w:sz="4" w:space="1" w:color="D1CEC8"/>
        </w:pBdr>
      </w:pPr>
    </w:p>
    <w:p>
      <w:r>
        <w:br w:type="page"/>
      </w:r>
    </w:p>
    <w:p>
      <w:pPr>
        <w:pStyle w:val="Heading1"/>
        <w:spacing w:before="400" w:after="120"/>
      </w:pPr>
      <w:r>
        <w:rPr>
          <w:color w:val="1D9E75"/>
          <w:sz w:val="32"/>
        </w:rPr>
        <w:t>61. Operational Plan — Year 2 (Monthly)</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vAlign w:val="center"/>
            <w:tcW w:w="540000" w:type="dxa"/>
            <w:shd w:val="clear" w:color="auto" w:fill="1D9E75"/>
          </w:tcPr>
          <w:p>
            <w:pPr>
              <w:spacing w:before="60" w:after="60"/>
              <w:ind w:left="113"/>
            </w:pPr>
            <w:r>
              <w:rPr>
                <w:b/>
                <w:color w:val="FFFFFF"/>
                <w:sz w:val="19"/>
              </w:rPr>
              <w:t>Month</w:t>
            </w:r>
          </w:p>
        </w:tc>
        <w:tc>
          <w:tcPr>
            <w:tcW w:type="dxa" w:w="1881"/>
            <w:vAlign w:val="center"/>
            <w:tcW w:w="1800000" w:type="dxa"/>
            <w:shd w:val="clear" w:color="auto" w:fill="1D9E75"/>
          </w:tcPr>
          <w:p>
            <w:pPr>
              <w:spacing w:before="60" w:after="60"/>
              <w:ind w:left="113"/>
            </w:pPr>
            <w:r>
              <w:rPr>
                <w:b/>
                <w:color w:val="FFFFFF"/>
                <w:sz w:val="19"/>
              </w:rPr>
              <w:t>Engineering</w:t>
            </w:r>
          </w:p>
        </w:tc>
        <w:tc>
          <w:tcPr>
            <w:tcW w:type="dxa" w:w="1881"/>
            <w:vAlign w:val="center"/>
            <w:tcW w:w="1620000" w:type="dxa"/>
            <w:shd w:val="clear" w:color="auto" w:fill="1D9E75"/>
          </w:tcPr>
          <w:p>
            <w:pPr>
              <w:spacing w:before="60" w:after="60"/>
              <w:ind w:left="113"/>
            </w:pPr>
            <w:r>
              <w:rPr>
                <w:b/>
                <w:color w:val="FFFFFF"/>
                <w:sz w:val="19"/>
              </w:rPr>
              <w:t>Marketing / Growth</w:t>
            </w:r>
          </w:p>
        </w:tc>
        <w:tc>
          <w:tcPr>
            <w:tcW w:type="dxa" w:w="1881"/>
            <w:vAlign w:val="center"/>
            <w:tcW w:w="1440000" w:type="dxa"/>
            <w:shd w:val="clear" w:color="auto" w:fill="1D9E75"/>
          </w:tcPr>
          <w:p>
            <w:pPr>
              <w:spacing w:before="60" w:after="60"/>
              <w:ind w:left="113"/>
            </w:pPr>
            <w:r>
              <w:rPr>
                <w:b/>
                <w:color w:val="FFFFFF"/>
                <w:sz w:val="19"/>
              </w:rPr>
              <w:t>Operations / BD</w:t>
            </w:r>
          </w:p>
        </w:tc>
        <w:tc>
          <w:tcPr>
            <w:tcW w:type="dxa" w:w="1881"/>
            <w:vAlign w:val="center"/>
            <w:tcW w:w="1260000" w:type="dxa"/>
            <w:shd w:val="clear" w:color="auto" w:fill="1D9E75"/>
          </w:tcPr>
          <w:p>
            <w:pPr>
              <w:spacing w:before="60" w:after="60"/>
              <w:ind w:left="113"/>
            </w:pPr>
            <w:r>
              <w:rPr>
                <w:b/>
                <w:color w:val="FFFFFF"/>
                <w:sz w:val="19"/>
              </w:rPr>
              <w:t>Financial milestone</w:t>
            </w:r>
          </w:p>
        </w:tc>
      </w:tr>
      <w:tr>
        <w:tc>
          <w:tcPr>
            <w:tcW w:type="dxa" w:w="1881"/>
            <w:vAlign w:val="center"/>
            <w:tcW w:w="540000" w:type="dxa"/>
          </w:tcPr>
          <w:p>
            <w:pPr>
              <w:spacing w:before="60" w:after="60"/>
              <w:ind w:left="113"/>
            </w:pPr>
            <w:r>
              <w:rPr>
                <w:b w:val="0"/>
                <w:color w:val="1A1917"/>
                <w:sz w:val="19"/>
              </w:rPr>
              <w:t>13</w:t>
            </w:r>
          </w:p>
        </w:tc>
        <w:tc>
          <w:tcPr>
            <w:tcW w:type="dxa" w:w="1881"/>
            <w:vAlign w:val="center"/>
            <w:tcW w:w="1800000" w:type="dxa"/>
          </w:tcPr>
          <w:p>
            <w:pPr>
              <w:spacing w:before="60" w:after="60"/>
              <w:ind w:left="113"/>
            </w:pPr>
            <w:r>
              <w:rPr>
                <w:b w:val="0"/>
                <w:color w:val="5E5A52"/>
                <w:sz w:val="19"/>
              </w:rPr>
              <w:t>Series A capital deployed; hire 2nd engineer; estate agent API v1.0 live</w:t>
            </w:r>
          </w:p>
        </w:tc>
        <w:tc>
          <w:tcPr>
            <w:tcW w:type="dxa" w:w="1881"/>
            <w:vAlign w:val="center"/>
            <w:tcW w:w="1620000" w:type="dxa"/>
          </w:tcPr>
          <w:p>
            <w:pPr>
              <w:spacing w:before="60" w:after="60"/>
              <w:ind w:left="113"/>
            </w:pPr>
            <w:r>
              <w:rPr>
                <w:b w:val="0"/>
                <w:color w:val="5E5A52"/>
                <w:sz w:val="19"/>
              </w:rPr>
              <w:t>NAEA conference presence; 10,000 email subscribers target</w:t>
            </w:r>
          </w:p>
        </w:tc>
        <w:tc>
          <w:tcPr>
            <w:tcW w:type="dxa" w:w="1881"/>
            <w:vAlign w:val="center"/>
            <w:tcW w:w="1440000" w:type="dxa"/>
          </w:tcPr>
          <w:p>
            <w:pPr>
              <w:spacing w:before="60" w:after="60"/>
              <w:ind w:left="113"/>
            </w:pPr>
            <w:r>
              <w:rPr>
                <w:b w:val="0"/>
                <w:color w:val="5E5A52"/>
                <w:sz w:val="19"/>
              </w:rPr>
              <w:t>Series A closed; 3 new hires onboarded</w:t>
            </w:r>
          </w:p>
        </w:tc>
        <w:tc>
          <w:tcPr>
            <w:tcW w:type="dxa" w:w="1881"/>
            <w:vAlign w:val="center"/>
            <w:tcW w:w="1260000" w:type="dxa"/>
          </w:tcPr>
          <w:p>
            <w:pPr>
              <w:spacing w:before="60" w:after="60"/>
              <w:ind w:left="113"/>
            </w:pPr>
            <w:r>
              <w:rPr>
                <w:b w:val="0"/>
                <w:color w:val="5E5A52"/>
                <w:sz w:val="19"/>
              </w:rPr>
              <w:t>MRR £27,000</w:t>
            </w:r>
          </w:p>
        </w:tc>
      </w:tr>
      <w:tr>
        <w:tc>
          <w:tcPr>
            <w:tcW w:type="dxa" w:w="1881"/>
            <w:vAlign w:val="center"/>
            <w:tcW w:w="540000" w:type="dxa"/>
            <w:shd w:val="clear" w:color="auto" w:fill="F8F7F4"/>
          </w:tcPr>
          <w:p>
            <w:pPr>
              <w:spacing w:before="60" w:after="60"/>
              <w:ind w:left="113"/>
            </w:pPr>
            <w:r>
              <w:rPr>
                <w:b w:val="0"/>
                <w:color w:val="1A1917"/>
                <w:sz w:val="19"/>
              </w:rPr>
              <w:t>14</w:t>
            </w:r>
          </w:p>
        </w:tc>
        <w:tc>
          <w:tcPr>
            <w:tcW w:type="dxa" w:w="1881"/>
            <w:vAlign w:val="center"/>
            <w:tcW w:w="1800000" w:type="dxa"/>
            <w:shd w:val="clear" w:color="auto" w:fill="F8F7F4"/>
          </w:tcPr>
          <w:p>
            <w:pPr>
              <w:spacing w:before="60" w:after="60"/>
              <w:ind w:left="113"/>
            </w:pPr>
            <w:r>
              <w:rPr>
                <w:b w:val="0"/>
                <w:color w:val="5E5A52"/>
                <w:sz w:val="19"/>
              </w:rPr>
              <w:t>Conveyancing tracker integration (solicitor CMS API)</w:t>
            </w:r>
          </w:p>
        </w:tc>
        <w:tc>
          <w:tcPr>
            <w:tcW w:type="dxa" w:w="1881"/>
            <w:vAlign w:val="center"/>
            <w:tcW w:w="1620000" w:type="dxa"/>
            <w:shd w:val="clear" w:color="auto" w:fill="F8F7F4"/>
          </w:tcPr>
          <w:p>
            <w:pPr>
              <w:spacing w:before="60" w:after="60"/>
              <w:ind w:left="113"/>
            </w:pPr>
            <w:r>
              <w:rPr>
                <w:b w:val="0"/>
                <w:color w:val="5E5A52"/>
                <w:sz w:val="19"/>
              </w:rPr>
              <w:t>Google Ads budget scale to £5,000/month</w:t>
            </w:r>
          </w:p>
        </w:tc>
        <w:tc>
          <w:tcPr>
            <w:tcW w:type="dxa" w:w="1881"/>
            <w:vAlign w:val="center"/>
            <w:tcW w:w="1440000" w:type="dxa"/>
            <w:shd w:val="clear" w:color="auto" w:fill="F8F7F4"/>
          </w:tcPr>
          <w:p>
            <w:pPr>
              <w:spacing w:before="60" w:after="60"/>
              <w:ind w:left="113"/>
            </w:pPr>
            <w:r>
              <w:rPr>
                <w:b w:val="0"/>
                <w:color w:val="5E5A52"/>
                <w:sz w:val="19"/>
              </w:rPr>
              <w:t>Landlord association partnership (NRLA) signed</w:t>
            </w:r>
          </w:p>
        </w:tc>
        <w:tc>
          <w:tcPr>
            <w:tcW w:type="dxa" w:w="1881"/>
            <w:vAlign w:val="center"/>
            <w:tcW w:w="1260000" w:type="dxa"/>
            <w:shd w:val="clear" w:color="auto" w:fill="F8F7F4"/>
          </w:tcPr>
          <w:p>
            <w:pPr>
              <w:spacing w:before="60" w:after="60"/>
              <w:ind w:left="113"/>
            </w:pPr>
            <w:r>
              <w:rPr>
                <w:b w:val="0"/>
                <w:color w:val="5E5A52"/>
                <w:sz w:val="19"/>
              </w:rPr>
              <w:t>MRR £31,000</w:t>
            </w:r>
          </w:p>
        </w:tc>
      </w:tr>
      <w:tr>
        <w:tc>
          <w:tcPr>
            <w:tcW w:type="dxa" w:w="1881"/>
            <w:vAlign w:val="center"/>
            <w:tcW w:w="540000" w:type="dxa"/>
          </w:tcPr>
          <w:p>
            <w:pPr>
              <w:spacing w:before="60" w:after="60"/>
              <w:ind w:left="113"/>
            </w:pPr>
            <w:r>
              <w:rPr>
                <w:b w:val="0"/>
                <w:color w:val="1A1917"/>
                <w:sz w:val="19"/>
              </w:rPr>
              <w:t>15</w:t>
            </w:r>
          </w:p>
        </w:tc>
        <w:tc>
          <w:tcPr>
            <w:tcW w:type="dxa" w:w="1881"/>
            <w:vAlign w:val="center"/>
            <w:tcW w:w="1800000" w:type="dxa"/>
          </w:tcPr>
          <w:p>
            <w:pPr>
              <w:spacing w:before="60" w:after="60"/>
              <w:ind w:left="113"/>
            </w:pPr>
            <w:r>
              <w:rPr>
                <w:b w:val="0"/>
                <w:color w:val="5E5A52"/>
                <w:sz w:val="19"/>
              </w:rPr>
              <w:t>Insurance marketplace MVP; buildings/contents comparison widget</w:t>
            </w:r>
          </w:p>
        </w:tc>
        <w:tc>
          <w:tcPr>
            <w:tcW w:type="dxa" w:w="1881"/>
            <w:vAlign w:val="center"/>
            <w:tcW w:w="1620000" w:type="dxa"/>
          </w:tcPr>
          <w:p>
            <w:pPr>
              <w:spacing w:before="60" w:after="60"/>
              <w:ind w:left="113"/>
            </w:pPr>
            <w:r>
              <w:rPr>
                <w:b w:val="0"/>
                <w:color w:val="5E5A52"/>
                <w:sz w:val="19"/>
              </w:rPr>
              <w:t>Insurance referral content campaign</w:t>
            </w:r>
          </w:p>
        </w:tc>
        <w:tc>
          <w:tcPr>
            <w:tcW w:type="dxa" w:w="1881"/>
            <w:vAlign w:val="center"/>
            <w:tcW w:w="1440000" w:type="dxa"/>
          </w:tcPr>
          <w:p>
            <w:pPr>
              <w:spacing w:before="60" w:after="60"/>
              <w:ind w:left="113"/>
            </w:pPr>
            <w:r>
              <w:rPr>
                <w:b w:val="0"/>
                <w:color w:val="5E5A52"/>
                <w:sz w:val="19"/>
              </w:rPr>
              <w:t>First insurer partner signed; first insurance referral commission</w:t>
            </w:r>
          </w:p>
        </w:tc>
        <w:tc>
          <w:tcPr>
            <w:tcW w:type="dxa" w:w="1881"/>
            <w:vAlign w:val="center"/>
            <w:tcW w:w="1260000" w:type="dxa"/>
          </w:tcPr>
          <w:p>
            <w:pPr>
              <w:spacing w:before="60" w:after="60"/>
              <w:ind w:left="113"/>
            </w:pPr>
            <w:r>
              <w:rPr>
                <w:b w:val="0"/>
                <w:color w:val="5E5A52"/>
                <w:sz w:val="19"/>
              </w:rPr>
              <w:t>MRR £34,000</w:t>
            </w:r>
          </w:p>
        </w:tc>
      </w:tr>
      <w:tr>
        <w:tc>
          <w:tcPr>
            <w:tcW w:type="dxa" w:w="1881"/>
            <w:vAlign w:val="center"/>
            <w:tcW w:w="540000" w:type="dxa"/>
            <w:shd w:val="clear" w:color="auto" w:fill="F8F7F4"/>
          </w:tcPr>
          <w:p>
            <w:pPr>
              <w:spacing w:before="60" w:after="60"/>
              <w:ind w:left="113"/>
            </w:pPr>
            <w:r>
              <w:rPr>
                <w:b w:val="0"/>
                <w:color w:val="1A1917"/>
                <w:sz w:val="19"/>
              </w:rPr>
              <w:t>16</w:t>
            </w:r>
          </w:p>
        </w:tc>
        <w:tc>
          <w:tcPr>
            <w:tcW w:type="dxa" w:w="1881"/>
            <w:vAlign w:val="center"/>
            <w:tcW w:w="1800000" w:type="dxa"/>
            <w:shd w:val="clear" w:color="auto" w:fill="F8F7F4"/>
          </w:tcPr>
          <w:p>
            <w:pPr>
              <w:spacing w:before="60" w:after="60"/>
              <w:ind w:left="113"/>
            </w:pPr>
            <w:r>
              <w:rPr>
                <w:b w:val="0"/>
                <w:color w:val="5E5A52"/>
                <w:sz w:val="19"/>
              </w:rPr>
              <w:t>PropPilot Score v2.0: ML-calibrated against RICS survey dataset</w:t>
            </w:r>
          </w:p>
        </w:tc>
        <w:tc>
          <w:tcPr>
            <w:tcW w:type="dxa" w:w="1881"/>
            <w:vAlign w:val="center"/>
            <w:tcW w:w="1620000" w:type="dxa"/>
            <w:shd w:val="clear" w:color="auto" w:fill="F8F7F4"/>
          </w:tcPr>
          <w:p>
            <w:pPr>
              <w:spacing w:before="60" w:after="60"/>
              <w:ind w:left="113"/>
            </w:pPr>
            <w:r>
              <w:rPr>
                <w:b w:val="0"/>
                <w:color w:val="5E5A52"/>
                <w:sz w:val="19"/>
              </w:rPr>
              <w:t>PR: PropPilot Score launch press release to property press</w:t>
            </w:r>
          </w:p>
        </w:tc>
        <w:tc>
          <w:tcPr>
            <w:tcW w:type="dxa" w:w="1881"/>
            <w:vAlign w:val="center"/>
            <w:tcW w:w="1440000" w:type="dxa"/>
            <w:shd w:val="clear" w:color="auto" w:fill="F8F7F4"/>
          </w:tcPr>
          <w:p>
            <w:pPr>
              <w:spacing w:before="60" w:after="60"/>
              <w:ind w:left="113"/>
            </w:pPr>
            <w:r>
              <w:rPr>
                <w:b w:val="0"/>
                <w:color w:val="5E5A52"/>
                <w:sz w:val="19"/>
              </w:rPr>
              <w:t>RICS accreditation partnership explored</w:t>
            </w:r>
          </w:p>
        </w:tc>
        <w:tc>
          <w:tcPr>
            <w:tcW w:type="dxa" w:w="1881"/>
            <w:vAlign w:val="center"/>
            <w:tcW w:w="1260000" w:type="dxa"/>
            <w:shd w:val="clear" w:color="auto" w:fill="F8F7F4"/>
          </w:tcPr>
          <w:p>
            <w:pPr>
              <w:spacing w:before="60" w:after="60"/>
              <w:ind w:left="113"/>
            </w:pPr>
            <w:r>
              <w:rPr>
                <w:b w:val="0"/>
                <w:color w:val="5E5A52"/>
                <w:sz w:val="19"/>
              </w:rPr>
              <w:t>MRR £37,000</w:t>
            </w:r>
          </w:p>
        </w:tc>
      </w:tr>
      <w:tr>
        <w:tc>
          <w:tcPr>
            <w:tcW w:type="dxa" w:w="1881"/>
            <w:vAlign w:val="center"/>
            <w:tcW w:w="540000" w:type="dxa"/>
          </w:tcPr>
          <w:p>
            <w:pPr>
              <w:spacing w:before="60" w:after="60"/>
              <w:ind w:left="113"/>
            </w:pPr>
            <w:r>
              <w:rPr>
                <w:b w:val="0"/>
                <w:color w:val="1A1917"/>
                <w:sz w:val="19"/>
              </w:rPr>
              <w:t>17</w:t>
            </w:r>
          </w:p>
        </w:tc>
        <w:tc>
          <w:tcPr>
            <w:tcW w:type="dxa" w:w="1881"/>
            <w:vAlign w:val="center"/>
            <w:tcW w:w="1800000" w:type="dxa"/>
          </w:tcPr>
          <w:p>
            <w:pPr>
              <w:spacing w:before="60" w:after="60"/>
              <w:ind w:left="113"/>
            </w:pPr>
            <w:r>
              <w:rPr>
                <w:b w:val="0"/>
                <w:color w:val="5E5A52"/>
                <w:sz w:val="19"/>
              </w:rPr>
              <w:t>B2B data API (PropPilot Score) — lender and insurer pilots</w:t>
            </w:r>
          </w:p>
        </w:tc>
        <w:tc>
          <w:tcPr>
            <w:tcW w:type="dxa" w:w="1881"/>
            <w:vAlign w:val="center"/>
            <w:tcW w:w="1620000" w:type="dxa"/>
          </w:tcPr>
          <w:p>
            <w:pPr>
              <w:spacing w:before="60" w:after="60"/>
              <w:ind w:left="113"/>
            </w:pPr>
            <w:r>
              <w:rPr>
                <w:b w:val="0"/>
                <w:color w:val="5E5A52"/>
                <w:sz w:val="19"/>
              </w:rPr>
              <w:t>LinkedIn B2B content: "How lenders can use PropPilot Score"</w:t>
            </w:r>
          </w:p>
        </w:tc>
        <w:tc>
          <w:tcPr>
            <w:tcW w:type="dxa" w:w="1881"/>
            <w:vAlign w:val="center"/>
            <w:tcW w:w="1440000" w:type="dxa"/>
          </w:tcPr>
          <w:p>
            <w:pPr>
              <w:spacing w:before="60" w:after="60"/>
              <w:ind w:left="113"/>
            </w:pPr>
            <w:r>
              <w:rPr>
                <w:b w:val="0"/>
                <w:color w:val="5E5A52"/>
                <w:sz w:val="19"/>
              </w:rPr>
              <w:t>First lender data API pilot signed</w:t>
            </w:r>
          </w:p>
        </w:tc>
        <w:tc>
          <w:tcPr>
            <w:tcW w:type="dxa" w:w="1881"/>
            <w:vAlign w:val="center"/>
            <w:tcW w:w="1260000" w:type="dxa"/>
          </w:tcPr>
          <w:p>
            <w:pPr>
              <w:spacing w:before="60" w:after="60"/>
              <w:ind w:left="113"/>
            </w:pPr>
            <w:r>
              <w:rPr>
                <w:b w:val="0"/>
                <w:color w:val="5E5A52"/>
                <w:sz w:val="19"/>
              </w:rPr>
              <w:t>MRR £40,000; first B2B data revenue</w:t>
            </w:r>
          </w:p>
        </w:tc>
      </w:tr>
      <w:tr>
        <w:tc>
          <w:tcPr>
            <w:tcW w:type="dxa" w:w="1881"/>
            <w:vAlign w:val="center"/>
            <w:tcW w:w="540000" w:type="dxa"/>
            <w:shd w:val="clear" w:color="auto" w:fill="F8F7F4"/>
          </w:tcPr>
          <w:p>
            <w:pPr>
              <w:spacing w:before="60" w:after="60"/>
              <w:ind w:left="113"/>
            </w:pPr>
            <w:r>
              <w:rPr>
                <w:b w:val="0"/>
                <w:color w:val="1A1917"/>
                <w:sz w:val="19"/>
              </w:rPr>
              <w:t>18</w:t>
            </w:r>
          </w:p>
        </w:tc>
        <w:tc>
          <w:tcPr>
            <w:tcW w:type="dxa" w:w="1881"/>
            <w:vAlign w:val="center"/>
            <w:tcW w:w="1800000" w:type="dxa"/>
            <w:shd w:val="clear" w:color="auto" w:fill="F8F7F4"/>
          </w:tcPr>
          <w:p>
            <w:pPr>
              <w:spacing w:before="60" w:after="60"/>
              <w:ind w:left="113"/>
            </w:pPr>
            <w:r>
              <w:rPr>
                <w:b w:val="0"/>
                <w:color w:val="5E5A52"/>
                <w:sz w:val="19"/>
              </w:rPr>
              <w:t>Landlord portfolio suite: multi-property dashboard, compliance tracking</w:t>
            </w:r>
          </w:p>
        </w:tc>
        <w:tc>
          <w:tcPr>
            <w:tcW w:type="dxa" w:w="1881"/>
            <w:vAlign w:val="center"/>
            <w:tcW w:w="1620000" w:type="dxa"/>
            <w:shd w:val="clear" w:color="auto" w:fill="F8F7F4"/>
          </w:tcPr>
          <w:p>
            <w:pPr>
              <w:spacing w:before="60" w:after="60"/>
              <w:ind w:left="113"/>
            </w:pPr>
            <w:r>
              <w:rPr>
                <w:b w:val="0"/>
                <w:color w:val="5E5A52"/>
                <w:sz w:val="19"/>
              </w:rPr>
              <w:t>UK Landlord Expo presence; ARLA Propertymark conference</w:t>
            </w:r>
          </w:p>
        </w:tc>
        <w:tc>
          <w:tcPr>
            <w:tcW w:type="dxa" w:w="1881"/>
            <w:vAlign w:val="center"/>
            <w:tcW w:w="1440000" w:type="dxa"/>
            <w:shd w:val="clear" w:color="auto" w:fill="F8F7F4"/>
          </w:tcPr>
          <w:p>
            <w:pPr>
              <w:spacing w:before="60" w:after="60"/>
              <w:ind w:left="113"/>
            </w:pPr>
            <w:r>
              <w:rPr>
                <w:b w:val="0"/>
                <w:color w:val="5E5A52"/>
                <w:sz w:val="19"/>
              </w:rPr>
              <w:t>ARLA partnership signed; 20 B2B partners total</w:t>
            </w:r>
          </w:p>
        </w:tc>
        <w:tc>
          <w:tcPr>
            <w:tcW w:type="dxa" w:w="1881"/>
            <w:vAlign w:val="center"/>
            <w:tcW w:w="1260000" w:type="dxa"/>
            <w:shd w:val="clear" w:color="auto" w:fill="F8F7F4"/>
          </w:tcPr>
          <w:p>
            <w:pPr>
              <w:spacing w:before="60" w:after="60"/>
              <w:ind w:left="113"/>
            </w:pPr>
            <w:r>
              <w:rPr>
                <w:b w:val="0"/>
                <w:color w:val="5E5A52"/>
                <w:sz w:val="19"/>
              </w:rPr>
              <w:t>MRR £44,000; 2,000 paid subscribers</w:t>
            </w:r>
          </w:p>
        </w:tc>
      </w:tr>
      <w:tr>
        <w:tc>
          <w:tcPr>
            <w:tcW w:type="dxa" w:w="1881"/>
            <w:vAlign w:val="center"/>
            <w:tcW w:w="540000" w:type="dxa"/>
          </w:tcPr>
          <w:p>
            <w:pPr>
              <w:spacing w:before="60" w:after="60"/>
              <w:ind w:left="113"/>
            </w:pPr>
            <w:r>
              <w:rPr>
                <w:b w:val="0"/>
                <w:color w:val="1A1917"/>
                <w:sz w:val="19"/>
              </w:rPr>
              <w:t>19</w:t>
            </w:r>
          </w:p>
        </w:tc>
        <w:tc>
          <w:tcPr>
            <w:tcW w:type="dxa" w:w="1881"/>
            <w:vAlign w:val="center"/>
            <w:tcW w:w="1800000" w:type="dxa"/>
          </w:tcPr>
          <w:p>
            <w:pPr>
              <w:spacing w:before="60" w:after="60"/>
              <w:ind w:left="113"/>
            </w:pPr>
            <w:r>
              <w:rPr>
                <w:b w:val="0"/>
                <w:color w:val="5E5A52"/>
                <w:sz w:val="19"/>
              </w:rPr>
              <w:t>3rd engineer hire; Supabase performance optimisation for scale</w:t>
            </w:r>
          </w:p>
        </w:tc>
        <w:tc>
          <w:tcPr>
            <w:tcW w:type="dxa" w:w="1881"/>
            <w:vAlign w:val="center"/>
            <w:tcW w:w="1620000" w:type="dxa"/>
          </w:tcPr>
          <w:p>
            <w:pPr>
              <w:spacing w:before="60" w:after="60"/>
              <w:ind w:left="113"/>
            </w:pPr>
            <w:r>
              <w:rPr>
                <w:b w:val="0"/>
                <w:color w:val="5E5A52"/>
                <w:sz w:val="19"/>
              </w:rPr>
              <w:t>TikTok channel: 10,000 followers target</w:t>
            </w:r>
          </w:p>
        </w:tc>
        <w:tc>
          <w:tcPr>
            <w:tcW w:type="dxa" w:w="1881"/>
            <w:vAlign w:val="center"/>
            <w:tcW w:w="1440000" w:type="dxa"/>
          </w:tcPr>
          <w:p>
            <w:pPr>
              <w:spacing w:before="60" w:after="60"/>
              <w:ind w:left="113"/>
            </w:pPr>
            <w:r>
              <w:rPr>
                <w:b w:val="0"/>
                <w:color w:val="5E5A52"/>
                <w:sz w:val="19"/>
              </w:rPr>
              <w:t>Data Science hire; EPC prediction model in production</w:t>
            </w:r>
          </w:p>
        </w:tc>
        <w:tc>
          <w:tcPr>
            <w:tcW w:type="dxa" w:w="1881"/>
            <w:vAlign w:val="center"/>
            <w:tcW w:w="1260000" w:type="dxa"/>
          </w:tcPr>
          <w:p>
            <w:pPr>
              <w:spacing w:before="60" w:after="60"/>
              <w:ind w:left="113"/>
            </w:pPr>
            <w:r>
              <w:rPr>
                <w:b w:val="0"/>
                <w:color w:val="5E5A52"/>
                <w:sz w:val="19"/>
              </w:rPr>
              <w:t>MRR £47,000</w:t>
            </w:r>
          </w:p>
        </w:tc>
      </w:tr>
      <w:tr>
        <w:tc>
          <w:tcPr>
            <w:tcW w:type="dxa" w:w="1881"/>
            <w:vAlign w:val="center"/>
            <w:tcW w:w="540000" w:type="dxa"/>
            <w:shd w:val="clear" w:color="auto" w:fill="F8F7F4"/>
          </w:tcPr>
          <w:p>
            <w:pPr>
              <w:spacing w:before="60" w:after="60"/>
              <w:ind w:left="113"/>
            </w:pPr>
            <w:r>
              <w:rPr>
                <w:b w:val="0"/>
                <w:color w:val="1A1917"/>
                <w:sz w:val="19"/>
              </w:rPr>
              <w:t>20</w:t>
            </w:r>
          </w:p>
        </w:tc>
        <w:tc>
          <w:tcPr>
            <w:tcW w:type="dxa" w:w="1881"/>
            <w:vAlign w:val="center"/>
            <w:tcW w:w="1800000" w:type="dxa"/>
            <w:shd w:val="clear" w:color="auto" w:fill="F8F7F4"/>
          </w:tcPr>
          <w:p>
            <w:pPr>
              <w:spacing w:before="60" w:after="60"/>
              <w:ind w:left="113"/>
            </w:pPr>
            <w:r>
              <w:rPr>
                <w:b w:val="0"/>
                <w:color w:val="5E5A52"/>
                <w:sz w:val="19"/>
              </w:rPr>
              <w:t>Shared ownership staircase calculator; Right to Buy calculator</w:t>
            </w:r>
          </w:p>
        </w:tc>
        <w:tc>
          <w:tcPr>
            <w:tcW w:type="dxa" w:w="1881"/>
            <w:vAlign w:val="center"/>
            <w:tcW w:w="1620000" w:type="dxa"/>
            <w:shd w:val="clear" w:color="auto" w:fill="F8F7F4"/>
          </w:tcPr>
          <w:p>
            <w:pPr>
              <w:spacing w:before="60" w:after="60"/>
              <w:ind w:left="113"/>
            </w:pPr>
            <w:r>
              <w:rPr>
                <w:b w:val="0"/>
                <w:color w:val="5E5A52"/>
                <w:sz w:val="19"/>
              </w:rPr>
              <w:t>Shared ownership content hub; Housing association BD</w:t>
            </w:r>
          </w:p>
        </w:tc>
        <w:tc>
          <w:tcPr>
            <w:tcW w:type="dxa" w:w="1881"/>
            <w:vAlign w:val="center"/>
            <w:tcW w:w="1440000" w:type="dxa"/>
            <w:shd w:val="clear" w:color="auto" w:fill="F8F7F4"/>
          </w:tcPr>
          <w:p>
            <w:pPr>
              <w:spacing w:before="60" w:after="60"/>
              <w:ind w:left="113"/>
            </w:pPr>
            <w:r>
              <w:rPr>
                <w:b w:val="0"/>
                <w:color w:val="5E5A52"/>
                <w:sz w:val="19"/>
              </w:rPr>
              <w:t>First housing association content partnership</w:t>
            </w:r>
          </w:p>
        </w:tc>
        <w:tc>
          <w:tcPr>
            <w:tcW w:type="dxa" w:w="1881"/>
            <w:vAlign w:val="center"/>
            <w:tcW w:w="1260000" w:type="dxa"/>
            <w:shd w:val="clear" w:color="auto" w:fill="F8F7F4"/>
          </w:tcPr>
          <w:p>
            <w:pPr>
              <w:spacing w:before="60" w:after="60"/>
              <w:ind w:left="113"/>
            </w:pPr>
            <w:r>
              <w:rPr>
                <w:b w:val="0"/>
                <w:color w:val="5E5A52"/>
                <w:sz w:val="19"/>
              </w:rPr>
              <w:t>MRR £50,000</w:t>
            </w:r>
          </w:p>
        </w:tc>
      </w:tr>
      <w:tr>
        <w:tc>
          <w:tcPr>
            <w:tcW w:type="dxa" w:w="1881"/>
            <w:vAlign w:val="center"/>
            <w:tcW w:w="540000" w:type="dxa"/>
          </w:tcPr>
          <w:p>
            <w:pPr>
              <w:spacing w:before="60" w:after="60"/>
              <w:ind w:left="113"/>
            </w:pPr>
            <w:r>
              <w:rPr>
                <w:b w:val="0"/>
                <w:color w:val="1A1917"/>
                <w:sz w:val="19"/>
              </w:rPr>
              <w:t>21</w:t>
            </w:r>
          </w:p>
        </w:tc>
        <w:tc>
          <w:tcPr>
            <w:tcW w:type="dxa" w:w="1881"/>
            <w:vAlign w:val="center"/>
            <w:tcW w:w="1800000" w:type="dxa"/>
          </w:tcPr>
          <w:p>
            <w:pPr>
              <w:spacing w:before="60" w:after="60"/>
              <w:ind w:left="113"/>
            </w:pPr>
            <w:r>
              <w:rPr>
                <w:b w:val="0"/>
                <w:color w:val="5E5A52"/>
                <w:sz w:val="19"/>
              </w:rPr>
              <w:t>Automated valuation model (AVM) integration (land registry + HPI)</w:t>
            </w:r>
          </w:p>
        </w:tc>
        <w:tc>
          <w:tcPr>
            <w:tcW w:type="dxa" w:w="1881"/>
            <w:vAlign w:val="center"/>
            <w:tcW w:w="1620000" w:type="dxa"/>
          </w:tcPr>
          <w:p>
            <w:pPr>
              <w:spacing w:before="60" w:after="60"/>
              <w:ind w:left="113"/>
            </w:pPr>
            <w:r>
              <w:rPr>
                <w:b w:val="0"/>
                <w:color w:val="5E5A52"/>
                <w:sz w:val="19"/>
              </w:rPr>
              <w:t>AVM launch PR; "What is my house worth?" content campaign</w:t>
            </w:r>
          </w:p>
        </w:tc>
        <w:tc>
          <w:tcPr>
            <w:tcW w:type="dxa" w:w="1881"/>
            <w:vAlign w:val="center"/>
            <w:tcW w:w="1440000" w:type="dxa"/>
          </w:tcPr>
          <w:p>
            <w:pPr>
              <w:spacing w:before="60" w:after="60"/>
              <w:ind w:left="113"/>
            </w:pPr>
            <w:r>
              <w:rPr>
                <w:b w:val="0"/>
                <w:color w:val="5E5A52"/>
                <w:sz w:val="19"/>
              </w:rPr>
              <w:t>Series B preparation begins</w:t>
            </w:r>
          </w:p>
        </w:tc>
        <w:tc>
          <w:tcPr>
            <w:tcW w:type="dxa" w:w="1881"/>
            <w:vAlign w:val="center"/>
            <w:tcW w:w="1260000" w:type="dxa"/>
          </w:tcPr>
          <w:p>
            <w:pPr>
              <w:spacing w:before="60" w:after="60"/>
              <w:ind w:left="113"/>
            </w:pPr>
            <w:r>
              <w:rPr>
                <w:b w:val="0"/>
                <w:color w:val="5E5A52"/>
                <w:sz w:val="19"/>
              </w:rPr>
              <w:t>MRR £53,000; ARR £636,000</w:t>
            </w:r>
          </w:p>
        </w:tc>
      </w:tr>
      <w:tr>
        <w:tc>
          <w:tcPr>
            <w:tcW w:type="dxa" w:w="1881"/>
            <w:vAlign w:val="center"/>
            <w:tcW w:w="540000" w:type="dxa"/>
            <w:shd w:val="clear" w:color="auto" w:fill="F8F7F4"/>
          </w:tcPr>
          <w:p>
            <w:pPr>
              <w:spacing w:before="60" w:after="60"/>
              <w:ind w:left="113"/>
            </w:pPr>
            <w:r>
              <w:rPr>
                <w:b w:val="0"/>
                <w:color w:val="1A1917"/>
                <w:sz w:val="19"/>
              </w:rPr>
              <w:t>22</w:t>
            </w:r>
          </w:p>
        </w:tc>
        <w:tc>
          <w:tcPr>
            <w:tcW w:type="dxa" w:w="1881"/>
            <w:vAlign w:val="center"/>
            <w:tcW w:w="1800000" w:type="dxa"/>
            <w:shd w:val="clear" w:color="auto" w:fill="F8F7F4"/>
          </w:tcPr>
          <w:p>
            <w:pPr>
              <w:spacing w:before="60" w:after="60"/>
              <w:ind w:left="113"/>
            </w:pPr>
            <w:r>
              <w:rPr>
                <w:b w:val="0"/>
                <w:color w:val="5E5A52"/>
                <w:sz w:val="19"/>
              </w:rPr>
              <w:t>Republic of Ireland data source research; Irish stamp duty calc</w:t>
            </w:r>
          </w:p>
        </w:tc>
        <w:tc>
          <w:tcPr>
            <w:tcW w:type="dxa" w:w="1881"/>
            <w:vAlign w:val="center"/>
            <w:tcW w:w="1620000" w:type="dxa"/>
            <w:shd w:val="clear" w:color="auto" w:fill="F8F7F4"/>
          </w:tcPr>
          <w:p>
            <w:pPr>
              <w:spacing w:before="60" w:after="60"/>
              <w:ind w:left="113"/>
            </w:pPr>
            <w:r>
              <w:rPr>
                <w:b w:val="0"/>
                <w:color w:val="5E5A52"/>
                <w:sz w:val="19"/>
              </w:rPr>
              <w:t>Irish property media outreach; IrelandsPropertyNetwork contact</w:t>
            </w:r>
          </w:p>
        </w:tc>
        <w:tc>
          <w:tcPr>
            <w:tcW w:type="dxa" w:w="1881"/>
            <w:vAlign w:val="center"/>
            <w:tcW w:w="1440000" w:type="dxa"/>
            <w:shd w:val="clear" w:color="auto" w:fill="F8F7F4"/>
          </w:tcPr>
          <w:p>
            <w:pPr>
              <w:spacing w:before="60" w:after="60"/>
              <w:ind w:left="113"/>
            </w:pPr>
            <w:r>
              <w:rPr>
                <w:b w:val="0"/>
                <w:color w:val="5E5A52"/>
                <w:sz w:val="19"/>
              </w:rPr>
              <w:t>Ireland go/no-go decision based on data API availability</w:t>
            </w:r>
          </w:p>
        </w:tc>
        <w:tc>
          <w:tcPr>
            <w:tcW w:type="dxa" w:w="1881"/>
            <w:vAlign w:val="center"/>
            <w:tcW w:w="1260000" w:type="dxa"/>
            <w:shd w:val="clear" w:color="auto" w:fill="F8F7F4"/>
          </w:tcPr>
          <w:p>
            <w:pPr>
              <w:spacing w:before="60" w:after="60"/>
              <w:ind w:left="113"/>
            </w:pPr>
            <w:r>
              <w:rPr>
                <w:b w:val="0"/>
                <w:color w:val="5E5A52"/>
                <w:sz w:val="19"/>
              </w:rPr>
              <w:t>MRR £56,000</w:t>
            </w:r>
          </w:p>
        </w:tc>
      </w:tr>
      <w:tr>
        <w:tc>
          <w:tcPr>
            <w:tcW w:type="dxa" w:w="1881"/>
            <w:vAlign w:val="center"/>
            <w:tcW w:w="540000" w:type="dxa"/>
          </w:tcPr>
          <w:p>
            <w:pPr>
              <w:spacing w:before="60" w:after="60"/>
              <w:ind w:left="113"/>
            </w:pPr>
            <w:r>
              <w:rPr>
                <w:b w:val="0"/>
                <w:color w:val="1A1917"/>
                <w:sz w:val="19"/>
              </w:rPr>
              <w:t>23</w:t>
            </w:r>
          </w:p>
        </w:tc>
        <w:tc>
          <w:tcPr>
            <w:tcW w:type="dxa" w:w="1881"/>
            <w:vAlign w:val="center"/>
            <w:tcW w:w="1800000" w:type="dxa"/>
          </w:tcPr>
          <w:p>
            <w:pPr>
              <w:spacing w:before="60" w:after="60"/>
              <w:ind w:left="113"/>
            </w:pPr>
            <w:r>
              <w:rPr>
                <w:b w:val="0"/>
                <w:color w:val="5E5A52"/>
                <w:sz w:val="19"/>
              </w:rPr>
              <w:t>White-label PDF v2.0: branded for estate agent partners</w:t>
            </w:r>
          </w:p>
        </w:tc>
        <w:tc>
          <w:tcPr>
            <w:tcW w:type="dxa" w:w="1881"/>
            <w:vAlign w:val="center"/>
            <w:tcW w:w="1620000" w:type="dxa"/>
          </w:tcPr>
          <w:p>
            <w:pPr>
              <w:spacing w:before="60" w:after="60"/>
              <w:ind w:left="113"/>
            </w:pPr>
            <w:r>
              <w:rPr>
                <w:b w:val="0"/>
                <w:color w:val="5E5A52"/>
                <w:sz w:val="19"/>
              </w:rPr>
              <w:t>Estate agent case study content series</w:t>
            </w:r>
          </w:p>
        </w:tc>
        <w:tc>
          <w:tcPr>
            <w:tcW w:type="dxa" w:w="1881"/>
            <w:vAlign w:val="center"/>
            <w:tcW w:w="1440000" w:type="dxa"/>
          </w:tcPr>
          <w:p>
            <w:pPr>
              <w:spacing w:before="60" w:after="60"/>
              <w:ind w:left="113"/>
            </w:pPr>
            <w:r>
              <w:rPr>
                <w:b w:val="0"/>
                <w:color w:val="5E5A52"/>
                <w:sz w:val="19"/>
              </w:rPr>
              <w:t>10 estate agent API customers live</w:t>
            </w:r>
          </w:p>
        </w:tc>
        <w:tc>
          <w:tcPr>
            <w:tcW w:type="dxa" w:w="1881"/>
            <w:vAlign w:val="center"/>
            <w:tcW w:w="1260000" w:type="dxa"/>
          </w:tcPr>
          <w:p>
            <w:pPr>
              <w:spacing w:before="60" w:after="60"/>
              <w:ind w:left="113"/>
            </w:pPr>
            <w:r>
              <w:rPr>
                <w:b w:val="0"/>
                <w:color w:val="5E5A52"/>
                <w:sz w:val="19"/>
              </w:rPr>
              <w:t>MRR £59,000; B2B API: £1,500/month</w:t>
            </w:r>
          </w:p>
        </w:tc>
      </w:tr>
      <w:tr>
        <w:tc>
          <w:tcPr>
            <w:tcW w:type="dxa" w:w="1881"/>
            <w:vAlign w:val="center"/>
            <w:tcW w:w="540000" w:type="dxa"/>
            <w:shd w:val="clear" w:color="auto" w:fill="F8F7F4"/>
          </w:tcPr>
          <w:p>
            <w:pPr>
              <w:spacing w:before="60" w:after="60"/>
              <w:ind w:left="113"/>
            </w:pPr>
            <w:r>
              <w:rPr>
                <w:b w:val="0"/>
                <w:color w:val="1A1917"/>
                <w:sz w:val="19"/>
              </w:rPr>
              <w:t>24</w:t>
            </w:r>
          </w:p>
        </w:tc>
        <w:tc>
          <w:tcPr>
            <w:tcW w:type="dxa" w:w="1881"/>
            <w:vAlign w:val="center"/>
            <w:tcW w:w="1800000" w:type="dxa"/>
            <w:shd w:val="clear" w:color="auto" w:fill="F8F7F4"/>
          </w:tcPr>
          <w:p>
            <w:pPr>
              <w:spacing w:before="60" w:after="60"/>
              <w:ind w:left="113"/>
            </w:pPr>
            <w:r>
              <w:rPr>
                <w:b w:val="0"/>
                <w:color w:val="5E5A52"/>
                <w:sz w:val="19"/>
              </w:rPr>
              <w:t>Full landlord compliance suite: gas, EICR, EPC, selective licensing</w:t>
            </w:r>
          </w:p>
        </w:tc>
        <w:tc>
          <w:tcPr>
            <w:tcW w:type="dxa" w:w="1881"/>
            <w:vAlign w:val="center"/>
            <w:tcW w:w="1620000" w:type="dxa"/>
            <w:shd w:val="clear" w:color="auto" w:fill="F8F7F4"/>
          </w:tcPr>
          <w:p>
            <w:pPr>
              <w:spacing w:before="60" w:after="60"/>
              <w:ind w:left="113"/>
            </w:pPr>
            <w:r>
              <w:rPr>
                <w:b w:val="0"/>
                <w:color w:val="5E5A52"/>
                <w:sz w:val="19"/>
              </w:rPr>
              <w:t>End-of-Year 2 recap; user survey; testimonial video production</w:t>
            </w:r>
          </w:p>
        </w:tc>
        <w:tc>
          <w:tcPr>
            <w:tcW w:type="dxa" w:w="1881"/>
            <w:vAlign w:val="center"/>
            <w:tcW w:w="1440000" w:type="dxa"/>
            <w:shd w:val="clear" w:color="auto" w:fill="F8F7F4"/>
          </w:tcPr>
          <w:p>
            <w:pPr>
              <w:spacing w:before="60" w:after="60"/>
              <w:ind w:left="113"/>
            </w:pPr>
            <w:r>
              <w:rPr>
                <w:b w:val="0"/>
                <w:color w:val="5E5A52"/>
                <w:sz w:val="19"/>
              </w:rPr>
              <w:t>Series B close target; team of 11 in place</w:t>
            </w:r>
          </w:p>
        </w:tc>
        <w:tc>
          <w:tcPr>
            <w:tcW w:type="dxa" w:w="1881"/>
            <w:vAlign w:val="center"/>
            <w:tcW w:w="1260000" w:type="dxa"/>
            <w:shd w:val="clear" w:color="auto" w:fill="F8F7F4"/>
          </w:tcPr>
          <w:p>
            <w:pPr>
              <w:spacing w:before="60" w:after="60"/>
              <w:ind w:left="113"/>
            </w:pPr>
            <w:r>
              <w:rPr>
                <w:b w:val="0"/>
                <w:color w:val="5E5A52"/>
                <w:sz w:val="19"/>
              </w:rPr>
              <w:t>MRR £63,000; 3,500 paid subscribers; ARR £756,000</w:t>
            </w:r>
          </w:p>
        </w:tc>
      </w:tr>
    </w:tbl>
    <w:p/>
    <w:p>
      <w:pPr>
        <w:spacing w:before="160" w:after="160"/>
        <w:pBdr>
          <w:bottom w:val="single" w:sz="4" w:space="1" w:color="D1CEC8"/>
        </w:pBdr>
      </w:pPr>
    </w:p>
    <w:p>
      <w:r>
        <w:br w:type="page"/>
      </w:r>
    </w:p>
    <w:p>
      <w:pPr>
        <w:pStyle w:val="Heading1"/>
        <w:spacing w:before="400" w:after="120"/>
      </w:pPr>
      <w:r>
        <w:rPr>
          <w:color w:val="1D9E75"/>
          <w:sz w:val="32"/>
        </w:rPr>
        <w:t>62. Operational Plan — Year 3 (Monthly)</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vAlign w:val="center"/>
            <w:tcW w:w="540000" w:type="dxa"/>
            <w:shd w:val="clear" w:color="auto" w:fill="1D9E75"/>
          </w:tcPr>
          <w:p>
            <w:pPr>
              <w:spacing w:before="60" w:after="60"/>
              <w:ind w:left="113"/>
            </w:pPr>
            <w:r>
              <w:rPr>
                <w:b/>
                <w:color w:val="FFFFFF"/>
                <w:sz w:val="19"/>
              </w:rPr>
              <w:t>Month</w:t>
            </w:r>
          </w:p>
        </w:tc>
        <w:tc>
          <w:tcPr>
            <w:tcW w:type="dxa" w:w="1881"/>
            <w:vAlign w:val="center"/>
            <w:tcW w:w="1800000" w:type="dxa"/>
            <w:shd w:val="clear" w:color="auto" w:fill="1D9E75"/>
          </w:tcPr>
          <w:p>
            <w:pPr>
              <w:spacing w:before="60" w:after="60"/>
              <w:ind w:left="113"/>
            </w:pPr>
            <w:r>
              <w:rPr>
                <w:b/>
                <w:color w:val="FFFFFF"/>
                <w:sz w:val="19"/>
              </w:rPr>
              <w:t>Engineering</w:t>
            </w:r>
          </w:p>
        </w:tc>
        <w:tc>
          <w:tcPr>
            <w:tcW w:type="dxa" w:w="1881"/>
            <w:vAlign w:val="center"/>
            <w:tcW w:w="1620000" w:type="dxa"/>
            <w:shd w:val="clear" w:color="auto" w:fill="1D9E75"/>
          </w:tcPr>
          <w:p>
            <w:pPr>
              <w:spacing w:before="60" w:after="60"/>
              <w:ind w:left="113"/>
            </w:pPr>
            <w:r>
              <w:rPr>
                <w:b/>
                <w:color w:val="FFFFFF"/>
                <w:sz w:val="19"/>
              </w:rPr>
              <w:t>Marketing / Growth</w:t>
            </w:r>
          </w:p>
        </w:tc>
        <w:tc>
          <w:tcPr>
            <w:tcW w:type="dxa" w:w="1881"/>
            <w:vAlign w:val="center"/>
            <w:tcW w:w="1440000" w:type="dxa"/>
            <w:shd w:val="clear" w:color="auto" w:fill="1D9E75"/>
          </w:tcPr>
          <w:p>
            <w:pPr>
              <w:spacing w:before="60" w:after="60"/>
              <w:ind w:left="113"/>
            </w:pPr>
            <w:r>
              <w:rPr>
                <w:b/>
                <w:color w:val="FFFFFF"/>
                <w:sz w:val="19"/>
              </w:rPr>
              <w:t>Operations / BD</w:t>
            </w:r>
          </w:p>
        </w:tc>
        <w:tc>
          <w:tcPr>
            <w:tcW w:type="dxa" w:w="1881"/>
            <w:vAlign w:val="center"/>
            <w:tcW w:w="1260000" w:type="dxa"/>
            <w:shd w:val="clear" w:color="auto" w:fill="1D9E75"/>
          </w:tcPr>
          <w:p>
            <w:pPr>
              <w:spacing w:before="60" w:after="60"/>
              <w:ind w:left="113"/>
            </w:pPr>
            <w:r>
              <w:rPr>
                <w:b/>
                <w:color w:val="FFFFFF"/>
                <w:sz w:val="19"/>
              </w:rPr>
              <w:t>Financial milestone</w:t>
            </w:r>
          </w:p>
        </w:tc>
      </w:tr>
      <w:tr>
        <w:tc>
          <w:tcPr>
            <w:tcW w:type="dxa" w:w="1881"/>
            <w:vAlign w:val="center"/>
            <w:tcW w:w="540000" w:type="dxa"/>
          </w:tcPr>
          <w:p>
            <w:pPr>
              <w:spacing w:before="60" w:after="60"/>
              <w:ind w:left="113"/>
            </w:pPr>
            <w:r>
              <w:rPr>
                <w:b w:val="0"/>
                <w:color w:val="1A1917"/>
                <w:sz w:val="19"/>
              </w:rPr>
              <w:t>25</w:t>
            </w:r>
          </w:p>
        </w:tc>
        <w:tc>
          <w:tcPr>
            <w:tcW w:type="dxa" w:w="1881"/>
            <w:vAlign w:val="center"/>
            <w:tcW w:w="1800000" w:type="dxa"/>
          </w:tcPr>
          <w:p>
            <w:pPr>
              <w:spacing w:before="60" w:after="60"/>
              <w:ind w:left="113"/>
            </w:pPr>
            <w:r>
              <w:rPr>
                <w:b w:val="0"/>
                <w:color w:val="5E5A52"/>
                <w:sz w:val="19"/>
              </w:rPr>
              <w:t>Series B capital deployed; hire 4th + 5th engineers; data engineer hire</w:t>
            </w:r>
          </w:p>
        </w:tc>
        <w:tc>
          <w:tcPr>
            <w:tcW w:type="dxa" w:w="1881"/>
            <w:vAlign w:val="center"/>
            <w:tcW w:w="1620000" w:type="dxa"/>
          </w:tcPr>
          <w:p>
            <w:pPr>
              <w:spacing w:before="60" w:after="60"/>
              <w:ind w:left="113"/>
            </w:pPr>
            <w:r>
              <w:rPr>
                <w:b w:val="0"/>
                <w:color w:val="5E5A52"/>
                <w:sz w:val="19"/>
              </w:rPr>
              <w:t>Brand refresh; new brand assets; PR agency retained</w:t>
            </w:r>
          </w:p>
        </w:tc>
        <w:tc>
          <w:tcPr>
            <w:tcW w:type="dxa" w:w="1881"/>
            <w:vAlign w:val="center"/>
            <w:tcW w:w="1440000" w:type="dxa"/>
          </w:tcPr>
          <w:p>
            <w:pPr>
              <w:spacing w:before="60" w:after="60"/>
              <w:ind w:left="113"/>
            </w:pPr>
            <w:r>
              <w:rPr>
                <w:b w:val="0"/>
                <w:color w:val="5E5A52"/>
                <w:sz w:val="19"/>
              </w:rPr>
              <w:t>Series B closed; 21-person team plan activated</w:t>
            </w:r>
          </w:p>
        </w:tc>
        <w:tc>
          <w:tcPr>
            <w:tcW w:type="dxa" w:w="1881"/>
            <w:vAlign w:val="center"/>
            <w:tcW w:w="1260000" w:type="dxa"/>
          </w:tcPr>
          <w:p>
            <w:pPr>
              <w:spacing w:before="60" w:after="60"/>
              <w:ind w:left="113"/>
            </w:pPr>
            <w:r>
              <w:rPr>
                <w:b w:val="0"/>
                <w:color w:val="5E5A52"/>
                <w:sz w:val="19"/>
              </w:rPr>
              <w:t>MRR £70,000</w:t>
            </w:r>
          </w:p>
        </w:tc>
      </w:tr>
      <w:tr>
        <w:tc>
          <w:tcPr>
            <w:tcW w:type="dxa" w:w="1881"/>
            <w:vAlign w:val="center"/>
            <w:tcW w:w="540000" w:type="dxa"/>
            <w:shd w:val="clear" w:color="auto" w:fill="F8F7F4"/>
          </w:tcPr>
          <w:p>
            <w:pPr>
              <w:spacing w:before="60" w:after="60"/>
              <w:ind w:left="113"/>
            </w:pPr>
            <w:r>
              <w:rPr>
                <w:b w:val="0"/>
                <w:color w:val="1A1917"/>
                <w:sz w:val="19"/>
              </w:rPr>
              <w:t>26</w:t>
            </w:r>
          </w:p>
        </w:tc>
        <w:tc>
          <w:tcPr>
            <w:tcW w:type="dxa" w:w="1881"/>
            <w:vAlign w:val="center"/>
            <w:tcW w:w="1800000" w:type="dxa"/>
            <w:shd w:val="clear" w:color="auto" w:fill="F8F7F4"/>
          </w:tcPr>
          <w:p>
            <w:pPr>
              <w:spacing w:before="60" w:after="60"/>
              <w:ind w:left="113"/>
            </w:pPr>
            <w:r>
              <w:rPr>
                <w:b w:val="0"/>
                <w:color w:val="5E5A52"/>
                <w:sz w:val="19"/>
              </w:rPr>
              <w:t>PropPilot Score B2B API public launch; pricing tiers for lenders</w:t>
            </w:r>
          </w:p>
        </w:tc>
        <w:tc>
          <w:tcPr>
            <w:tcW w:type="dxa" w:w="1881"/>
            <w:vAlign w:val="center"/>
            <w:tcW w:w="1620000" w:type="dxa"/>
            <w:shd w:val="clear" w:color="auto" w:fill="F8F7F4"/>
          </w:tcPr>
          <w:p>
            <w:pPr>
              <w:spacing w:before="60" w:after="60"/>
              <w:ind w:left="113"/>
            </w:pPr>
            <w:r>
              <w:rPr>
                <w:b w:val="0"/>
                <w:color w:val="5E5A52"/>
                <w:sz w:val="19"/>
              </w:rPr>
              <w:t>FinTech media outreach for Score API; B2B content hub live</w:t>
            </w:r>
          </w:p>
        </w:tc>
        <w:tc>
          <w:tcPr>
            <w:tcW w:type="dxa" w:w="1881"/>
            <w:vAlign w:val="center"/>
            <w:tcW w:w="1440000" w:type="dxa"/>
            <w:shd w:val="clear" w:color="auto" w:fill="F8F7F4"/>
          </w:tcPr>
          <w:p>
            <w:pPr>
              <w:spacing w:before="60" w:after="60"/>
              <w:ind w:left="113"/>
            </w:pPr>
            <w:r>
              <w:rPr>
                <w:b w:val="0"/>
                <w:color w:val="5E5A52"/>
                <w:sz w:val="19"/>
              </w:rPr>
              <w:t>First lender Score API paying customer</w:t>
            </w:r>
          </w:p>
        </w:tc>
        <w:tc>
          <w:tcPr>
            <w:tcW w:type="dxa" w:w="1881"/>
            <w:vAlign w:val="center"/>
            <w:tcW w:w="1260000" w:type="dxa"/>
            <w:shd w:val="clear" w:color="auto" w:fill="F8F7F4"/>
          </w:tcPr>
          <w:p>
            <w:pPr>
              <w:spacing w:before="60" w:after="60"/>
              <w:ind w:left="113"/>
            </w:pPr>
            <w:r>
              <w:rPr>
                <w:b w:val="0"/>
                <w:color w:val="5E5A52"/>
                <w:sz w:val="19"/>
              </w:rPr>
              <w:t>MRR £78,000; Score API: £3,000/month</w:t>
            </w:r>
          </w:p>
        </w:tc>
      </w:tr>
      <w:tr>
        <w:tc>
          <w:tcPr>
            <w:tcW w:type="dxa" w:w="1881"/>
            <w:vAlign w:val="center"/>
            <w:tcW w:w="540000" w:type="dxa"/>
          </w:tcPr>
          <w:p>
            <w:pPr>
              <w:spacing w:before="60" w:after="60"/>
              <w:ind w:left="113"/>
            </w:pPr>
            <w:r>
              <w:rPr>
                <w:b w:val="0"/>
                <w:color w:val="1A1917"/>
                <w:sz w:val="19"/>
              </w:rPr>
              <w:t>27</w:t>
            </w:r>
          </w:p>
        </w:tc>
        <w:tc>
          <w:tcPr>
            <w:tcW w:type="dxa" w:w="1881"/>
            <w:vAlign w:val="center"/>
            <w:tcW w:w="1800000" w:type="dxa"/>
          </w:tcPr>
          <w:p>
            <w:pPr>
              <w:spacing w:before="60" w:after="60"/>
              <w:ind w:left="113"/>
            </w:pPr>
            <w:r>
              <w:rPr>
                <w:b w:val="0"/>
                <w:color w:val="5E5A52"/>
                <w:sz w:val="19"/>
              </w:rPr>
              <w:t>Republic of Ireland MVP launch: flood, EPC equivalent, broadband</w:t>
            </w:r>
          </w:p>
        </w:tc>
        <w:tc>
          <w:tcPr>
            <w:tcW w:type="dxa" w:w="1881"/>
            <w:vAlign w:val="center"/>
            <w:tcW w:w="1620000" w:type="dxa"/>
          </w:tcPr>
          <w:p>
            <w:pPr>
              <w:spacing w:before="60" w:after="60"/>
              <w:ind w:left="113"/>
            </w:pPr>
            <w:r>
              <w:rPr>
                <w:b w:val="0"/>
                <w:color w:val="5E5A52"/>
                <w:sz w:val="19"/>
              </w:rPr>
              <w:t>Irish property media campaign; Property.ie partnership outreach</w:t>
            </w:r>
          </w:p>
        </w:tc>
        <w:tc>
          <w:tcPr>
            <w:tcW w:type="dxa" w:w="1881"/>
            <w:vAlign w:val="center"/>
            <w:tcW w:w="1440000" w:type="dxa"/>
          </w:tcPr>
          <w:p>
            <w:pPr>
              <w:spacing w:before="60" w:after="60"/>
              <w:ind w:left="113"/>
            </w:pPr>
            <w:r>
              <w:rPr>
                <w:b w:val="0"/>
                <w:color w:val="5E5A52"/>
                <w:sz w:val="19"/>
              </w:rPr>
              <w:t>Irish professional services partner onboarding begins</w:t>
            </w:r>
          </w:p>
        </w:tc>
        <w:tc>
          <w:tcPr>
            <w:tcW w:type="dxa" w:w="1881"/>
            <w:vAlign w:val="center"/>
            <w:tcW w:w="1260000" w:type="dxa"/>
          </w:tcPr>
          <w:p>
            <w:pPr>
              <w:spacing w:before="60" w:after="60"/>
              <w:ind w:left="113"/>
            </w:pPr>
            <w:r>
              <w:rPr>
                <w:b w:val="0"/>
                <w:color w:val="5E5A52"/>
                <w:sz w:val="19"/>
              </w:rPr>
              <w:t>MRR £85,000</w:t>
            </w:r>
          </w:p>
        </w:tc>
      </w:tr>
      <w:tr>
        <w:tc>
          <w:tcPr>
            <w:tcW w:type="dxa" w:w="1881"/>
            <w:vAlign w:val="center"/>
            <w:tcW w:w="540000" w:type="dxa"/>
            <w:shd w:val="clear" w:color="auto" w:fill="F8F7F4"/>
          </w:tcPr>
          <w:p>
            <w:pPr>
              <w:spacing w:before="60" w:after="60"/>
              <w:ind w:left="113"/>
            </w:pPr>
            <w:r>
              <w:rPr>
                <w:b w:val="0"/>
                <w:color w:val="1A1917"/>
                <w:sz w:val="19"/>
              </w:rPr>
              <w:t>28</w:t>
            </w:r>
          </w:p>
        </w:tc>
        <w:tc>
          <w:tcPr>
            <w:tcW w:type="dxa" w:w="1881"/>
            <w:vAlign w:val="center"/>
            <w:tcW w:w="1800000" w:type="dxa"/>
            <w:shd w:val="clear" w:color="auto" w:fill="F8F7F4"/>
          </w:tcPr>
          <w:p>
            <w:pPr>
              <w:spacing w:before="60" w:after="60"/>
              <w:ind w:left="113"/>
            </w:pPr>
            <w:r>
              <w:rPr>
                <w:b w:val="0"/>
                <w:color w:val="5E5A52"/>
                <w:sz w:val="19"/>
              </w:rPr>
              <w:t>Tenant management module (landlord suite): rent, deposits, tenancy dates</w:t>
            </w:r>
          </w:p>
        </w:tc>
        <w:tc>
          <w:tcPr>
            <w:tcW w:type="dxa" w:w="1881"/>
            <w:vAlign w:val="center"/>
            <w:tcW w:w="1620000" w:type="dxa"/>
            <w:shd w:val="clear" w:color="auto" w:fill="F8F7F4"/>
          </w:tcPr>
          <w:p>
            <w:pPr>
              <w:spacing w:before="60" w:after="60"/>
              <w:ind w:left="113"/>
            </w:pPr>
            <w:r>
              <w:rPr>
                <w:b w:val="0"/>
                <w:color w:val="5E5A52"/>
                <w:sz w:val="19"/>
              </w:rPr>
              <w:t>ARLA Propertymark — landlord tools PR campaign</w:t>
            </w:r>
          </w:p>
        </w:tc>
        <w:tc>
          <w:tcPr>
            <w:tcW w:type="dxa" w:w="1881"/>
            <w:vAlign w:val="center"/>
            <w:tcW w:w="1440000" w:type="dxa"/>
            <w:shd w:val="clear" w:color="auto" w:fill="F8F7F4"/>
          </w:tcPr>
          <w:p>
            <w:pPr>
              <w:spacing w:before="60" w:after="60"/>
              <w:ind w:left="113"/>
            </w:pPr>
            <w:r>
              <w:rPr>
                <w:b w:val="0"/>
                <w:color w:val="5E5A52"/>
                <w:sz w:val="19"/>
              </w:rPr>
              <w:t>NRLA co-branded landlord compliance tool launched to members</w:t>
            </w:r>
          </w:p>
        </w:tc>
        <w:tc>
          <w:tcPr>
            <w:tcW w:type="dxa" w:w="1881"/>
            <w:vAlign w:val="center"/>
            <w:tcW w:w="1260000" w:type="dxa"/>
            <w:shd w:val="clear" w:color="auto" w:fill="F8F7F4"/>
          </w:tcPr>
          <w:p>
            <w:pPr>
              <w:spacing w:before="60" w:after="60"/>
              <w:ind w:left="113"/>
            </w:pPr>
            <w:r>
              <w:rPr>
                <w:b w:val="0"/>
                <w:color w:val="5E5A52"/>
                <w:sz w:val="19"/>
              </w:rPr>
              <w:t>MRR £92,000; 7,000 paid subscribers</w:t>
            </w:r>
          </w:p>
        </w:tc>
      </w:tr>
      <w:tr>
        <w:tc>
          <w:tcPr>
            <w:tcW w:type="dxa" w:w="1881"/>
            <w:vAlign w:val="center"/>
            <w:tcW w:w="540000" w:type="dxa"/>
          </w:tcPr>
          <w:p>
            <w:pPr>
              <w:spacing w:before="60" w:after="60"/>
              <w:ind w:left="113"/>
            </w:pPr>
            <w:r>
              <w:rPr>
                <w:b w:val="0"/>
                <w:color w:val="1A1917"/>
                <w:sz w:val="19"/>
              </w:rPr>
              <w:t>29</w:t>
            </w:r>
          </w:p>
        </w:tc>
        <w:tc>
          <w:tcPr>
            <w:tcW w:type="dxa" w:w="1881"/>
            <w:vAlign w:val="center"/>
            <w:tcW w:w="1800000" w:type="dxa"/>
          </w:tcPr>
          <w:p>
            <w:pPr>
              <w:spacing w:before="60" w:after="60"/>
              <w:ind w:left="113"/>
            </w:pPr>
            <w:r>
              <w:rPr>
                <w:b w:val="0"/>
                <w:color w:val="5E5A52"/>
                <w:sz w:val="19"/>
              </w:rPr>
              <w:t>Exportable compliance reports (PDF); HMRC-formatted landlord records</w:t>
            </w:r>
          </w:p>
        </w:tc>
        <w:tc>
          <w:tcPr>
            <w:tcW w:type="dxa" w:w="1881"/>
            <w:vAlign w:val="center"/>
            <w:tcW w:w="1620000" w:type="dxa"/>
          </w:tcPr>
          <w:p>
            <w:pPr>
              <w:spacing w:before="60" w:after="60"/>
              <w:ind w:left="113"/>
            </w:pPr>
            <w:r>
              <w:rPr>
                <w:b w:val="0"/>
                <w:color w:val="5E5A52"/>
                <w:sz w:val="19"/>
              </w:rPr>
              <w:t>Tax return season content campaign: "Are your landlord records HMRC-ready?"</w:t>
            </w:r>
          </w:p>
        </w:tc>
        <w:tc>
          <w:tcPr>
            <w:tcW w:type="dxa" w:w="1881"/>
            <w:vAlign w:val="center"/>
            <w:tcW w:w="1440000" w:type="dxa"/>
          </w:tcPr>
          <w:p>
            <w:pPr>
              <w:spacing w:before="60" w:after="60"/>
              <w:ind w:left="113"/>
            </w:pPr>
            <w:r>
              <w:rPr>
                <w:b w:val="0"/>
                <w:color w:val="5E5A52"/>
                <w:sz w:val="19"/>
              </w:rPr>
              <w:t>Accountancy firm partnership for landlord referrals</w:t>
            </w:r>
          </w:p>
        </w:tc>
        <w:tc>
          <w:tcPr>
            <w:tcW w:type="dxa" w:w="1881"/>
            <w:vAlign w:val="center"/>
            <w:tcW w:w="1260000" w:type="dxa"/>
          </w:tcPr>
          <w:p>
            <w:pPr>
              <w:spacing w:before="60" w:after="60"/>
              <w:ind w:left="113"/>
            </w:pPr>
            <w:r>
              <w:rPr>
                <w:b w:val="0"/>
                <w:color w:val="5E5A52"/>
                <w:sz w:val="19"/>
              </w:rPr>
              <w:t>MRR £99,000</w:t>
            </w:r>
          </w:p>
        </w:tc>
      </w:tr>
      <w:tr>
        <w:tc>
          <w:tcPr>
            <w:tcW w:type="dxa" w:w="1881"/>
            <w:vAlign w:val="center"/>
            <w:tcW w:w="540000" w:type="dxa"/>
            <w:shd w:val="clear" w:color="auto" w:fill="F8F7F4"/>
          </w:tcPr>
          <w:p>
            <w:pPr>
              <w:spacing w:before="60" w:after="60"/>
              <w:ind w:left="113"/>
            </w:pPr>
            <w:r>
              <w:rPr>
                <w:b w:val="0"/>
                <w:color w:val="1A1917"/>
                <w:sz w:val="19"/>
              </w:rPr>
              <w:t>30</w:t>
            </w:r>
          </w:p>
        </w:tc>
        <w:tc>
          <w:tcPr>
            <w:tcW w:type="dxa" w:w="1881"/>
            <w:vAlign w:val="center"/>
            <w:tcW w:w="1800000" w:type="dxa"/>
            <w:shd w:val="clear" w:color="auto" w:fill="F8F7F4"/>
          </w:tcPr>
          <w:p>
            <w:pPr>
              <w:spacing w:before="60" w:after="60"/>
              <w:ind w:left="113"/>
            </w:pPr>
            <w:r>
              <w:rPr>
                <w:b w:val="0"/>
                <w:color w:val="5E5A52"/>
                <w:sz w:val="19"/>
              </w:rPr>
              <w:t>Australia data source research: Domain.com.au, CoreLogic API, ABS</w:t>
            </w:r>
          </w:p>
        </w:tc>
        <w:tc>
          <w:tcPr>
            <w:tcW w:type="dxa" w:w="1881"/>
            <w:vAlign w:val="center"/>
            <w:tcW w:w="1620000" w:type="dxa"/>
            <w:shd w:val="clear" w:color="auto" w:fill="F8F7F4"/>
          </w:tcPr>
          <w:p>
            <w:pPr>
              <w:spacing w:before="60" w:after="60"/>
              <w:ind w:left="113"/>
            </w:pPr>
            <w:r>
              <w:rPr>
                <w:b w:val="0"/>
                <w:color w:val="5E5A52"/>
                <w:sz w:val="19"/>
              </w:rPr>
              <w:t>Australia property media outreach; real estate industry contacts</w:t>
            </w:r>
          </w:p>
        </w:tc>
        <w:tc>
          <w:tcPr>
            <w:tcW w:type="dxa" w:w="1881"/>
            <w:vAlign w:val="center"/>
            <w:tcW w:w="1440000" w:type="dxa"/>
            <w:shd w:val="clear" w:color="auto" w:fill="F8F7F4"/>
          </w:tcPr>
          <w:p>
            <w:pPr>
              <w:spacing w:before="60" w:after="60"/>
              <w:ind w:left="113"/>
            </w:pPr>
            <w:r>
              <w:rPr>
                <w:b w:val="0"/>
                <w:color w:val="5E5A52"/>
                <w:sz w:val="19"/>
              </w:rPr>
              <w:t>Australia go/no-go decision; hire Australian country manager</w:t>
            </w:r>
          </w:p>
        </w:tc>
        <w:tc>
          <w:tcPr>
            <w:tcW w:type="dxa" w:w="1881"/>
            <w:vAlign w:val="center"/>
            <w:tcW w:w="1260000" w:type="dxa"/>
            <w:shd w:val="clear" w:color="auto" w:fill="F8F7F4"/>
          </w:tcPr>
          <w:p>
            <w:pPr>
              <w:spacing w:before="60" w:after="60"/>
              <w:ind w:left="113"/>
            </w:pPr>
            <w:r>
              <w:rPr>
                <w:b w:val="0"/>
                <w:color w:val="5E5A52"/>
                <w:sz w:val="19"/>
              </w:rPr>
              <w:t>MRR £108,000; ARR £1.3M</w:t>
            </w:r>
          </w:p>
        </w:tc>
      </w:tr>
      <w:tr>
        <w:tc>
          <w:tcPr>
            <w:tcW w:type="dxa" w:w="1881"/>
            <w:vAlign w:val="center"/>
            <w:tcW w:w="540000" w:type="dxa"/>
          </w:tcPr>
          <w:p>
            <w:pPr>
              <w:spacing w:before="60" w:after="60"/>
              <w:ind w:left="113"/>
            </w:pPr>
            <w:r>
              <w:rPr>
                <w:b w:val="0"/>
                <w:color w:val="1A1917"/>
                <w:sz w:val="19"/>
              </w:rPr>
              <w:t>31</w:t>
            </w:r>
          </w:p>
        </w:tc>
        <w:tc>
          <w:tcPr>
            <w:tcW w:type="dxa" w:w="1881"/>
            <w:vAlign w:val="center"/>
            <w:tcW w:w="1800000" w:type="dxa"/>
          </w:tcPr>
          <w:p>
            <w:pPr>
              <w:spacing w:before="60" w:after="60"/>
              <w:ind w:left="113"/>
            </w:pPr>
            <w:r>
              <w:rPr>
                <w:b w:val="0"/>
                <w:color w:val="5E5A52"/>
                <w:sz w:val="19"/>
              </w:rPr>
              <w:t>Conveyancing tracker: full solicitor CMS integration (2+ firms)</w:t>
            </w:r>
          </w:p>
        </w:tc>
        <w:tc>
          <w:tcPr>
            <w:tcW w:type="dxa" w:w="1881"/>
            <w:vAlign w:val="center"/>
            <w:tcW w:w="1620000" w:type="dxa"/>
          </w:tcPr>
          <w:p>
            <w:pPr>
              <w:spacing w:before="60" w:after="60"/>
              <w:ind w:left="113"/>
            </w:pPr>
            <w:r>
              <w:rPr>
                <w:b w:val="0"/>
                <w:color w:val="5E5A52"/>
                <w:sz w:val="19"/>
              </w:rPr>
              <w:t>Conveyancing tracker launch PR; Which? feature pitch</w:t>
            </w:r>
          </w:p>
        </w:tc>
        <w:tc>
          <w:tcPr>
            <w:tcW w:type="dxa" w:w="1881"/>
            <w:vAlign w:val="center"/>
            <w:tcW w:w="1440000" w:type="dxa"/>
          </w:tcPr>
          <w:p>
            <w:pPr>
              <w:spacing w:before="60" w:after="60"/>
              <w:ind w:left="113"/>
            </w:pPr>
            <w:r>
              <w:rPr>
                <w:b w:val="0"/>
                <w:color w:val="5E5A52"/>
                <w:sz w:val="19"/>
              </w:rPr>
              <w:t>5 solicitor firms integrated; first milestone data flowing</w:t>
            </w:r>
          </w:p>
        </w:tc>
        <w:tc>
          <w:tcPr>
            <w:tcW w:type="dxa" w:w="1881"/>
            <w:vAlign w:val="center"/>
            <w:tcW w:w="1260000" w:type="dxa"/>
          </w:tcPr>
          <w:p>
            <w:pPr>
              <w:spacing w:before="60" w:after="60"/>
              <w:ind w:left="113"/>
            </w:pPr>
            <w:r>
              <w:rPr>
                <w:b w:val="0"/>
                <w:color w:val="5E5A52"/>
                <w:sz w:val="19"/>
              </w:rPr>
              <w:t>MRR £116,000</w:t>
            </w:r>
          </w:p>
        </w:tc>
      </w:tr>
      <w:tr>
        <w:tc>
          <w:tcPr>
            <w:tcW w:type="dxa" w:w="1881"/>
            <w:vAlign w:val="center"/>
            <w:tcW w:w="540000" w:type="dxa"/>
            <w:shd w:val="clear" w:color="auto" w:fill="F8F7F4"/>
          </w:tcPr>
          <w:p>
            <w:pPr>
              <w:spacing w:before="60" w:after="60"/>
              <w:ind w:left="113"/>
            </w:pPr>
            <w:r>
              <w:rPr>
                <w:b w:val="0"/>
                <w:color w:val="1A1917"/>
                <w:sz w:val="19"/>
              </w:rPr>
              <w:t>32</w:t>
            </w:r>
          </w:p>
        </w:tc>
        <w:tc>
          <w:tcPr>
            <w:tcW w:type="dxa" w:w="1881"/>
            <w:vAlign w:val="center"/>
            <w:tcW w:w="1800000" w:type="dxa"/>
            <w:shd w:val="clear" w:color="auto" w:fill="F8F7F4"/>
          </w:tcPr>
          <w:p>
            <w:pPr>
              <w:spacing w:before="60" w:after="60"/>
              <w:ind w:left="113"/>
            </w:pPr>
            <w:r>
              <w:rPr>
                <w:b w:val="0"/>
                <w:color w:val="5E5A52"/>
                <w:sz w:val="19"/>
              </w:rPr>
              <w:t>Canada data source research; provincial property APIs (MPAC Ontario)</w:t>
            </w:r>
          </w:p>
        </w:tc>
        <w:tc>
          <w:tcPr>
            <w:tcW w:type="dxa" w:w="1881"/>
            <w:vAlign w:val="center"/>
            <w:tcW w:w="1620000" w:type="dxa"/>
            <w:shd w:val="clear" w:color="auto" w:fill="F8F7F4"/>
          </w:tcPr>
          <w:p>
            <w:pPr>
              <w:spacing w:before="60" w:after="60"/>
              <w:ind w:left="113"/>
            </w:pPr>
            <w:r>
              <w:rPr>
                <w:b w:val="0"/>
                <w:color w:val="5E5A52"/>
                <w:sz w:val="19"/>
              </w:rPr>
              <w:t>Canada outreach; Zoocasa / Royal LePage BD contacts</w:t>
            </w:r>
          </w:p>
        </w:tc>
        <w:tc>
          <w:tcPr>
            <w:tcW w:type="dxa" w:w="1881"/>
            <w:vAlign w:val="center"/>
            <w:tcW w:w="1440000" w:type="dxa"/>
            <w:shd w:val="clear" w:color="auto" w:fill="F8F7F4"/>
          </w:tcPr>
          <w:p>
            <w:pPr>
              <w:spacing w:before="60" w:after="60"/>
              <w:ind w:left="113"/>
            </w:pPr>
            <w:r>
              <w:rPr>
                <w:b w:val="0"/>
                <w:color w:val="5E5A52"/>
                <w:sz w:val="19"/>
              </w:rPr>
              <w:t>Canada feasibility report complete</w:t>
            </w:r>
          </w:p>
        </w:tc>
        <w:tc>
          <w:tcPr>
            <w:tcW w:type="dxa" w:w="1881"/>
            <w:vAlign w:val="center"/>
            <w:tcW w:w="1260000" w:type="dxa"/>
            <w:shd w:val="clear" w:color="auto" w:fill="F8F7F4"/>
          </w:tcPr>
          <w:p>
            <w:pPr>
              <w:spacing w:before="60" w:after="60"/>
              <w:ind w:left="113"/>
            </w:pPr>
            <w:r>
              <w:rPr>
                <w:b w:val="0"/>
                <w:color w:val="5E5A52"/>
                <w:sz w:val="19"/>
              </w:rPr>
              <w:t>MRR £124,000</w:t>
            </w:r>
          </w:p>
        </w:tc>
      </w:tr>
      <w:tr>
        <w:tc>
          <w:tcPr>
            <w:tcW w:type="dxa" w:w="1881"/>
            <w:vAlign w:val="center"/>
            <w:tcW w:w="540000" w:type="dxa"/>
          </w:tcPr>
          <w:p>
            <w:pPr>
              <w:spacing w:before="60" w:after="60"/>
              <w:ind w:left="113"/>
            </w:pPr>
            <w:r>
              <w:rPr>
                <w:b w:val="0"/>
                <w:color w:val="1A1917"/>
                <w:sz w:val="19"/>
              </w:rPr>
              <w:t>33</w:t>
            </w:r>
          </w:p>
        </w:tc>
        <w:tc>
          <w:tcPr>
            <w:tcW w:type="dxa" w:w="1881"/>
            <w:vAlign w:val="center"/>
            <w:tcW w:w="1800000" w:type="dxa"/>
          </w:tcPr>
          <w:p>
            <w:pPr>
              <w:spacing w:before="60" w:after="60"/>
              <w:ind w:left="113"/>
            </w:pPr>
            <w:r>
              <w:rPr>
                <w:b w:val="0"/>
                <w:color w:val="5E5A52"/>
                <w:sz w:val="19"/>
              </w:rPr>
              <w:t>AI features v2.0: personalised property risk narrative with comparable sales</w:t>
            </w:r>
          </w:p>
        </w:tc>
        <w:tc>
          <w:tcPr>
            <w:tcW w:type="dxa" w:w="1881"/>
            <w:vAlign w:val="center"/>
            <w:tcW w:w="1620000" w:type="dxa"/>
          </w:tcPr>
          <w:p>
            <w:pPr>
              <w:spacing w:before="60" w:after="60"/>
              <w:ind w:left="113"/>
            </w:pPr>
            <w:r>
              <w:rPr>
                <w:b w:val="0"/>
                <w:color w:val="5E5A52"/>
                <w:sz w:val="19"/>
              </w:rPr>
              <w:t>AI property summary launch content; Product Hunt 2.0</w:t>
            </w:r>
          </w:p>
        </w:tc>
        <w:tc>
          <w:tcPr>
            <w:tcW w:type="dxa" w:w="1881"/>
            <w:vAlign w:val="center"/>
            <w:tcW w:w="1440000" w:type="dxa"/>
          </w:tcPr>
          <w:p>
            <w:pPr>
              <w:spacing w:before="60" w:after="60"/>
              <w:ind w:left="113"/>
            </w:pPr>
            <w:r>
              <w:rPr>
                <w:b w:val="0"/>
                <w:color w:val="5E5A52"/>
                <w:sz w:val="19"/>
              </w:rPr>
              <w:t>RICS data partnership for AI accuracy validation</w:t>
            </w:r>
          </w:p>
        </w:tc>
        <w:tc>
          <w:tcPr>
            <w:tcW w:type="dxa" w:w="1881"/>
            <w:vAlign w:val="center"/>
            <w:tcW w:w="1260000" w:type="dxa"/>
          </w:tcPr>
          <w:p>
            <w:pPr>
              <w:spacing w:before="60" w:after="60"/>
              <w:ind w:left="113"/>
            </w:pPr>
            <w:r>
              <w:rPr>
                <w:b w:val="0"/>
                <w:color w:val="5E5A52"/>
                <w:sz w:val="19"/>
              </w:rPr>
              <w:t>MRR £133,000; 10,000 paid subscribers</w:t>
            </w:r>
          </w:p>
        </w:tc>
      </w:tr>
      <w:tr>
        <w:tc>
          <w:tcPr>
            <w:tcW w:type="dxa" w:w="1881"/>
            <w:vAlign w:val="center"/>
            <w:tcW w:w="540000" w:type="dxa"/>
            <w:shd w:val="clear" w:color="auto" w:fill="F8F7F4"/>
          </w:tcPr>
          <w:p>
            <w:pPr>
              <w:spacing w:before="60" w:after="60"/>
              <w:ind w:left="113"/>
            </w:pPr>
            <w:r>
              <w:rPr>
                <w:b w:val="0"/>
                <w:color w:val="1A1917"/>
                <w:sz w:val="19"/>
              </w:rPr>
              <w:t>34</w:t>
            </w:r>
          </w:p>
        </w:tc>
        <w:tc>
          <w:tcPr>
            <w:tcW w:type="dxa" w:w="1881"/>
            <w:vAlign w:val="center"/>
            <w:tcW w:w="1800000" w:type="dxa"/>
            <w:shd w:val="clear" w:color="auto" w:fill="F8F7F4"/>
          </w:tcPr>
          <w:p>
            <w:pPr>
              <w:spacing w:before="60" w:after="60"/>
              <w:ind w:left="113"/>
            </w:pPr>
            <w:r>
              <w:rPr>
                <w:b w:val="0"/>
                <w:color w:val="5E5A52"/>
                <w:sz w:val="19"/>
              </w:rPr>
              <w:t>Australia MVP launch: flood, EPC equivalent (NatHERS), crime data</w:t>
            </w:r>
          </w:p>
        </w:tc>
        <w:tc>
          <w:tcPr>
            <w:tcW w:type="dxa" w:w="1881"/>
            <w:vAlign w:val="center"/>
            <w:tcW w:w="1620000" w:type="dxa"/>
            <w:shd w:val="clear" w:color="auto" w:fill="F8F7F4"/>
          </w:tcPr>
          <w:p>
            <w:pPr>
              <w:spacing w:before="60" w:after="60"/>
              <w:ind w:left="113"/>
            </w:pPr>
            <w:r>
              <w:rPr>
                <w:b w:val="0"/>
                <w:color w:val="5E5A52"/>
                <w:sz w:val="19"/>
              </w:rPr>
              <w:t>Australian property media campaign; Domain.com.au outreach</w:t>
            </w:r>
          </w:p>
        </w:tc>
        <w:tc>
          <w:tcPr>
            <w:tcW w:type="dxa" w:w="1881"/>
            <w:vAlign w:val="center"/>
            <w:tcW w:w="1440000" w:type="dxa"/>
            <w:shd w:val="clear" w:color="auto" w:fill="F8F7F4"/>
          </w:tcPr>
          <w:p>
            <w:pPr>
              <w:spacing w:before="60" w:after="60"/>
              <w:ind w:left="113"/>
            </w:pPr>
            <w:r>
              <w:rPr>
                <w:b w:val="0"/>
                <w:color w:val="5E5A52"/>
                <w:sz w:val="19"/>
              </w:rPr>
              <w:t>Australian professional services partners onboarding</w:t>
            </w:r>
          </w:p>
        </w:tc>
        <w:tc>
          <w:tcPr>
            <w:tcW w:type="dxa" w:w="1881"/>
            <w:vAlign w:val="center"/>
            <w:tcW w:w="1260000" w:type="dxa"/>
            <w:shd w:val="clear" w:color="auto" w:fill="F8F7F4"/>
          </w:tcPr>
          <w:p>
            <w:pPr>
              <w:spacing w:before="60" w:after="60"/>
              <w:ind w:left="113"/>
            </w:pPr>
            <w:r>
              <w:rPr>
                <w:b w:val="0"/>
                <w:color w:val="5E5A52"/>
                <w:sz w:val="19"/>
              </w:rPr>
              <w:t>MRR £142,000</w:t>
            </w:r>
          </w:p>
        </w:tc>
      </w:tr>
      <w:tr>
        <w:tc>
          <w:tcPr>
            <w:tcW w:type="dxa" w:w="1881"/>
            <w:vAlign w:val="center"/>
            <w:tcW w:w="540000" w:type="dxa"/>
          </w:tcPr>
          <w:p>
            <w:pPr>
              <w:spacing w:before="60" w:after="60"/>
              <w:ind w:left="113"/>
            </w:pPr>
            <w:r>
              <w:rPr>
                <w:b w:val="0"/>
                <w:color w:val="1A1917"/>
                <w:sz w:val="19"/>
              </w:rPr>
              <w:t>35</w:t>
            </w:r>
          </w:p>
        </w:tc>
        <w:tc>
          <w:tcPr>
            <w:tcW w:type="dxa" w:w="1881"/>
            <w:vAlign w:val="center"/>
            <w:tcW w:w="1800000" w:type="dxa"/>
          </w:tcPr>
          <w:p>
            <w:pPr>
              <w:spacing w:before="60" w:after="60"/>
              <w:ind w:left="113"/>
            </w:pPr>
            <w:r>
              <w:rPr>
                <w:b w:val="0"/>
                <w:color w:val="5E5A52"/>
                <w:sz w:val="19"/>
              </w:rPr>
              <w:t>Scale infrastructure: Supabase dedicated instance; Redis caching layer</w:t>
            </w:r>
          </w:p>
        </w:tc>
        <w:tc>
          <w:tcPr>
            <w:tcW w:type="dxa" w:w="1881"/>
            <w:vAlign w:val="center"/>
            <w:tcW w:w="1620000" w:type="dxa"/>
          </w:tcPr>
          <w:p>
            <w:pPr>
              <w:spacing w:before="60" w:after="60"/>
              <w:ind w:left="113"/>
            </w:pPr>
            <w:r>
              <w:rPr>
                <w:b w:val="0"/>
                <w:color w:val="5E5A52"/>
                <w:sz w:val="19"/>
              </w:rPr>
              <w:t>Infra milestone PR: "PropPilot processes 1M property checks"</w:t>
            </w:r>
          </w:p>
        </w:tc>
        <w:tc>
          <w:tcPr>
            <w:tcW w:type="dxa" w:w="1881"/>
            <w:vAlign w:val="center"/>
            <w:tcW w:w="1440000" w:type="dxa"/>
          </w:tcPr>
          <w:p>
            <w:pPr>
              <w:spacing w:before="60" w:after="60"/>
              <w:ind w:left="113"/>
            </w:pPr>
            <w:r>
              <w:rPr>
                <w:b w:val="0"/>
                <w:color w:val="5E5A52"/>
                <w:sz w:val="19"/>
              </w:rPr>
              <w:t>Exit strategy review: investment bank conversations begin</w:t>
            </w:r>
          </w:p>
        </w:tc>
        <w:tc>
          <w:tcPr>
            <w:tcW w:type="dxa" w:w="1881"/>
            <w:vAlign w:val="center"/>
            <w:tcW w:w="1260000" w:type="dxa"/>
          </w:tcPr>
          <w:p>
            <w:pPr>
              <w:spacing w:before="60" w:after="60"/>
              <w:ind w:left="113"/>
            </w:pPr>
            <w:r>
              <w:rPr>
                <w:b w:val="0"/>
                <w:color w:val="5E5A52"/>
                <w:sz w:val="19"/>
              </w:rPr>
              <w:t>MRR £153,000</w:t>
            </w:r>
          </w:p>
        </w:tc>
      </w:tr>
      <w:tr>
        <w:tc>
          <w:tcPr>
            <w:tcW w:type="dxa" w:w="1881"/>
            <w:vAlign w:val="center"/>
            <w:tcW w:w="540000" w:type="dxa"/>
            <w:shd w:val="clear" w:color="auto" w:fill="F8F7F4"/>
          </w:tcPr>
          <w:p>
            <w:pPr>
              <w:spacing w:before="60" w:after="60"/>
              <w:ind w:left="113"/>
            </w:pPr>
            <w:r>
              <w:rPr>
                <w:b w:val="0"/>
                <w:color w:val="1A1917"/>
                <w:sz w:val="19"/>
              </w:rPr>
              <w:t>36</w:t>
            </w:r>
          </w:p>
        </w:tc>
        <w:tc>
          <w:tcPr>
            <w:tcW w:type="dxa" w:w="1881"/>
            <w:vAlign w:val="center"/>
            <w:tcW w:w="1800000" w:type="dxa"/>
            <w:shd w:val="clear" w:color="auto" w:fill="F8F7F4"/>
          </w:tcPr>
          <w:p>
            <w:pPr>
              <w:spacing w:before="60" w:after="60"/>
              <w:ind w:left="113"/>
            </w:pPr>
            <w:r>
              <w:rPr>
                <w:b w:val="0"/>
                <w:color w:val="5E5A52"/>
                <w:sz w:val="19"/>
              </w:rPr>
              <w:t>US market research; Zillow API, ACS census data, FEMA flood zones</w:t>
            </w:r>
          </w:p>
        </w:tc>
        <w:tc>
          <w:tcPr>
            <w:tcW w:type="dxa" w:w="1881"/>
            <w:vAlign w:val="center"/>
            <w:tcW w:w="1620000" w:type="dxa"/>
            <w:shd w:val="clear" w:color="auto" w:fill="F8F7F4"/>
          </w:tcPr>
          <w:p>
            <w:pPr>
              <w:spacing w:before="60" w:after="60"/>
              <w:ind w:left="113"/>
            </w:pPr>
            <w:r>
              <w:rPr>
                <w:b w:val="0"/>
                <w:color w:val="5E5A52"/>
                <w:sz w:val="19"/>
              </w:rPr>
              <w:t>Year 3 recap; annual user conference (Manchester)</w:t>
            </w:r>
          </w:p>
        </w:tc>
        <w:tc>
          <w:tcPr>
            <w:tcW w:type="dxa" w:w="1881"/>
            <w:vAlign w:val="center"/>
            <w:tcW w:w="1440000" w:type="dxa"/>
            <w:shd w:val="clear" w:color="auto" w:fill="F8F7F4"/>
          </w:tcPr>
          <w:p>
            <w:pPr>
              <w:spacing w:before="60" w:after="60"/>
              <w:ind w:left="113"/>
            </w:pPr>
            <w:r>
              <w:rPr>
                <w:b w:val="0"/>
                <w:color w:val="5E5A52"/>
                <w:sz w:val="19"/>
              </w:rPr>
              <w:t>Exit/Series C decision point; 20 B2B partners; 15 countries explored</w:t>
            </w:r>
          </w:p>
        </w:tc>
        <w:tc>
          <w:tcPr>
            <w:tcW w:type="dxa" w:w="1881"/>
            <w:vAlign w:val="center"/>
            <w:tcW w:w="1260000" w:type="dxa"/>
            <w:shd w:val="clear" w:color="auto" w:fill="F8F7F4"/>
          </w:tcPr>
          <w:p>
            <w:pPr>
              <w:spacing w:before="60" w:after="60"/>
              <w:ind w:left="113"/>
            </w:pPr>
            <w:r>
              <w:rPr>
                <w:b w:val="0"/>
                <w:color w:val="5E5A52"/>
                <w:sz w:val="19"/>
              </w:rPr>
              <w:t>MRR £167,000; 14,000 paid subscribers; ARR £2.0M</w:t>
            </w:r>
          </w:p>
        </w:tc>
      </w:tr>
    </w:tbl>
    <w:p/>
    <w:p>
      <w:pPr>
        <w:spacing w:before="160" w:after="160"/>
        <w:pBdr>
          <w:bottom w:val="single" w:sz="4" w:space="1" w:color="D1CEC8"/>
        </w:pBdr>
      </w:pPr>
    </w:p>
    <w:p>
      <w:r>
        <w:br w:type="page"/>
      </w:r>
    </w:p>
    <w:p>
      <w:pPr>
        <w:pStyle w:val="Heading1"/>
        <w:spacing w:before="400" w:after="120"/>
      </w:pPr>
      <w:r>
        <w:rPr>
          <w:color w:val="1D9E75"/>
          <w:sz w:val="32"/>
        </w:rPr>
        <w:t>63. Financial Plan Summary</w:t>
      </w:r>
    </w:p>
    <w:tbl>
      <w:tblPr>
        <w:tblStyle w:val="TableGrid"/>
        <w:tblW w:type="auto" w:w="0"/>
        <w:tblLook w:firstColumn="1" w:firstRow="1" w:lastColumn="0" w:lastRow="0" w:noHBand="0" w:noVBand="1" w:val="04A0"/>
      </w:tblPr>
      <w:tblGrid>
        <w:gridCol w:w="2351"/>
        <w:gridCol w:w="2351"/>
        <w:gridCol w:w="2351"/>
        <w:gridCol w:w="2351"/>
      </w:tblGrid>
      <w:tr>
        <w:tc>
          <w:tcPr>
            <w:tcW w:type="dxa" w:w="2351"/>
            <w:vAlign w:val="center"/>
            <w:tcW w:w="2340000" w:type="dxa"/>
            <w:shd w:val="clear" w:color="auto" w:fill="1D9E75"/>
          </w:tcPr>
          <w:p>
            <w:pPr>
              <w:spacing w:before="60" w:after="60"/>
              <w:ind w:left="113"/>
            </w:pPr>
            <w:r>
              <w:rPr>
                <w:b/>
                <w:color w:val="FFFFFF"/>
                <w:sz w:val="19"/>
              </w:rPr>
              <w:t>Metric</w:t>
            </w:r>
          </w:p>
        </w:tc>
        <w:tc>
          <w:tcPr>
            <w:tcW w:type="dxa" w:w="2351"/>
            <w:vAlign w:val="center"/>
            <w:tcW w:w="1080000" w:type="dxa"/>
            <w:shd w:val="clear" w:color="auto" w:fill="1D9E75"/>
          </w:tcPr>
          <w:p>
            <w:pPr>
              <w:spacing w:before="60" w:after="60"/>
              <w:ind w:left="113"/>
            </w:pPr>
            <w:r>
              <w:rPr>
                <w:b/>
                <w:color w:val="FFFFFF"/>
                <w:sz w:val="19"/>
              </w:rPr>
              <w:t>Year 1</w:t>
            </w:r>
          </w:p>
        </w:tc>
        <w:tc>
          <w:tcPr>
            <w:tcW w:type="dxa" w:w="2351"/>
            <w:vAlign w:val="center"/>
            <w:tcW w:w="1080000" w:type="dxa"/>
            <w:shd w:val="clear" w:color="auto" w:fill="1D9E75"/>
          </w:tcPr>
          <w:p>
            <w:pPr>
              <w:spacing w:before="60" w:after="60"/>
              <w:ind w:left="113"/>
            </w:pPr>
            <w:r>
              <w:rPr>
                <w:b/>
                <w:color w:val="FFFFFF"/>
                <w:sz w:val="19"/>
              </w:rPr>
              <w:t>Year 2</w:t>
            </w:r>
          </w:p>
        </w:tc>
        <w:tc>
          <w:tcPr>
            <w:tcW w:type="dxa" w:w="2351"/>
            <w:vAlign w:val="center"/>
            <w:tcW w:w="1260000" w:type="dxa"/>
            <w:shd w:val="clear" w:color="auto" w:fill="1D9E75"/>
          </w:tcPr>
          <w:p>
            <w:pPr>
              <w:spacing w:before="60" w:after="60"/>
              <w:ind w:left="113"/>
            </w:pPr>
            <w:r>
              <w:rPr>
                <w:b/>
                <w:color w:val="FFFFFF"/>
                <w:sz w:val="19"/>
              </w:rPr>
              <w:t>Year 3</w:t>
            </w:r>
          </w:p>
        </w:tc>
      </w:tr>
      <w:tr>
        <w:tc>
          <w:tcPr>
            <w:tcW w:type="dxa" w:w="2351"/>
            <w:vAlign w:val="center"/>
            <w:tcW w:w="2340000" w:type="dxa"/>
          </w:tcPr>
          <w:p>
            <w:pPr>
              <w:spacing w:before="60" w:after="60"/>
              <w:ind w:left="113"/>
            </w:pPr>
            <w:r>
              <w:rPr>
                <w:b w:val="0"/>
                <w:color w:val="1A1917"/>
                <w:sz w:val="19"/>
              </w:rPr>
              <w:t>Registered users</w:t>
            </w:r>
          </w:p>
        </w:tc>
        <w:tc>
          <w:tcPr>
            <w:tcW w:type="dxa" w:w="2351"/>
            <w:vAlign w:val="center"/>
            <w:tcW w:w="1080000" w:type="dxa"/>
          </w:tcPr>
          <w:p>
            <w:pPr>
              <w:spacing w:before="60" w:after="60"/>
              <w:ind w:left="113"/>
            </w:pPr>
            <w:r>
              <w:rPr>
                <w:b w:val="0"/>
                <w:color w:val="5E5A52"/>
                <w:sz w:val="19"/>
              </w:rPr>
              <w:t>5,000</w:t>
            </w:r>
          </w:p>
        </w:tc>
        <w:tc>
          <w:tcPr>
            <w:tcW w:type="dxa" w:w="2351"/>
            <w:vAlign w:val="center"/>
            <w:tcW w:w="1080000" w:type="dxa"/>
          </w:tcPr>
          <w:p>
            <w:pPr>
              <w:spacing w:before="60" w:after="60"/>
              <w:ind w:left="113"/>
            </w:pPr>
            <w:r>
              <w:rPr>
                <w:b w:val="0"/>
                <w:color w:val="5E5A52"/>
                <w:sz w:val="19"/>
              </w:rPr>
              <w:t>25,000</w:t>
            </w:r>
          </w:p>
        </w:tc>
        <w:tc>
          <w:tcPr>
            <w:tcW w:type="dxa" w:w="2351"/>
            <w:vAlign w:val="center"/>
            <w:tcW w:w="1260000" w:type="dxa"/>
          </w:tcPr>
          <w:p>
            <w:pPr>
              <w:spacing w:before="60" w:after="60"/>
              <w:ind w:left="113"/>
            </w:pPr>
            <w:r>
              <w:rPr>
                <w:b w:val="0"/>
                <w:color w:val="5E5A52"/>
                <w:sz w:val="19"/>
              </w:rPr>
              <w:t>80,000</w:t>
            </w:r>
          </w:p>
        </w:tc>
      </w:tr>
      <w:tr>
        <w:tc>
          <w:tcPr>
            <w:tcW w:type="dxa" w:w="2351"/>
            <w:vAlign w:val="center"/>
            <w:tcW w:w="2340000" w:type="dxa"/>
            <w:shd w:val="clear" w:color="auto" w:fill="F8F7F4"/>
          </w:tcPr>
          <w:p>
            <w:pPr>
              <w:spacing w:before="60" w:after="60"/>
              <w:ind w:left="113"/>
            </w:pPr>
            <w:r>
              <w:rPr>
                <w:b w:val="0"/>
                <w:color w:val="1A1917"/>
                <w:sz w:val="19"/>
              </w:rPr>
              <w:t>Paid subscribers</w:t>
            </w:r>
          </w:p>
        </w:tc>
        <w:tc>
          <w:tcPr>
            <w:tcW w:type="dxa" w:w="2351"/>
            <w:vAlign w:val="center"/>
            <w:tcW w:w="1080000" w:type="dxa"/>
            <w:shd w:val="clear" w:color="auto" w:fill="F8F7F4"/>
          </w:tcPr>
          <w:p>
            <w:pPr>
              <w:spacing w:before="60" w:after="60"/>
              <w:ind w:left="113"/>
            </w:pPr>
            <w:r>
              <w:rPr>
                <w:b w:val="0"/>
                <w:color w:val="5E5A52"/>
                <w:sz w:val="19"/>
              </w:rPr>
              <w:t>800</w:t>
            </w:r>
          </w:p>
        </w:tc>
        <w:tc>
          <w:tcPr>
            <w:tcW w:type="dxa" w:w="2351"/>
            <w:vAlign w:val="center"/>
            <w:tcW w:w="1080000" w:type="dxa"/>
            <w:shd w:val="clear" w:color="auto" w:fill="F8F7F4"/>
          </w:tcPr>
          <w:p>
            <w:pPr>
              <w:spacing w:before="60" w:after="60"/>
              <w:ind w:left="113"/>
            </w:pPr>
            <w:r>
              <w:rPr>
                <w:b w:val="0"/>
                <w:color w:val="5E5A52"/>
                <w:sz w:val="19"/>
              </w:rPr>
              <w:t>3,500</w:t>
            </w:r>
          </w:p>
        </w:tc>
        <w:tc>
          <w:tcPr>
            <w:tcW w:type="dxa" w:w="2351"/>
            <w:vAlign w:val="center"/>
            <w:tcW w:w="1260000" w:type="dxa"/>
            <w:shd w:val="clear" w:color="auto" w:fill="F8F7F4"/>
          </w:tcPr>
          <w:p>
            <w:pPr>
              <w:spacing w:before="60" w:after="60"/>
              <w:ind w:left="113"/>
            </w:pPr>
            <w:r>
              <w:rPr>
                <w:b w:val="0"/>
                <w:color w:val="5E5A52"/>
                <w:sz w:val="19"/>
              </w:rPr>
              <w:t>14,000</w:t>
            </w:r>
          </w:p>
        </w:tc>
      </w:tr>
      <w:tr>
        <w:tc>
          <w:tcPr>
            <w:tcW w:type="dxa" w:w="2351"/>
            <w:vAlign w:val="center"/>
            <w:tcW w:w="2340000" w:type="dxa"/>
          </w:tcPr>
          <w:p>
            <w:pPr>
              <w:spacing w:before="60" w:after="60"/>
              <w:ind w:left="113"/>
            </w:pPr>
            <w:r>
              <w:rPr>
                <w:b w:val="0"/>
                <w:color w:val="1A1917"/>
                <w:sz w:val="19"/>
              </w:rPr>
              <w:t>Blended ARPU (paid/year)</w:t>
            </w:r>
          </w:p>
        </w:tc>
        <w:tc>
          <w:tcPr>
            <w:tcW w:type="dxa" w:w="2351"/>
            <w:vAlign w:val="center"/>
            <w:tcW w:w="1080000" w:type="dxa"/>
          </w:tcPr>
          <w:p>
            <w:pPr>
              <w:spacing w:before="60" w:after="60"/>
              <w:ind w:left="113"/>
            </w:pPr>
            <w:r>
              <w:rPr>
                <w:b w:val="0"/>
                <w:color w:val="5E5A52"/>
                <w:sz w:val="19"/>
              </w:rPr>
              <w:t>£165</w:t>
            </w:r>
          </w:p>
        </w:tc>
        <w:tc>
          <w:tcPr>
            <w:tcW w:type="dxa" w:w="2351"/>
            <w:vAlign w:val="center"/>
            <w:tcW w:w="1080000" w:type="dxa"/>
          </w:tcPr>
          <w:p>
            <w:pPr>
              <w:spacing w:before="60" w:after="60"/>
              <w:ind w:left="113"/>
            </w:pPr>
            <w:r>
              <w:rPr>
                <w:b w:val="0"/>
                <w:color w:val="5E5A52"/>
                <w:sz w:val="19"/>
              </w:rPr>
              <w:t>£216</w:t>
            </w:r>
          </w:p>
        </w:tc>
        <w:tc>
          <w:tcPr>
            <w:tcW w:type="dxa" w:w="2351"/>
            <w:vAlign w:val="center"/>
            <w:tcW w:w="1260000" w:type="dxa"/>
          </w:tcPr>
          <w:p>
            <w:pPr>
              <w:spacing w:before="60" w:after="60"/>
              <w:ind w:left="113"/>
            </w:pPr>
            <w:r>
              <w:rPr>
                <w:b w:val="0"/>
                <w:color w:val="5E5A52"/>
                <w:sz w:val="19"/>
              </w:rPr>
              <w:t>£171</w:t>
            </w:r>
          </w:p>
        </w:tc>
      </w:tr>
      <w:tr>
        <w:tc>
          <w:tcPr>
            <w:tcW w:type="dxa" w:w="2351"/>
            <w:vAlign w:val="center"/>
            <w:tcW w:w="2340000" w:type="dxa"/>
            <w:shd w:val="clear" w:color="auto" w:fill="F8F7F4"/>
          </w:tcPr>
          <w:p>
            <w:pPr>
              <w:spacing w:before="60" w:after="60"/>
              <w:ind w:left="113"/>
            </w:pPr>
            <w:r>
              <w:rPr>
                <w:b w:val="0"/>
                <w:color w:val="1A1917"/>
                <w:sz w:val="19"/>
              </w:rPr>
              <w:t>Subscription revenue</w:t>
            </w:r>
          </w:p>
        </w:tc>
        <w:tc>
          <w:tcPr>
            <w:tcW w:type="dxa" w:w="2351"/>
            <w:vAlign w:val="center"/>
            <w:tcW w:w="1080000" w:type="dxa"/>
            <w:shd w:val="clear" w:color="auto" w:fill="F8F7F4"/>
          </w:tcPr>
          <w:p>
            <w:pPr>
              <w:spacing w:before="60" w:after="60"/>
              <w:ind w:left="113"/>
            </w:pPr>
            <w:r>
              <w:rPr>
                <w:b w:val="0"/>
                <w:color w:val="5E5A52"/>
                <w:sz w:val="19"/>
              </w:rPr>
              <w:t>£132,000</w:t>
            </w:r>
          </w:p>
        </w:tc>
        <w:tc>
          <w:tcPr>
            <w:tcW w:type="dxa" w:w="2351"/>
            <w:vAlign w:val="center"/>
            <w:tcW w:w="1080000" w:type="dxa"/>
            <w:shd w:val="clear" w:color="auto" w:fill="F8F7F4"/>
          </w:tcPr>
          <w:p>
            <w:pPr>
              <w:spacing w:before="60" w:after="60"/>
              <w:ind w:left="113"/>
            </w:pPr>
            <w:r>
              <w:rPr>
                <w:b w:val="0"/>
                <w:color w:val="5E5A52"/>
                <w:sz w:val="19"/>
              </w:rPr>
              <w:t>£756,000</w:t>
            </w:r>
          </w:p>
        </w:tc>
        <w:tc>
          <w:tcPr>
            <w:tcW w:type="dxa" w:w="2351"/>
            <w:vAlign w:val="center"/>
            <w:tcW w:w="1260000" w:type="dxa"/>
            <w:shd w:val="clear" w:color="auto" w:fill="F8F7F4"/>
          </w:tcPr>
          <w:p>
            <w:pPr>
              <w:spacing w:before="60" w:after="60"/>
              <w:ind w:left="113"/>
            </w:pPr>
            <w:r>
              <w:rPr>
                <w:b w:val="0"/>
                <w:color w:val="5E5A52"/>
                <w:sz w:val="19"/>
              </w:rPr>
              <w:t>£2,394,000</w:t>
            </w:r>
          </w:p>
        </w:tc>
      </w:tr>
      <w:tr>
        <w:tc>
          <w:tcPr>
            <w:tcW w:type="dxa" w:w="2351"/>
            <w:vAlign w:val="center"/>
            <w:tcW w:w="2340000" w:type="dxa"/>
          </w:tcPr>
          <w:p>
            <w:pPr>
              <w:spacing w:before="60" w:after="60"/>
              <w:ind w:left="113"/>
            </w:pPr>
            <w:r>
              <w:rPr>
                <w:b w:val="0"/>
                <w:color w:val="1A1917"/>
                <w:sz w:val="19"/>
              </w:rPr>
              <w:t>Pro services commission</w:t>
            </w:r>
          </w:p>
        </w:tc>
        <w:tc>
          <w:tcPr>
            <w:tcW w:type="dxa" w:w="2351"/>
            <w:vAlign w:val="center"/>
            <w:tcW w:w="1080000" w:type="dxa"/>
          </w:tcPr>
          <w:p>
            <w:pPr>
              <w:spacing w:before="60" w:after="60"/>
              <w:ind w:left="113"/>
            </w:pPr>
            <w:r>
              <w:rPr>
                <w:b w:val="0"/>
                <w:color w:val="5E5A52"/>
                <w:sz w:val="19"/>
              </w:rPr>
              <w:t>£28,000</w:t>
            </w:r>
          </w:p>
        </w:tc>
        <w:tc>
          <w:tcPr>
            <w:tcW w:type="dxa" w:w="2351"/>
            <w:vAlign w:val="center"/>
            <w:tcW w:w="1080000" w:type="dxa"/>
          </w:tcPr>
          <w:p>
            <w:pPr>
              <w:spacing w:before="60" w:after="60"/>
              <w:ind w:left="113"/>
            </w:pPr>
            <w:r>
              <w:rPr>
                <w:b w:val="0"/>
                <w:color w:val="5E5A52"/>
                <w:sz w:val="19"/>
              </w:rPr>
              <w:t>£108,000</w:t>
            </w:r>
          </w:p>
        </w:tc>
        <w:tc>
          <w:tcPr>
            <w:tcW w:type="dxa" w:w="2351"/>
            <w:vAlign w:val="center"/>
            <w:tcW w:w="1260000" w:type="dxa"/>
          </w:tcPr>
          <w:p>
            <w:pPr>
              <w:spacing w:before="60" w:after="60"/>
              <w:ind w:left="113"/>
            </w:pPr>
            <w:r>
              <w:rPr>
                <w:b w:val="0"/>
                <w:color w:val="5E5A52"/>
                <w:sz w:val="19"/>
              </w:rPr>
              <w:t>£280,000</w:t>
            </w:r>
          </w:p>
        </w:tc>
      </w:tr>
      <w:tr>
        <w:tc>
          <w:tcPr>
            <w:tcW w:type="dxa" w:w="2351"/>
            <w:vAlign w:val="center"/>
            <w:tcW w:w="2340000" w:type="dxa"/>
            <w:shd w:val="clear" w:color="auto" w:fill="F8F7F4"/>
          </w:tcPr>
          <w:p>
            <w:pPr>
              <w:spacing w:before="60" w:after="60"/>
              <w:ind w:left="113"/>
            </w:pPr>
            <w:r>
              <w:rPr>
                <w:b w:val="0"/>
                <w:color w:val="1A1917"/>
                <w:sz w:val="19"/>
              </w:rPr>
              <w:t>Referral revenue (H2+)</w:t>
            </w:r>
          </w:p>
        </w:tc>
        <w:tc>
          <w:tcPr>
            <w:tcW w:type="dxa" w:w="2351"/>
            <w:vAlign w:val="center"/>
            <w:tcW w:w="1080000" w:type="dxa"/>
            <w:shd w:val="clear" w:color="auto" w:fill="F8F7F4"/>
          </w:tcPr>
          <w:p>
            <w:pPr>
              <w:spacing w:before="60" w:after="60"/>
              <w:ind w:left="113"/>
            </w:pPr>
            <w:r>
              <w:rPr>
                <w:b w:val="0"/>
                <w:color w:val="5E5A52"/>
                <w:sz w:val="19"/>
              </w:rPr>
              <w:t>£0</w:t>
            </w:r>
          </w:p>
        </w:tc>
        <w:tc>
          <w:tcPr>
            <w:tcW w:type="dxa" w:w="2351"/>
            <w:vAlign w:val="center"/>
            <w:tcW w:w="1080000" w:type="dxa"/>
            <w:shd w:val="clear" w:color="auto" w:fill="F8F7F4"/>
          </w:tcPr>
          <w:p>
            <w:pPr>
              <w:spacing w:before="60" w:after="60"/>
              <w:ind w:left="113"/>
            </w:pPr>
            <w:r>
              <w:rPr>
                <w:b w:val="0"/>
                <w:color w:val="5E5A52"/>
                <w:sz w:val="19"/>
              </w:rPr>
              <w:t>£24,000</w:t>
            </w:r>
          </w:p>
        </w:tc>
        <w:tc>
          <w:tcPr>
            <w:tcW w:type="dxa" w:w="2351"/>
            <w:vAlign w:val="center"/>
            <w:tcW w:w="1260000" w:type="dxa"/>
            <w:shd w:val="clear" w:color="auto" w:fill="F8F7F4"/>
          </w:tcPr>
          <w:p>
            <w:pPr>
              <w:spacing w:before="60" w:after="60"/>
              <w:ind w:left="113"/>
            </w:pPr>
            <w:r>
              <w:rPr>
                <w:b w:val="0"/>
                <w:color w:val="5E5A52"/>
                <w:sz w:val="19"/>
              </w:rPr>
              <w:t>£96,000</w:t>
            </w:r>
          </w:p>
        </w:tc>
      </w:tr>
      <w:tr>
        <w:tc>
          <w:tcPr>
            <w:tcW w:type="dxa" w:w="2351"/>
            <w:vAlign w:val="center"/>
            <w:tcW w:w="2340000" w:type="dxa"/>
          </w:tcPr>
          <w:p>
            <w:pPr>
              <w:spacing w:before="60" w:after="60"/>
              <w:ind w:left="113"/>
            </w:pPr>
            <w:r>
              <w:rPr>
                <w:b w:val="0"/>
                <w:color w:val="1A1917"/>
                <w:sz w:val="19"/>
              </w:rPr>
              <w:t>B2B API revenue</w:t>
            </w:r>
          </w:p>
        </w:tc>
        <w:tc>
          <w:tcPr>
            <w:tcW w:type="dxa" w:w="2351"/>
            <w:vAlign w:val="center"/>
            <w:tcW w:w="1080000" w:type="dxa"/>
          </w:tcPr>
          <w:p>
            <w:pPr>
              <w:spacing w:before="60" w:after="60"/>
              <w:ind w:left="113"/>
            </w:pPr>
            <w:r>
              <w:rPr>
                <w:b w:val="0"/>
                <w:color w:val="5E5A52"/>
                <w:sz w:val="19"/>
              </w:rPr>
              <w:t>£0</w:t>
            </w:r>
          </w:p>
        </w:tc>
        <w:tc>
          <w:tcPr>
            <w:tcW w:type="dxa" w:w="2351"/>
            <w:vAlign w:val="center"/>
            <w:tcW w:w="1080000" w:type="dxa"/>
          </w:tcPr>
          <w:p>
            <w:pPr>
              <w:spacing w:before="60" w:after="60"/>
              <w:ind w:left="113"/>
            </w:pPr>
            <w:r>
              <w:rPr>
                <w:b w:val="0"/>
                <w:color w:val="5E5A52"/>
                <w:sz w:val="19"/>
              </w:rPr>
              <w:t>£18,000</w:t>
            </w:r>
          </w:p>
        </w:tc>
        <w:tc>
          <w:tcPr>
            <w:tcW w:type="dxa" w:w="2351"/>
            <w:vAlign w:val="center"/>
            <w:tcW w:w="1260000" w:type="dxa"/>
          </w:tcPr>
          <w:p>
            <w:pPr>
              <w:spacing w:before="60" w:after="60"/>
              <w:ind w:left="113"/>
            </w:pPr>
            <w:r>
              <w:rPr>
                <w:b w:val="0"/>
                <w:color w:val="5E5A52"/>
                <w:sz w:val="19"/>
              </w:rPr>
              <w:t>£144,000</w:t>
            </w:r>
          </w:p>
        </w:tc>
      </w:tr>
      <w:tr>
        <w:tc>
          <w:tcPr>
            <w:tcW w:type="dxa" w:w="2351"/>
            <w:vAlign w:val="center"/>
            <w:tcW w:w="2340000" w:type="dxa"/>
            <w:shd w:val="clear" w:color="auto" w:fill="F8F7F4"/>
          </w:tcPr>
          <w:p>
            <w:pPr>
              <w:spacing w:before="60" w:after="60"/>
              <w:ind w:left="113"/>
            </w:pPr>
            <w:r>
              <w:rPr>
                <w:b w:val="0"/>
                <w:color w:val="1A1917"/>
                <w:sz w:val="19"/>
              </w:rPr>
              <w:t>Data licence revenue</w:t>
            </w:r>
          </w:p>
        </w:tc>
        <w:tc>
          <w:tcPr>
            <w:tcW w:type="dxa" w:w="2351"/>
            <w:vAlign w:val="center"/>
            <w:tcW w:w="1080000" w:type="dxa"/>
            <w:shd w:val="clear" w:color="auto" w:fill="F8F7F4"/>
          </w:tcPr>
          <w:p>
            <w:pPr>
              <w:spacing w:before="60" w:after="60"/>
              <w:ind w:left="113"/>
            </w:pPr>
            <w:r>
              <w:rPr>
                <w:b w:val="0"/>
                <w:color w:val="5E5A52"/>
                <w:sz w:val="19"/>
              </w:rPr>
              <w:t>£0</w:t>
            </w:r>
          </w:p>
        </w:tc>
        <w:tc>
          <w:tcPr>
            <w:tcW w:type="dxa" w:w="2351"/>
            <w:vAlign w:val="center"/>
            <w:tcW w:w="1080000" w:type="dxa"/>
            <w:shd w:val="clear" w:color="auto" w:fill="F8F7F4"/>
          </w:tcPr>
          <w:p>
            <w:pPr>
              <w:spacing w:before="60" w:after="60"/>
              <w:ind w:left="113"/>
            </w:pPr>
            <w:r>
              <w:rPr>
                <w:b w:val="0"/>
                <w:color w:val="5E5A52"/>
                <w:sz w:val="19"/>
              </w:rPr>
              <w:t>£0</w:t>
            </w:r>
          </w:p>
        </w:tc>
        <w:tc>
          <w:tcPr>
            <w:tcW w:type="dxa" w:w="2351"/>
            <w:vAlign w:val="center"/>
            <w:tcW w:w="1260000" w:type="dxa"/>
            <w:shd w:val="clear" w:color="auto" w:fill="F8F7F4"/>
          </w:tcPr>
          <w:p>
            <w:pPr>
              <w:spacing w:before="60" w:after="60"/>
              <w:ind w:left="113"/>
            </w:pPr>
            <w:r>
              <w:rPr>
                <w:b w:val="0"/>
                <w:color w:val="5E5A52"/>
                <w:sz w:val="19"/>
              </w:rPr>
              <w:t>£80,000</w:t>
            </w:r>
          </w:p>
        </w:tc>
      </w:tr>
      <w:tr>
        <w:tc>
          <w:tcPr>
            <w:tcW w:type="dxa" w:w="2351"/>
            <w:vAlign w:val="center"/>
            <w:tcW w:w="2340000" w:type="dxa"/>
          </w:tcPr>
          <w:p>
            <w:pPr>
              <w:spacing w:before="60" w:after="60"/>
              <w:ind w:left="113"/>
            </w:pPr>
            <w:r>
              <w:rPr>
                <w:b w:val="0"/>
                <w:color w:val="1A1917"/>
                <w:sz w:val="19"/>
              </w:rPr>
              <w:t>Total revenue</w:t>
            </w:r>
          </w:p>
        </w:tc>
        <w:tc>
          <w:tcPr>
            <w:tcW w:type="dxa" w:w="2351"/>
            <w:vAlign w:val="center"/>
            <w:tcW w:w="1080000" w:type="dxa"/>
          </w:tcPr>
          <w:p>
            <w:pPr>
              <w:spacing w:before="60" w:after="60"/>
              <w:ind w:left="113"/>
            </w:pPr>
            <w:r>
              <w:rPr>
                <w:b w:val="0"/>
                <w:color w:val="5E5A52"/>
                <w:sz w:val="19"/>
              </w:rPr>
              <w:t>£160,000</w:t>
            </w:r>
          </w:p>
        </w:tc>
        <w:tc>
          <w:tcPr>
            <w:tcW w:type="dxa" w:w="2351"/>
            <w:vAlign w:val="center"/>
            <w:tcW w:w="1080000" w:type="dxa"/>
          </w:tcPr>
          <w:p>
            <w:pPr>
              <w:spacing w:before="60" w:after="60"/>
              <w:ind w:left="113"/>
            </w:pPr>
            <w:r>
              <w:rPr>
                <w:b w:val="0"/>
                <w:color w:val="5E5A52"/>
                <w:sz w:val="19"/>
              </w:rPr>
              <w:t>£906,000</w:t>
            </w:r>
          </w:p>
        </w:tc>
        <w:tc>
          <w:tcPr>
            <w:tcW w:type="dxa" w:w="2351"/>
            <w:vAlign w:val="center"/>
            <w:tcW w:w="1260000" w:type="dxa"/>
          </w:tcPr>
          <w:p>
            <w:pPr>
              <w:spacing w:before="60" w:after="60"/>
              <w:ind w:left="113"/>
            </w:pPr>
            <w:r>
              <w:rPr>
                <w:b w:val="0"/>
                <w:color w:val="5E5A52"/>
                <w:sz w:val="19"/>
              </w:rPr>
              <w:t>£2,994,000</w:t>
            </w:r>
          </w:p>
        </w:tc>
      </w:tr>
      <w:tr>
        <w:tc>
          <w:tcPr>
            <w:tcW w:type="dxa" w:w="2351"/>
            <w:vAlign w:val="center"/>
            <w:tcW w:w="2340000" w:type="dxa"/>
            <w:shd w:val="clear" w:color="auto" w:fill="F8F7F4"/>
          </w:tcPr>
          <w:p>
            <w:pPr>
              <w:spacing w:before="60" w:after="60"/>
              <w:ind w:left="113"/>
            </w:pPr>
            <w:r>
              <w:rPr>
                <w:b w:val="0"/>
                <w:color w:val="1A1917"/>
                <w:sz w:val="19"/>
              </w:rPr>
              <w:t>Cost of revenue (hosting, APIs)</w:t>
            </w:r>
          </w:p>
        </w:tc>
        <w:tc>
          <w:tcPr>
            <w:tcW w:type="dxa" w:w="2351"/>
            <w:vAlign w:val="center"/>
            <w:tcW w:w="1080000" w:type="dxa"/>
            <w:shd w:val="clear" w:color="auto" w:fill="F8F7F4"/>
          </w:tcPr>
          <w:p>
            <w:pPr>
              <w:spacing w:before="60" w:after="60"/>
              <w:ind w:left="113"/>
            </w:pPr>
            <w:r>
              <w:rPr>
                <w:b w:val="0"/>
                <w:color w:val="5E5A52"/>
                <w:sz w:val="19"/>
              </w:rPr>
              <w:t>£18,000</w:t>
            </w:r>
          </w:p>
        </w:tc>
        <w:tc>
          <w:tcPr>
            <w:tcW w:type="dxa" w:w="2351"/>
            <w:vAlign w:val="center"/>
            <w:tcW w:w="1080000" w:type="dxa"/>
            <w:shd w:val="clear" w:color="auto" w:fill="F8F7F4"/>
          </w:tcPr>
          <w:p>
            <w:pPr>
              <w:spacing w:before="60" w:after="60"/>
              <w:ind w:left="113"/>
            </w:pPr>
            <w:r>
              <w:rPr>
                <w:b w:val="0"/>
                <w:color w:val="5E5A52"/>
                <w:sz w:val="19"/>
              </w:rPr>
              <w:t>£54,000</w:t>
            </w:r>
          </w:p>
        </w:tc>
        <w:tc>
          <w:tcPr>
            <w:tcW w:type="dxa" w:w="2351"/>
            <w:vAlign w:val="center"/>
            <w:tcW w:w="1260000" w:type="dxa"/>
            <w:shd w:val="clear" w:color="auto" w:fill="F8F7F4"/>
          </w:tcPr>
          <w:p>
            <w:pPr>
              <w:spacing w:before="60" w:after="60"/>
              <w:ind w:left="113"/>
            </w:pPr>
            <w:r>
              <w:rPr>
                <w:b w:val="0"/>
                <w:color w:val="5E5A52"/>
                <w:sz w:val="19"/>
              </w:rPr>
              <w:t>£160,000</w:t>
            </w:r>
          </w:p>
        </w:tc>
      </w:tr>
      <w:tr>
        <w:tc>
          <w:tcPr>
            <w:tcW w:type="dxa" w:w="2351"/>
            <w:vAlign w:val="center"/>
            <w:tcW w:w="2340000" w:type="dxa"/>
          </w:tcPr>
          <w:p>
            <w:pPr>
              <w:spacing w:before="60" w:after="60"/>
              <w:ind w:left="113"/>
            </w:pPr>
            <w:r>
              <w:rPr>
                <w:b w:val="0"/>
                <w:color w:val="1A1917"/>
                <w:sz w:val="19"/>
              </w:rPr>
              <w:t>Gross profit</w:t>
            </w:r>
          </w:p>
        </w:tc>
        <w:tc>
          <w:tcPr>
            <w:tcW w:type="dxa" w:w="2351"/>
            <w:vAlign w:val="center"/>
            <w:tcW w:w="1080000" w:type="dxa"/>
          </w:tcPr>
          <w:p>
            <w:pPr>
              <w:spacing w:before="60" w:after="60"/>
              <w:ind w:left="113"/>
            </w:pPr>
            <w:r>
              <w:rPr>
                <w:b w:val="0"/>
                <w:color w:val="5E5A52"/>
                <w:sz w:val="19"/>
              </w:rPr>
              <w:t>£142,000</w:t>
            </w:r>
          </w:p>
        </w:tc>
        <w:tc>
          <w:tcPr>
            <w:tcW w:type="dxa" w:w="2351"/>
            <w:vAlign w:val="center"/>
            <w:tcW w:w="1080000" w:type="dxa"/>
          </w:tcPr>
          <w:p>
            <w:pPr>
              <w:spacing w:before="60" w:after="60"/>
              <w:ind w:left="113"/>
            </w:pPr>
            <w:r>
              <w:rPr>
                <w:b w:val="0"/>
                <w:color w:val="5E5A52"/>
                <w:sz w:val="19"/>
              </w:rPr>
              <w:t>£852,000</w:t>
            </w:r>
          </w:p>
        </w:tc>
        <w:tc>
          <w:tcPr>
            <w:tcW w:type="dxa" w:w="2351"/>
            <w:vAlign w:val="center"/>
            <w:tcW w:w="1260000" w:type="dxa"/>
          </w:tcPr>
          <w:p>
            <w:pPr>
              <w:spacing w:before="60" w:after="60"/>
              <w:ind w:left="113"/>
            </w:pPr>
            <w:r>
              <w:rPr>
                <w:b w:val="0"/>
                <w:color w:val="5E5A52"/>
                <w:sz w:val="19"/>
              </w:rPr>
              <w:t>£2,834,000</w:t>
            </w:r>
          </w:p>
        </w:tc>
      </w:tr>
      <w:tr>
        <w:tc>
          <w:tcPr>
            <w:tcW w:type="dxa" w:w="2351"/>
            <w:vAlign w:val="center"/>
            <w:tcW w:w="2340000" w:type="dxa"/>
            <w:shd w:val="clear" w:color="auto" w:fill="F8F7F4"/>
          </w:tcPr>
          <w:p>
            <w:pPr>
              <w:spacing w:before="60" w:after="60"/>
              <w:ind w:left="113"/>
            </w:pPr>
            <w:r>
              <w:rPr>
                <w:b w:val="0"/>
                <w:color w:val="1A1917"/>
                <w:sz w:val="19"/>
              </w:rPr>
              <w:t>Gross margin</w:t>
            </w:r>
          </w:p>
        </w:tc>
        <w:tc>
          <w:tcPr>
            <w:tcW w:type="dxa" w:w="2351"/>
            <w:vAlign w:val="center"/>
            <w:tcW w:w="1080000" w:type="dxa"/>
            <w:shd w:val="clear" w:color="auto" w:fill="F8F7F4"/>
          </w:tcPr>
          <w:p>
            <w:pPr>
              <w:spacing w:before="60" w:after="60"/>
              <w:ind w:left="113"/>
            </w:pPr>
            <w:r>
              <w:rPr>
                <w:b w:val="0"/>
                <w:color w:val="5E5A52"/>
                <w:sz w:val="19"/>
              </w:rPr>
              <w:t>89%</w:t>
            </w:r>
          </w:p>
        </w:tc>
        <w:tc>
          <w:tcPr>
            <w:tcW w:type="dxa" w:w="2351"/>
            <w:vAlign w:val="center"/>
            <w:tcW w:w="1080000" w:type="dxa"/>
            <w:shd w:val="clear" w:color="auto" w:fill="F8F7F4"/>
          </w:tcPr>
          <w:p>
            <w:pPr>
              <w:spacing w:before="60" w:after="60"/>
              <w:ind w:left="113"/>
            </w:pPr>
            <w:r>
              <w:rPr>
                <w:b w:val="0"/>
                <w:color w:val="5E5A52"/>
                <w:sz w:val="19"/>
              </w:rPr>
              <w:t>94%</w:t>
            </w:r>
          </w:p>
        </w:tc>
        <w:tc>
          <w:tcPr>
            <w:tcW w:type="dxa" w:w="2351"/>
            <w:vAlign w:val="center"/>
            <w:tcW w:w="1260000" w:type="dxa"/>
            <w:shd w:val="clear" w:color="auto" w:fill="F8F7F4"/>
          </w:tcPr>
          <w:p>
            <w:pPr>
              <w:spacing w:before="60" w:after="60"/>
              <w:ind w:left="113"/>
            </w:pPr>
            <w:r>
              <w:rPr>
                <w:b w:val="0"/>
                <w:color w:val="5E5A52"/>
                <w:sz w:val="19"/>
              </w:rPr>
              <w:t>95%</w:t>
            </w:r>
          </w:p>
        </w:tc>
      </w:tr>
      <w:tr>
        <w:tc>
          <w:tcPr>
            <w:tcW w:type="dxa" w:w="2351"/>
            <w:vAlign w:val="center"/>
            <w:tcW w:w="2340000" w:type="dxa"/>
          </w:tcPr>
          <w:p>
            <w:pPr>
              <w:spacing w:before="60" w:after="60"/>
              <w:ind w:left="113"/>
            </w:pPr>
            <w:r>
              <w:rPr>
                <w:b w:val="0"/>
                <w:color w:val="1A1917"/>
                <w:sz w:val="19"/>
              </w:rPr>
              <w:t>Headcount costs</w:t>
            </w:r>
          </w:p>
        </w:tc>
        <w:tc>
          <w:tcPr>
            <w:tcW w:type="dxa" w:w="2351"/>
            <w:vAlign w:val="center"/>
            <w:tcW w:w="1080000" w:type="dxa"/>
          </w:tcPr>
          <w:p>
            <w:pPr>
              <w:spacing w:before="60" w:after="60"/>
              <w:ind w:left="113"/>
            </w:pPr>
            <w:r>
              <w:rPr>
                <w:b w:val="0"/>
                <w:color w:val="5E5A52"/>
                <w:sz w:val="19"/>
              </w:rPr>
              <w:t>£192,000</w:t>
            </w:r>
          </w:p>
        </w:tc>
        <w:tc>
          <w:tcPr>
            <w:tcW w:type="dxa" w:w="2351"/>
            <w:vAlign w:val="center"/>
            <w:tcW w:w="1080000" w:type="dxa"/>
          </w:tcPr>
          <w:p>
            <w:pPr>
              <w:spacing w:before="60" w:after="60"/>
              <w:ind w:left="113"/>
            </w:pPr>
            <w:r>
              <w:rPr>
                <w:b w:val="0"/>
                <w:color w:val="5E5A52"/>
                <w:sz w:val="19"/>
              </w:rPr>
              <w:t>£550,000</w:t>
            </w:r>
          </w:p>
        </w:tc>
        <w:tc>
          <w:tcPr>
            <w:tcW w:type="dxa" w:w="2351"/>
            <w:vAlign w:val="center"/>
            <w:tcW w:w="1260000" w:type="dxa"/>
          </w:tcPr>
          <w:p>
            <w:pPr>
              <w:spacing w:before="60" w:after="60"/>
              <w:ind w:left="113"/>
            </w:pPr>
            <w:r>
              <w:rPr>
                <w:b w:val="0"/>
                <w:color w:val="5E5A52"/>
                <w:sz w:val="19"/>
              </w:rPr>
              <w:t>£1,200,000</w:t>
            </w:r>
          </w:p>
        </w:tc>
      </w:tr>
      <w:tr>
        <w:tc>
          <w:tcPr>
            <w:tcW w:type="dxa" w:w="2351"/>
            <w:vAlign w:val="center"/>
            <w:tcW w:w="2340000" w:type="dxa"/>
            <w:shd w:val="clear" w:color="auto" w:fill="F8F7F4"/>
          </w:tcPr>
          <w:p>
            <w:pPr>
              <w:spacing w:before="60" w:after="60"/>
              <w:ind w:left="113"/>
            </w:pPr>
            <w:r>
              <w:rPr>
                <w:b w:val="0"/>
                <w:color w:val="1A1917"/>
                <w:sz w:val="19"/>
              </w:rPr>
              <w:t>Marketing spend</w:t>
            </w:r>
          </w:p>
        </w:tc>
        <w:tc>
          <w:tcPr>
            <w:tcW w:type="dxa" w:w="2351"/>
            <w:vAlign w:val="center"/>
            <w:tcW w:w="1080000" w:type="dxa"/>
            <w:shd w:val="clear" w:color="auto" w:fill="F8F7F4"/>
          </w:tcPr>
          <w:p>
            <w:pPr>
              <w:spacing w:before="60" w:after="60"/>
              <w:ind w:left="113"/>
            </w:pPr>
            <w:r>
              <w:rPr>
                <w:b w:val="0"/>
                <w:color w:val="5E5A52"/>
                <w:sz w:val="19"/>
              </w:rPr>
              <w:t>£25,000</w:t>
            </w:r>
          </w:p>
        </w:tc>
        <w:tc>
          <w:tcPr>
            <w:tcW w:type="dxa" w:w="2351"/>
            <w:vAlign w:val="center"/>
            <w:tcW w:w="1080000" w:type="dxa"/>
            <w:shd w:val="clear" w:color="auto" w:fill="F8F7F4"/>
          </w:tcPr>
          <w:p>
            <w:pPr>
              <w:spacing w:before="60" w:after="60"/>
              <w:ind w:left="113"/>
            </w:pPr>
            <w:r>
              <w:rPr>
                <w:b w:val="0"/>
                <w:color w:val="5E5A52"/>
                <w:sz w:val="19"/>
              </w:rPr>
              <w:t>£86,000</w:t>
            </w:r>
          </w:p>
        </w:tc>
        <w:tc>
          <w:tcPr>
            <w:tcW w:type="dxa" w:w="2351"/>
            <w:vAlign w:val="center"/>
            <w:tcW w:w="1260000" w:type="dxa"/>
            <w:shd w:val="clear" w:color="auto" w:fill="F8F7F4"/>
          </w:tcPr>
          <w:p>
            <w:pPr>
              <w:spacing w:before="60" w:after="60"/>
              <w:ind w:left="113"/>
            </w:pPr>
            <w:r>
              <w:rPr>
                <w:b w:val="0"/>
                <w:color w:val="5E5A52"/>
                <w:sz w:val="19"/>
              </w:rPr>
              <w:t>£200,000</w:t>
            </w:r>
          </w:p>
        </w:tc>
      </w:tr>
      <w:tr>
        <w:tc>
          <w:tcPr>
            <w:tcW w:type="dxa" w:w="2351"/>
            <w:vAlign w:val="center"/>
            <w:tcW w:w="2340000" w:type="dxa"/>
          </w:tcPr>
          <w:p>
            <w:pPr>
              <w:spacing w:before="60" w:after="60"/>
              <w:ind w:left="113"/>
            </w:pPr>
            <w:r>
              <w:rPr>
                <w:b w:val="0"/>
                <w:color w:val="1A1917"/>
                <w:sz w:val="19"/>
              </w:rPr>
              <w:t>Other opex (legal, ins., office)</w:t>
            </w:r>
          </w:p>
        </w:tc>
        <w:tc>
          <w:tcPr>
            <w:tcW w:type="dxa" w:w="2351"/>
            <w:vAlign w:val="center"/>
            <w:tcW w:w="1080000" w:type="dxa"/>
          </w:tcPr>
          <w:p>
            <w:pPr>
              <w:spacing w:before="60" w:after="60"/>
              <w:ind w:left="113"/>
            </w:pPr>
            <w:r>
              <w:rPr>
                <w:b w:val="0"/>
                <w:color w:val="5E5A52"/>
                <w:sz w:val="19"/>
              </w:rPr>
              <w:t>£18,000</w:t>
            </w:r>
          </w:p>
        </w:tc>
        <w:tc>
          <w:tcPr>
            <w:tcW w:type="dxa" w:w="2351"/>
            <w:vAlign w:val="center"/>
            <w:tcW w:w="1080000" w:type="dxa"/>
          </w:tcPr>
          <w:p>
            <w:pPr>
              <w:spacing w:before="60" w:after="60"/>
              <w:ind w:left="113"/>
            </w:pPr>
            <w:r>
              <w:rPr>
                <w:b w:val="0"/>
                <w:color w:val="5E5A52"/>
                <w:sz w:val="19"/>
              </w:rPr>
              <w:t>£40,000</w:t>
            </w:r>
          </w:p>
        </w:tc>
        <w:tc>
          <w:tcPr>
            <w:tcW w:type="dxa" w:w="2351"/>
            <w:vAlign w:val="center"/>
            <w:tcW w:w="1260000" w:type="dxa"/>
          </w:tcPr>
          <w:p>
            <w:pPr>
              <w:spacing w:before="60" w:after="60"/>
              <w:ind w:left="113"/>
            </w:pPr>
            <w:r>
              <w:rPr>
                <w:b w:val="0"/>
                <w:color w:val="5E5A52"/>
                <w:sz w:val="19"/>
              </w:rPr>
              <w:t>£80,000</w:t>
            </w:r>
          </w:p>
        </w:tc>
      </w:tr>
      <w:tr>
        <w:tc>
          <w:tcPr>
            <w:tcW w:type="dxa" w:w="2351"/>
            <w:vAlign w:val="center"/>
            <w:tcW w:w="2340000" w:type="dxa"/>
            <w:shd w:val="clear" w:color="auto" w:fill="F8F7F4"/>
          </w:tcPr>
          <w:p>
            <w:pPr>
              <w:spacing w:before="60" w:after="60"/>
              <w:ind w:left="113"/>
            </w:pPr>
            <w:r>
              <w:rPr>
                <w:b w:val="0"/>
                <w:color w:val="1A1917"/>
                <w:sz w:val="19"/>
              </w:rPr>
              <w:t>Total opex</w:t>
            </w:r>
          </w:p>
        </w:tc>
        <w:tc>
          <w:tcPr>
            <w:tcW w:type="dxa" w:w="2351"/>
            <w:vAlign w:val="center"/>
            <w:tcW w:w="1080000" w:type="dxa"/>
            <w:shd w:val="clear" w:color="auto" w:fill="F8F7F4"/>
          </w:tcPr>
          <w:p>
            <w:pPr>
              <w:spacing w:before="60" w:after="60"/>
              <w:ind w:left="113"/>
            </w:pPr>
            <w:r>
              <w:rPr>
                <w:b w:val="0"/>
                <w:color w:val="5E5A52"/>
                <w:sz w:val="19"/>
              </w:rPr>
              <w:t>£235,000</w:t>
            </w:r>
          </w:p>
        </w:tc>
        <w:tc>
          <w:tcPr>
            <w:tcW w:type="dxa" w:w="2351"/>
            <w:vAlign w:val="center"/>
            <w:tcW w:w="1080000" w:type="dxa"/>
            <w:shd w:val="clear" w:color="auto" w:fill="F8F7F4"/>
          </w:tcPr>
          <w:p>
            <w:pPr>
              <w:spacing w:before="60" w:after="60"/>
              <w:ind w:left="113"/>
            </w:pPr>
            <w:r>
              <w:rPr>
                <w:b w:val="0"/>
                <w:color w:val="5E5A52"/>
                <w:sz w:val="19"/>
              </w:rPr>
              <w:t>£676,000</w:t>
            </w:r>
          </w:p>
        </w:tc>
        <w:tc>
          <w:tcPr>
            <w:tcW w:type="dxa" w:w="2351"/>
            <w:vAlign w:val="center"/>
            <w:tcW w:w="1260000" w:type="dxa"/>
            <w:shd w:val="clear" w:color="auto" w:fill="F8F7F4"/>
          </w:tcPr>
          <w:p>
            <w:pPr>
              <w:spacing w:before="60" w:after="60"/>
              <w:ind w:left="113"/>
            </w:pPr>
            <w:r>
              <w:rPr>
                <w:b w:val="0"/>
                <w:color w:val="5E5A52"/>
                <w:sz w:val="19"/>
              </w:rPr>
              <w:t>£1,480,000</w:t>
            </w:r>
          </w:p>
        </w:tc>
      </w:tr>
      <w:tr>
        <w:tc>
          <w:tcPr>
            <w:tcW w:type="dxa" w:w="2351"/>
            <w:vAlign w:val="center"/>
            <w:tcW w:w="2340000" w:type="dxa"/>
          </w:tcPr>
          <w:p>
            <w:pPr>
              <w:spacing w:before="60" w:after="60"/>
              <w:ind w:left="113"/>
            </w:pPr>
            <w:r>
              <w:rPr>
                <w:b w:val="0"/>
                <w:color w:val="1A1917"/>
                <w:sz w:val="19"/>
              </w:rPr>
              <w:t>EBITDA</w:t>
            </w:r>
          </w:p>
        </w:tc>
        <w:tc>
          <w:tcPr>
            <w:tcW w:type="dxa" w:w="2351"/>
            <w:vAlign w:val="center"/>
            <w:tcW w:w="1080000" w:type="dxa"/>
          </w:tcPr>
          <w:p>
            <w:pPr>
              <w:spacing w:before="60" w:after="60"/>
              <w:ind w:left="113"/>
            </w:pPr>
            <w:r>
              <w:rPr>
                <w:b w:val="0"/>
                <w:color w:val="5E5A52"/>
                <w:sz w:val="19"/>
              </w:rPr>
              <w:t>-£93,000</w:t>
            </w:r>
          </w:p>
        </w:tc>
        <w:tc>
          <w:tcPr>
            <w:tcW w:type="dxa" w:w="2351"/>
            <w:vAlign w:val="center"/>
            <w:tcW w:w="1080000" w:type="dxa"/>
          </w:tcPr>
          <w:p>
            <w:pPr>
              <w:spacing w:before="60" w:after="60"/>
              <w:ind w:left="113"/>
            </w:pPr>
            <w:r>
              <w:rPr>
                <w:b w:val="0"/>
                <w:color w:val="5E5A52"/>
                <w:sz w:val="19"/>
              </w:rPr>
              <w:t>£176,000</w:t>
            </w:r>
          </w:p>
        </w:tc>
        <w:tc>
          <w:tcPr>
            <w:tcW w:type="dxa" w:w="2351"/>
            <w:vAlign w:val="center"/>
            <w:tcW w:w="1260000" w:type="dxa"/>
          </w:tcPr>
          <w:p>
            <w:pPr>
              <w:spacing w:before="60" w:after="60"/>
              <w:ind w:left="113"/>
            </w:pPr>
            <w:r>
              <w:rPr>
                <w:b w:val="0"/>
                <w:color w:val="5E5A52"/>
                <w:sz w:val="19"/>
              </w:rPr>
              <w:t>£1,354,000</w:t>
            </w:r>
          </w:p>
        </w:tc>
      </w:tr>
      <w:tr>
        <w:tc>
          <w:tcPr>
            <w:tcW w:type="dxa" w:w="2351"/>
            <w:vAlign w:val="center"/>
            <w:tcW w:w="2340000" w:type="dxa"/>
            <w:shd w:val="clear" w:color="auto" w:fill="F8F7F4"/>
          </w:tcPr>
          <w:p>
            <w:pPr>
              <w:spacing w:before="60" w:after="60"/>
              <w:ind w:left="113"/>
            </w:pPr>
            <w:r>
              <w:rPr>
                <w:b w:val="0"/>
                <w:color w:val="1A1917"/>
                <w:sz w:val="19"/>
              </w:rPr>
              <w:t>EBITDA margin</w:t>
            </w:r>
          </w:p>
        </w:tc>
        <w:tc>
          <w:tcPr>
            <w:tcW w:type="dxa" w:w="2351"/>
            <w:vAlign w:val="center"/>
            <w:tcW w:w="1080000" w:type="dxa"/>
            <w:shd w:val="clear" w:color="auto" w:fill="F8F7F4"/>
          </w:tcPr>
          <w:p>
            <w:pPr>
              <w:spacing w:before="60" w:after="60"/>
              <w:ind w:left="113"/>
            </w:pPr>
            <w:r>
              <w:rPr>
                <w:b w:val="0"/>
                <w:color w:val="5E5A52"/>
                <w:sz w:val="19"/>
              </w:rPr>
              <w:t>-58%</w:t>
            </w:r>
          </w:p>
        </w:tc>
        <w:tc>
          <w:tcPr>
            <w:tcW w:type="dxa" w:w="2351"/>
            <w:vAlign w:val="center"/>
            <w:tcW w:w="1080000" w:type="dxa"/>
            <w:shd w:val="clear" w:color="auto" w:fill="F8F7F4"/>
          </w:tcPr>
          <w:p>
            <w:pPr>
              <w:spacing w:before="60" w:after="60"/>
              <w:ind w:left="113"/>
            </w:pPr>
            <w:r>
              <w:rPr>
                <w:b w:val="0"/>
                <w:color w:val="5E5A52"/>
                <w:sz w:val="19"/>
              </w:rPr>
              <w:t>+19%</w:t>
            </w:r>
          </w:p>
        </w:tc>
        <w:tc>
          <w:tcPr>
            <w:tcW w:type="dxa" w:w="2351"/>
            <w:vAlign w:val="center"/>
            <w:tcW w:w="1260000" w:type="dxa"/>
            <w:shd w:val="clear" w:color="auto" w:fill="F8F7F4"/>
          </w:tcPr>
          <w:p>
            <w:pPr>
              <w:spacing w:before="60" w:after="60"/>
              <w:ind w:left="113"/>
            </w:pPr>
            <w:r>
              <w:rPr>
                <w:b w:val="0"/>
                <w:color w:val="5E5A52"/>
                <w:sz w:val="19"/>
              </w:rPr>
              <w:t>+45%</w:t>
            </w:r>
          </w:p>
        </w:tc>
      </w:tr>
      <w:tr>
        <w:tc>
          <w:tcPr>
            <w:tcW w:type="dxa" w:w="2351"/>
            <w:vAlign w:val="center"/>
            <w:tcW w:w="2340000" w:type="dxa"/>
          </w:tcPr>
          <w:p>
            <w:pPr>
              <w:spacing w:before="60" w:after="60"/>
              <w:ind w:left="113"/>
            </w:pPr>
            <w:r>
              <w:rPr>
                <w:b w:val="0"/>
                <w:color w:val="1A1917"/>
                <w:sz w:val="19"/>
              </w:rPr>
              <w:t>Seed funding (external)</w:t>
            </w:r>
          </w:p>
        </w:tc>
        <w:tc>
          <w:tcPr>
            <w:tcW w:type="dxa" w:w="2351"/>
            <w:vAlign w:val="center"/>
            <w:tcW w:w="1080000" w:type="dxa"/>
          </w:tcPr>
          <w:p>
            <w:pPr>
              <w:spacing w:before="60" w:after="60"/>
              <w:ind w:left="113"/>
            </w:pPr>
            <w:r>
              <w:rPr>
                <w:b w:val="0"/>
                <w:color w:val="5E5A52"/>
                <w:sz w:val="19"/>
              </w:rPr>
              <w:t>£500,000</w:t>
            </w:r>
          </w:p>
        </w:tc>
        <w:tc>
          <w:tcPr>
            <w:tcW w:type="dxa" w:w="2351"/>
            <w:vAlign w:val="center"/>
            <w:tcW w:w="1080000" w:type="dxa"/>
          </w:tcPr>
          <w:p>
            <w:pPr>
              <w:spacing w:before="60" w:after="60"/>
              <w:ind w:left="113"/>
            </w:pPr>
            <w:r>
              <w:rPr>
                <w:b w:val="0"/>
                <w:color w:val="5E5A52"/>
                <w:sz w:val="19"/>
              </w:rPr>
              <w:t>—</w:t>
            </w:r>
          </w:p>
        </w:tc>
        <w:tc>
          <w:tcPr>
            <w:tcW w:type="dxa" w:w="2351"/>
            <w:vAlign w:val="center"/>
            <w:tcW w:w="1260000" w:type="dxa"/>
          </w:tcPr>
          <w:p>
            <w:pPr>
              <w:spacing w:before="60" w:after="60"/>
              <w:ind w:left="113"/>
            </w:pPr>
            <w:r>
              <w:rPr>
                <w:b w:val="0"/>
                <w:color w:val="5E5A52"/>
                <w:sz w:val="19"/>
              </w:rPr>
              <w:t>—</w:t>
            </w:r>
          </w:p>
        </w:tc>
      </w:tr>
      <w:tr>
        <w:tc>
          <w:tcPr>
            <w:tcW w:type="dxa" w:w="2351"/>
            <w:vAlign w:val="center"/>
            <w:tcW w:w="2340000" w:type="dxa"/>
            <w:shd w:val="clear" w:color="auto" w:fill="F8F7F4"/>
          </w:tcPr>
          <w:p>
            <w:pPr>
              <w:spacing w:before="60" w:after="60"/>
              <w:ind w:left="113"/>
            </w:pPr>
            <w:r>
              <w:rPr>
                <w:b w:val="0"/>
                <w:color w:val="1A1917"/>
                <w:sz w:val="19"/>
              </w:rPr>
              <w:t>Series A (Month 18)</w:t>
            </w:r>
          </w:p>
        </w:tc>
        <w:tc>
          <w:tcPr>
            <w:tcW w:type="dxa" w:w="2351"/>
            <w:vAlign w:val="center"/>
            <w:tcW w:w="1080000" w:type="dxa"/>
            <w:shd w:val="clear" w:color="auto" w:fill="F8F7F4"/>
          </w:tcPr>
          <w:p>
            <w:pPr>
              <w:spacing w:before="60" w:after="60"/>
              <w:ind w:left="113"/>
            </w:pPr>
            <w:r>
              <w:rPr>
                <w:b w:val="0"/>
                <w:color w:val="5E5A52"/>
                <w:sz w:val="19"/>
              </w:rPr>
              <w:t>—</w:t>
            </w:r>
          </w:p>
        </w:tc>
        <w:tc>
          <w:tcPr>
            <w:tcW w:type="dxa" w:w="2351"/>
            <w:vAlign w:val="center"/>
            <w:tcW w:w="1080000" w:type="dxa"/>
            <w:shd w:val="clear" w:color="auto" w:fill="F8F7F4"/>
          </w:tcPr>
          <w:p>
            <w:pPr>
              <w:spacing w:before="60" w:after="60"/>
              <w:ind w:left="113"/>
            </w:pPr>
            <w:r>
              <w:rPr>
                <w:b w:val="0"/>
                <w:color w:val="5E5A52"/>
                <w:sz w:val="19"/>
              </w:rPr>
              <w:t>£1,500,000</w:t>
            </w:r>
          </w:p>
        </w:tc>
        <w:tc>
          <w:tcPr>
            <w:tcW w:type="dxa" w:w="2351"/>
            <w:vAlign w:val="center"/>
            <w:tcW w:w="1260000" w:type="dxa"/>
            <w:shd w:val="clear" w:color="auto" w:fill="F8F7F4"/>
          </w:tcPr>
          <w:p>
            <w:pPr>
              <w:spacing w:before="60" w:after="60"/>
              <w:ind w:left="113"/>
            </w:pPr>
            <w:r>
              <w:rPr>
                <w:b w:val="0"/>
                <w:color w:val="5E5A52"/>
                <w:sz w:val="19"/>
              </w:rPr>
              <w:t>—</w:t>
            </w:r>
          </w:p>
        </w:tc>
      </w:tr>
      <w:tr>
        <w:tc>
          <w:tcPr>
            <w:tcW w:type="dxa" w:w="2351"/>
            <w:vAlign w:val="center"/>
            <w:tcW w:w="2340000" w:type="dxa"/>
          </w:tcPr>
          <w:p>
            <w:pPr>
              <w:spacing w:before="60" w:after="60"/>
              <w:ind w:left="113"/>
            </w:pPr>
            <w:r>
              <w:rPr>
                <w:b w:val="0"/>
                <w:color w:val="1A1917"/>
                <w:sz w:val="19"/>
              </w:rPr>
              <w:t>Cash position (YE)</w:t>
            </w:r>
          </w:p>
        </w:tc>
        <w:tc>
          <w:tcPr>
            <w:tcW w:type="dxa" w:w="2351"/>
            <w:vAlign w:val="center"/>
            <w:tcW w:w="1080000" w:type="dxa"/>
          </w:tcPr>
          <w:p>
            <w:pPr>
              <w:spacing w:before="60" w:after="60"/>
              <w:ind w:left="113"/>
            </w:pPr>
            <w:r>
              <w:rPr>
                <w:b w:val="0"/>
                <w:color w:val="5E5A52"/>
                <w:sz w:val="19"/>
              </w:rPr>
              <w:t>£407,000</w:t>
            </w:r>
          </w:p>
        </w:tc>
        <w:tc>
          <w:tcPr>
            <w:tcW w:type="dxa" w:w="2351"/>
            <w:vAlign w:val="center"/>
            <w:tcW w:w="1080000" w:type="dxa"/>
          </w:tcPr>
          <w:p>
            <w:pPr>
              <w:spacing w:before="60" w:after="60"/>
              <w:ind w:left="113"/>
            </w:pPr>
            <w:r>
              <w:rPr>
                <w:b w:val="0"/>
                <w:color w:val="5E5A52"/>
                <w:sz w:val="19"/>
              </w:rPr>
              <w:t>£1,983,000</w:t>
            </w:r>
          </w:p>
        </w:tc>
        <w:tc>
          <w:tcPr>
            <w:tcW w:type="dxa" w:w="2351"/>
            <w:vAlign w:val="center"/>
            <w:tcW w:w="1260000" w:type="dxa"/>
          </w:tcPr>
          <w:p>
            <w:pPr>
              <w:spacing w:before="60" w:after="60"/>
              <w:ind w:left="113"/>
            </w:pPr>
            <w:r>
              <w:rPr>
                <w:b w:val="0"/>
                <w:color w:val="5E5A52"/>
                <w:sz w:val="19"/>
              </w:rPr>
              <w:t>£3,337,000</w:t>
            </w:r>
          </w:p>
        </w:tc>
      </w:tr>
    </w:tbl>
    <w:p/>
    <w:p>
      <w:pPr>
        <w:spacing w:before="160" w:after="160"/>
        <w:pBdr>
          <w:bottom w:val="single" w:sz="4" w:space="1" w:color="D1CEC8"/>
        </w:pBdr>
      </w:pPr>
    </w:p>
    <w:p>
      <w:pPr>
        <w:pStyle w:val="Heading1"/>
        <w:spacing w:before="400" w:after="120"/>
      </w:pPr>
      <w:r>
        <w:rPr>
          <w:color w:val="1D9E75"/>
          <w:sz w:val="32"/>
        </w:rPr>
        <w:t>64. Financial Plan Assumptions and Justification</w:t>
      </w:r>
    </w:p>
    <w:p>
      <w:pPr>
        <w:pStyle w:val="Heading2"/>
        <w:spacing w:before="240" w:after="80"/>
      </w:pPr>
      <w:r>
        <w:rPr>
          <w:color w:val="1A1917"/>
          <w:sz w:val="26"/>
        </w:rPr>
        <w:t>Revenue assumptions</w:t>
      </w:r>
    </w:p>
    <w:p>
      <w:pPr>
        <w:pStyle w:val="ListBullet"/>
        <w:spacing w:after="60"/>
        <w:ind w:left="283"/>
      </w:pPr>
      <w:r>
        <w:rPr>
          <w:color w:val="5E5A52"/>
          <w:sz w:val="21"/>
        </w:rPr>
        <w:t>Free-to-paid conversion rate: 16% of registered users (industry benchmark for freemium SaaS: 2-5% for enterprise tools, 10-25% for consumer tools with strong value demonstration). PropPilot's free tier is genuinely useful but gates high-value features aggressively, targeting the upper end of the range.</w:t>
      </w:r>
    </w:p>
    <w:p>
      <w:pPr>
        <w:pStyle w:val="ListBullet"/>
        <w:spacing w:after="60"/>
        <w:ind w:left="283"/>
      </w:pPr>
      <w:r>
        <w:rPr>
          <w:color w:val="5E5A52"/>
          <w:sz w:val="21"/>
        </w:rPr>
        <w:t>Monthly churn: 4% (Year 1), declining to 2.5% (Year 3) as annual plan mix increases. Annual plan users have historically 4× lower churn in comparable SaaS products.</w:t>
      </w:r>
    </w:p>
    <w:p>
      <w:pPr>
        <w:pStyle w:val="ListBullet"/>
        <w:spacing w:after="60"/>
        <w:ind w:left="283"/>
      </w:pPr>
      <w:r>
        <w:rPr>
          <w:color w:val="5E5A52"/>
          <w:sz w:val="21"/>
        </w:rPr>
        <w:t>Blended ARPU: Mix of Free (£0), Pro HomeBuyer (£19/mo), Pro HomeOwner (£9/mo), Enterprise HomeBuyer (£79/mo), Enterprise HomeOwner (£29/mo), B2B API (£79/mo). Weighted by expected subscriber mix.</w:t>
      </w:r>
    </w:p>
    <w:p>
      <w:pPr>
        <w:pStyle w:val="ListBullet"/>
        <w:spacing w:after="60"/>
        <w:ind w:left="283"/>
      </w:pPr>
      <w:r>
        <w:rPr>
          <w:color w:val="5E5A52"/>
          <w:sz w:val="21"/>
        </w:rPr>
        <w:t>Professional services commission: Assumes 8% of Pro+ subscribers book one service per year at an average booking value of £350 and 12% commission rate.</w:t>
      </w:r>
    </w:p>
    <w:p>
      <w:pPr>
        <w:pStyle w:val="Heading2"/>
        <w:spacing w:before="240" w:after="80"/>
      </w:pPr>
      <w:r>
        <w:rPr>
          <w:color w:val="1A1917"/>
          <w:sz w:val="26"/>
        </w:rPr>
        <w:t>Cost assumptions</w:t>
      </w:r>
    </w:p>
    <w:p>
      <w:pPr>
        <w:pStyle w:val="ListBullet"/>
        <w:spacing w:after="60"/>
        <w:ind w:left="283"/>
      </w:pPr>
      <w:r>
        <w:rPr>
          <w:color w:val="5E5A52"/>
          <w:sz w:val="21"/>
        </w:rPr>
        <w:t>Vercel hosting: £150/month Pro plan (Year 1), scaling to £500/month (Year 3) with usage-based pricing.</w:t>
      </w:r>
    </w:p>
    <w:p>
      <w:pPr>
        <w:pStyle w:val="ListBullet"/>
        <w:spacing w:after="60"/>
        <w:ind w:left="283"/>
      </w:pPr>
      <w:r>
        <w:rPr>
          <w:color w:val="5E5A52"/>
          <w:sz w:val="21"/>
        </w:rPr>
        <w:t>Supabase: Free tier (Year 1 MVP), £25/month Pro, £599/month Team (Year 2), dedicated instance £2,000/month (Year 3).</w:t>
      </w:r>
    </w:p>
    <w:p>
      <w:pPr>
        <w:pStyle w:val="ListBullet"/>
        <w:spacing w:after="60"/>
        <w:ind w:left="283"/>
      </w:pPr>
      <w:r>
        <w:rPr>
          <w:color w:val="5E5A52"/>
          <w:sz w:val="21"/>
        </w:rPr>
        <w:t>External APIs: All five primary APIs (EA, EPC, police.uk, Ofcom, VOA) are free to access. No data licensing cost.</w:t>
      </w:r>
    </w:p>
    <w:p>
      <w:pPr>
        <w:pStyle w:val="ListBullet"/>
        <w:spacing w:after="60"/>
        <w:ind w:left="283"/>
      </w:pPr>
      <w:r>
        <w:rPr>
          <w:color w:val="5E5A52"/>
          <w:sz w:val="21"/>
        </w:rPr>
        <w:t>Headcount: Manchester-based salaries. Engineering: £55-70K; Marketing: £35-55K; Sales: £30-35K + commission; Data Science: £50-65K.</w:t>
      </w:r>
    </w:p>
    <w:p>
      <w:pPr>
        <w:pStyle w:val="ListBullet"/>
        <w:spacing w:after="60"/>
        <w:ind w:left="283"/>
      </w:pPr>
      <w:r>
        <w:rPr>
          <w:color w:val="5E5A52"/>
          <w:sz w:val="21"/>
        </w:rPr>
        <w:t>R&amp;D tax credit: PropPilot qualifies for HMRC's R&amp;D tax relief scheme (SME scheme: 130% enhanced deduction, 33% payable credit). Estimated R&amp;D credit of £18,000 in Year 1, reducing net engineering cost.</w:t>
      </w:r>
    </w:p>
    <w:p>
      <w:pPr>
        <w:spacing w:before="160" w:after="160"/>
        <w:pBdr>
          <w:bottom w:val="single" w:sz="4" w:space="1" w:color="D1CEC8"/>
        </w:pBdr>
      </w:pPr>
    </w:p>
    <w:p>
      <w:r>
        <w:br w:type="page"/>
      </w:r>
    </w:p>
    <w:p>
      <w:pPr>
        <w:pStyle w:val="Heading1"/>
        <w:spacing w:before="400" w:after="120"/>
      </w:pPr>
      <w:r>
        <w:rPr>
          <w:color w:val="1D9E75"/>
          <w:sz w:val="32"/>
        </w:rPr>
        <w:t>65. Revenue Projections and Justification</w:t>
      </w:r>
    </w:p>
    <w:p>
      <w:pPr>
        <w:pStyle w:val="Heading2"/>
        <w:spacing w:before="240" w:after="80"/>
      </w:pPr>
      <w:r>
        <w:rPr>
          <w:color w:val="1A1917"/>
          <w:sz w:val="26"/>
        </w:rPr>
        <w:t>Year 1 monthly MRR build</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vAlign w:val="center"/>
            <w:tcW w:w="540000" w:type="dxa"/>
            <w:shd w:val="clear" w:color="auto" w:fill="1D9E75"/>
          </w:tcPr>
          <w:p>
            <w:pPr>
              <w:spacing w:before="60" w:after="60"/>
              <w:ind w:left="113"/>
            </w:pPr>
            <w:r>
              <w:rPr>
                <w:b/>
                <w:color w:val="FFFFFF"/>
                <w:sz w:val="19"/>
              </w:rPr>
              <w:t>Month</w:t>
            </w:r>
          </w:p>
        </w:tc>
        <w:tc>
          <w:tcPr>
            <w:tcW w:type="dxa" w:w="1568"/>
            <w:vAlign w:val="center"/>
            <w:tcW w:w="900000" w:type="dxa"/>
            <w:shd w:val="clear" w:color="auto" w:fill="1D9E75"/>
          </w:tcPr>
          <w:p>
            <w:pPr>
              <w:spacing w:before="60" w:after="60"/>
              <w:ind w:left="113"/>
            </w:pPr>
            <w:r>
              <w:rPr>
                <w:b/>
                <w:color w:val="FFFFFF"/>
                <w:sz w:val="19"/>
              </w:rPr>
              <w:t>New paid subs</w:t>
            </w:r>
          </w:p>
        </w:tc>
        <w:tc>
          <w:tcPr>
            <w:tcW w:type="dxa" w:w="1568"/>
            <w:vAlign w:val="center"/>
            <w:tcW w:w="720000" w:type="dxa"/>
            <w:shd w:val="clear" w:color="auto" w:fill="1D9E75"/>
          </w:tcPr>
          <w:p>
            <w:pPr>
              <w:spacing w:before="60" w:after="60"/>
              <w:ind w:left="113"/>
            </w:pPr>
            <w:r>
              <w:rPr>
                <w:b/>
                <w:color w:val="FFFFFF"/>
                <w:sz w:val="19"/>
              </w:rPr>
              <w:t>Churned</w:t>
            </w:r>
          </w:p>
        </w:tc>
        <w:tc>
          <w:tcPr>
            <w:tcW w:type="dxa" w:w="1568"/>
            <w:vAlign w:val="center"/>
            <w:tcW w:w="1260000" w:type="dxa"/>
            <w:shd w:val="clear" w:color="auto" w:fill="1D9E75"/>
          </w:tcPr>
          <w:p>
            <w:pPr>
              <w:spacing w:before="60" w:after="60"/>
              <w:ind w:left="113"/>
            </w:pPr>
            <w:r>
              <w:rPr>
                <w:b/>
                <w:color w:val="FFFFFF"/>
                <w:sz w:val="19"/>
              </w:rPr>
              <w:t>Total paid subs</w:t>
            </w:r>
          </w:p>
        </w:tc>
        <w:tc>
          <w:tcPr>
            <w:tcW w:type="dxa" w:w="1568"/>
            <w:vAlign w:val="center"/>
            <w:tcW w:w="900000" w:type="dxa"/>
            <w:shd w:val="clear" w:color="auto" w:fill="1D9E75"/>
          </w:tcPr>
          <w:p>
            <w:pPr>
              <w:spacing w:before="60" w:after="60"/>
              <w:ind w:left="113"/>
            </w:pPr>
            <w:r>
              <w:rPr>
                <w:b/>
                <w:color w:val="FFFFFF"/>
                <w:sz w:val="19"/>
              </w:rPr>
              <w:t>MRR (£)</w:t>
            </w:r>
          </w:p>
        </w:tc>
        <w:tc>
          <w:tcPr>
            <w:tcW w:type="dxa" w:w="1568"/>
            <w:vAlign w:val="center"/>
            <w:tcW w:w="1440000" w:type="dxa"/>
            <w:shd w:val="clear" w:color="auto" w:fill="1D9E75"/>
          </w:tcPr>
          <w:p>
            <w:pPr>
              <w:spacing w:before="60" w:after="60"/>
              <w:ind w:left="113"/>
            </w:pPr>
            <w:r>
              <w:rPr>
                <w:b/>
                <w:color w:val="FFFFFF"/>
                <w:sz w:val="19"/>
              </w:rPr>
              <w:t>Cumulative revenue (£)</w:t>
            </w:r>
          </w:p>
        </w:tc>
      </w:tr>
      <w:tr>
        <w:tc>
          <w:tcPr>
            <w:tcW w:type="dxa" w:w="1568"/>
            <w:vAlign w:val="center"/>
            <w:tcW w:w="540000" w:type="dxa"/>
          </w:tcPr>
          <w:p>
            <w:pPr>
              <w:spacing w:before="60" w:after="60"/>
              <w:ind w:left="113"/>
            </w:pPr>
            <w:r>
              <w:rPr>
                <w:b w:val="0"/>
                <w:color w:val="1A1917"/>
                <w:sz w:val="19"/>
              </w:rPr>
              <w:t>1</w:t>
            </w:r>
          </w:p>
        </w:tc>
        <w:tc>
          <w:tcPr>
            <w:tcW w:type="dxa" w:w="1568"/>
            <w:vAlign w:val="center"/>
            <w:tcW w:w="900000" w:type="dxa"/>
          </w:tcPr>
          <w:p>
            <w:pPr>
              <w:spacing w:before="60" w:after="60"/>
              <w:ind w:left="113"/>
            </w:pPr>
            <w:r>
              <w:rPr>
                <w:b w:val="0"/>
                <w:color w:val="5E5A52"/>
                <w:sz w:val="19"/>
              </w:rPr>
              <w:t>20</w:t>
            </w:r>
          </w:p>
        </w:tc>
        <w:tc>
          <w:tcPr>
            <w:tcW w:type="dxa" w:w="1568"/>
            <w:vAlign w:val="center"/>
            <w:tcW w:w="720000" w:type="dxa"/>
          </w:tcPr>
          <w:p>
            <w:pPr>
              <w:spacing w:before="60" w:after="60"/>
              <w:ind w:left="113"/>
            </w:pPr>
            <w:r>
              <w:rPr>
                <w:b w:val="0"/>
                <w:color w:val="5E5A52"/>
                <w:sz w:val="19"/>
              </w:rPr>
              <w:t>0</w:t>
            </w:r>
          </w:p>
        </w:tc>
        <w:tc>
          <w:tcPr>
            <w:tcW w:type="dxa" w:w="1568"/>
            <w:vAlign w:val="center"/>
            <w:tcW w:w="1260000" w:type="dxa"/>
          </w:tcPr>
          <w:p>
            <w:pPr>
              <w:spacing w:before="60" w:after="60"/>
              <w:ind w:left="113"/>
            </w:pPr>
            <w:r>
              <w:rPr>
                <w:b w:val="0"/>
                <w:color w:val="5E5A52"/>
                <w:sz w:val="19"/>
              </w:rPr>
              <w:t>20</w:t>
            </w:r>
          </w:p>
        </w:tc>
        <w:tc>
          <w:tcPr>
            <w:tcW w:type="dxa" w:w="1568"/>
            <w:vAlign w:val="center"/>
            <w:tcW w:w="900000" w:type="dxa"/>
          </w:tcPr>
          <w:p>
            <w:pPr>
              <w:spacing w:before="60" w:after="60"/>
              <w:ind w:left="113"/>
            </w:pPr>
            <w:r>
              <w:rPr>
                <w:b w:val="0"/>
                <w:color w:val="5E5A52"/>
                <w:sz w:val="19"/>
              </w:rPr>
              <w:t>280</w:t>
            </w:r>
          </w:p>
        </w:tc>
        <w:tc>
          <w:tcPr>
            <w:tcW w:type="dxa" w:w="1568"/>
            <w:vAlign w:val="center"/>
            <w:tcW w:w="1440000" w:type="dxa"/>
          </w:tcPr>
          <w:p>
            <w:pPr>
              <w:spacing w:before="60" w:after="60"/>
              <w:ind w:left="113"/>
            </w:pPr>
            <w:r>
              <w:rPr>
                <w:b w:val="0"/>
                <w:color w:val="5E5A52"/>
                <w:sz w:val="19"/>
              </w:rPr>
              <w:t>280</w:t>
            </w:r>
          </w:p>
        </w:tc>
      </w:tr>
      <w:tr>
        <w:tc>
          <w:tcPr>
            <w:tcW w:type="dxa" w:w="1568"/>
            <w:vAlign w:val="center"/>
            <w:tcW w:w="540000" w:type="dxa"/>
            <w:shd w:val="clear" w:color="auto" w:fill="F8F7F4"/>
          </w:tcPr>
          <w:p>
            <w:pPr>
              <w:spacing w:before="60" w:after="60"/>
              <w:ind w:left="113"/>
            </w:pPr>
            <w:r>
              <w:rPr>
                <w:b w:val="0"/>
                <w:color w:val="1A1917"/>
                <w:sz w:val="19"/>
              </w:rPr>
              <w:t>2</w:t>
            </w:r>
          </w:p>
        </w:tc>
        <w:tc>
          <w:tcPr>
            <w:tcW w:type="dxa" w:w="1568"/>
            <w:vAlign w:val="center"/>
            <w:tcW w:w="900000" w:type="dxa"/>
            <w:shd w:val="clear" w:color="auto" w:fill="F8F7F4"/>
          </w:tcPr>
          <w:p>
            <w:pPr>
              <w:spacing w:before="60" w:after="60"/>
              <w:ind w:left="113"/>
            </w:pPr>
            <w:r>
              <w:rPr>
                <w:b w:val="0"/>
                <w:color w:val="5E5A52"/>
                <w:sz w:val="19"/>
              </w:rPr>
              <w:t>35</w:t>
            </w:r>
          </w:p>
        </w:tc>
        <w:tc>
          <w:tcPr>
            <w:tcW w:type="dxa" w:w="1568"/>
            <w:vAlign w:val="center"/>
            <w:tcW w:w="720000" w:type="dxa"/>
            <w:shd w:val="clear" w:color="auto" w:fill="F8F7F4"/>
          </w:tcPr>
          <w:p>
            <w:pPr>
              <w:spacing w:before="60" w:after="60"/>
              <w:ind w:left="113"/>
            </w:pPr>
            <w:r>
              <w:rPr>
                <w:b w:val="0"/>
                <w:color w:val="5E5A52"/>
                <w:sz w:val="19"/>
              </w:rPr>
              <w:t>1</w:t>
            </w:r>
          </w:p>
        </w:tc>
        <w:tc>
          <w:tcPr>
            <w:tcW w:type="dxa" w:w="1568"/>
            <w:vAlign w:val="center"/>
            <w:tcW w:w="1260000" w:type="dxa"/>
            <w:shd w:val="clear" w:color="auto" w:fill="F8F7F4"/>
          </w:tcPr>
          <w:p>
            <w:pPr>
              <w:spacing w:before="60" w:after="60"/>
              <w:ind w:left="113"/>
            </w:pPr>
            <w:r>
              <w:rPr>
                <w:b w:val="0"/>
                <w:color w:val="5E5A52"/>
                <w:sz w:val="19"/>
              </w:rPr>
              <w:t>54</w:t>
            </w:r>
          </w:p>
        </w:tc>
        <w:tc>
          <w:tcPr>
            <w:tcW w:type="dxa" w:w="1568"/>
            <w:vAlign w:val="center"/>
            <w:tcW w:w="900000" w:type="dxa"/>
            <w:shd w:val="clear" w:color="auto" w:fill="F8F7F4"/>
          </w:tcPr>
          <w:p>
            <w:pPr>
              <w:spacing w:before="60" w:after="60"/>
              <w:ind w:left="113"/>
            </w:pPr>
            <w:r>
              <w:rPr>
                <w:b w:val="0"/>
                <w:color w:val="5E5A52"/>
                <w:sz w:val="19"/>
              </w:rPr>
              <w:t>756</w:t>
            </w:r>
          </w:p>
        </w:tc>
        <w:tc>
          <w:tcPr>
            <w:tcW w:type="dxa" w:w="1568"/>
            <w:vAlign w:val="center"/>
            <w:tcW w:w="1440000" w:type="dxa"/>
            <w:shd w:val="clear" w:color="auto" w:fill="F8F7F4"/>
          </w:tcPr>
          <w:p>
            <w:pPr>
              <w:spacing w:before="60" w:after="60"/>
              <w:ind w:left="113"/>
            </w:pPr>
            <w:r>
              <w:rPr>
                <w:b w:val="0"/>
                <w:color w:val="5E5A52"/>
                <w:sz w:val="19"/>
              </w:rPr>
              <w:t>1,036</w:t>
            </w:r>
          </w:p>
        </w:tc>
      </w:tr>
      <w:tr>
        <w:tc>
          <w:tcPr>
            <w:tcW w:type="dxa" w:w="1568"/>
            <w:vAlign w:val="center"/>
            <w:tcW w:w="540000" w:type="dxa"/>
          </w:tcPr>
          <w:p>
            <w:pPr>
              <w:spacing w:before="60" w:after="60"/>
              <w:ind w:left="113"/>
            </w:pPr>
            <w:r>
              <w:rPr>
                <w:b w:val="0"/>
                <w:color w:val="1A1917"/>
                <w:sz w:val="19"/>
              </w:rPr>
              <w:t>3</w:t>
            </w:r>
          </w:p>
        </w:tc>
        <w:tc>
          <w:tcPr>
            <w:tcW w:type="dxa" w:w="1568"/>
            <w:vAlign w:val="center"/>
            <w:tcW w:w="900000" w:type="dxa"/>
          </w:tcPr>
          <w:p>
            <w:pPr>
              <w:spacing w:before="60" w:after="60"/>
              <w:ind w:left="113"/>
            </w:pPr>
            <w:r>
              <w:rPr>
                <w:b w:val="0"/>
                <w:color w:val="5E5A52"/>
                <w:sz w:val="19"/>
              </w:rPr>
              <w:t>55</w:t>
            </w:r>
          </w:p>
        </w:tc>
        <w:tc>
          <w:tcPr>
            <w:tcW w:type="dxa" w:w="1568"/>
            <w:vAlign w:val="center"/>
            <w:tcW w:w="720000" w:type="dxa"/>
          </w:tcPr>
          <w:p>
            <w:pPr>
              <w:spacing w:before="60" w:after="60"/>
              <w:ind w:left="113"/>
            </w:pPr>
            <w:r>
              <w:rPr>
                <w:b w:val="0"/>
                <w:color w:val="5E5A52"/>
                <w:sz w:val="19"/>
              </w:rPr>
              <w:t>2</w:t>
            </w:r>
          </w:p>
        </w:tc>
        <w:tc>
          <w:tcPr>
            <w:tcW w:type="dxa" w:w="1568"/>
            <w:vAlign w:val="center"/>
            <w:tcW w:w="1260000" w:type="dxa"/>
          </w:tcPr>
          <w:p>
            <w:pPr>
              <w:spacing w:before="60" w:after="60"/>
              <w:ind w:left="113"/>
            </w:pPr>
            <w:r>
              <w:rPr>
                <w:b w:val="0"/>
                <w:color w:val="5E5A52"/>
                <w:sz w:val="19"/>
              </w:rPr>
              <w:t>107</w:t>
            </w:r>
          </w:p>
        </w:tc>
        <w:tc>
          <w:tcPr>
            <w:tcW w:type="dxa" w:w="1568"/>
            <w:vAlign w:val="center"/>
            <w:tcW w:w="900000" w:type="dxa"/>
          </w:tcPr>
          <w:p>
            <w:pPr>
              <w:spacing w:before="60" w:after="60"/>
              <w:ind w:left="113"/>
            </w:pPr>
            <w:r>
              <w:rPr>
                <w:b w:val="0"/>
                <w:color w:val="5E5A52"/>
                <w:sz w:val="19"/>
              </w:rPr>
              <w:t>1,498</w:t>
            </w:r>
          </w:p>
        </w:tc>
        <w:tc>
          <w:tcPr>
            <w:tcW w:type="dxa" w:w="1568"/>
            <w:vAlign w:val="center"/>
            <w:tcW w:w="1440000" w:type="dxa"/>
          </w:tcPr>
          <w:p>
            <w:pPr>
              <w:spacing w:before="60" w:after="60"/>
              <w:ind w:left="113"/>
            </w:pPr>
            <w:r>
              <w:rPr>
                <w:b w:val="0"/>
                <w:color w:val="5E5A52"/>
                <w:sz w:val="19"/>
              </w:rPr>
              <w:t>2,534</w:t>
            </w:r>
          </w:p>
        </w:tc>
      </w:tr>
      <w:tr>
        <w:tc>
          <w:tcPr>
            <w:tcW w:type="dxa" w:w="1568"/>
            <w:vAlign w:val="center"/>
            <w:tcW w:w="540000" w:type="dxa"/>
            <w:shd w:val="clear" w:color="auto" w:fill="F8F7F4"/>
          </w:tcPr>
          <w:p>
            <w:pPr>
              <w:spacing w:before="60" w:after="60"/>
              <w:ind w:left="113"/>
            </w:pPr>
            <w:r>
              <w:rPr>
                <w:b w:val="0"/>
                <w:color w:val="1A1917"/>
                <w:sz w:val="19"/>
              </w:rPr>
              <w:t>4</w:t>
            </w:r>
          </w:p>
        </w:tc>
        <w:tc>
          <w:tcPr>
            <w:tcW w:type="dxa" w:w="1568"/>
            <w:vAlign w:val="center"/>
            <w:tcW w:w="900000" w:type="dxa"/>
            <w:shd w:val="clear" w:color="auto" w:fill="F8F7F4"/>
          </w:tcPr>
          <w:p>
            <w:pPr>
              <w:spacing w:before="60" w:after="60"/>
              <w:ind w:left="113"/>
            </w:pPr>
            <w:r>
              <w:rPr>
                <w:b w:val="0"/>
                <w:color w:val="5E5A52"/>
                <w:sz w:val="19"/>
              </w:rPr>
              <w:t>75</w:t>
            </w:r>
          </w:p>
        </w:tc>
        <w:tc>
          <w:tcPr>
            <w:tcW w:type="dxa" w:w="1568"/>
            <w:vAlign w:val="center"/>
            <w:tcW w:w="720000" w:type="dxa"/>
            <w:shd w:val="clear" w:color="auto" w:fill="F8F7F4"/>
          </w:tcPr>
          <w:p>
            <w:pPr>
              <w:spacing w:before="60" w:after="60"/>
              <w:ind w:left="113"/>
            </w:pPr>
            <w:r>
              <w:rPr>
                <w:b w:val="0"/>
                <w:color w:val="5E5A52"/>
                <w:sz w:val="19"/>
              </w:rPr>
              <w:t>4</w:t>
            </w:r>
          </w:p>
        </w:tc>
        <w:tc>
          <w:tcPr>
            <w:tcW w:type="dxa" w:w="1568"/>
            <w:vAlign w:val="center"/>
            <w:tcW w:w="1260000" w:type="dxa"/>
            <w:shd w:val="clear" w:color="auto" w:fill="F8F7F4"/>
          </w:tcPr>
          <w:p>
            <w:pPr>
              <w:spacing w:before="60" w:after="60"/>
              <w:ind w:left="113"/>
            </w:pPr>
            <w:r>
              <w:rPr>
                <w:b w:val="0"/>
                <w:color w:val="5E5A52"/>
                <w:sz w:val="19"/>
              </w:rPr>
              <w:t>178</w:t>
            </w:r>
          </w:p>
        </w:tc>
        <w:tc>
          <w:tcPr>
            <w:tcW w:type="dxa" w:w="1568"/>
            <w:vAlign w:val="center"/>
            <w:tcW w:w="900000" w:type="dxa"/>
            <w:shd w:val="clear" w:color="auto" w:fill="F8F7F4"/>
          </w:tcPr>
          <w:p>
            <w:pPr>
              <w:spacing w:before="60" w:after="60"/>
              <w:ind w:left="113"/>
            </w:pPr>
            <w:r>
              <w:rPr>
                <w:b w:val="0"/>
                <w:color w:val="5E5A52"/>
                <w:sz w:val="19"/>
              </w:rPr>
              <w:t>2,492</w:t>
            </w:r>
          </w:p>
        </w:tc>
        <w:tc>
          <w:tcPr>
            <w:tcW w:type="dxa" w:w="1568"/>
            <w:vAlign w:val="center"/>
            <w:tcW w:w="1440000" w:type="dxa"/>
            <w:shd w:val="clear" w:color="auto" w:fill="F8F7F4"/>
          </w:tcPr>
          <w:p>
            <w:pPr>
              <w:spacing w:before="60" w:after="60"/>
              <w:ind w:left="113"/>
            </w:pPr>
            <w:r>
              <w:rPr>
                <w:b w:val="0"/>
                <w:color w:val="5E5A52"/>
                <w:sz w:val="19"/>
              </w:rPr>
              <w:t>5,026</w:t>
            </w:r>
          </w:p>
        </w:tc>
      </w:tr>
      <w:tr>
        <w:tc>
          <w:tcPr>
            <w:tcW w:type="dxa" w:w="1568"/>
            <w:vAlign w:val="center"/>
            <w:tcW w:w="540000" w:type="dxa"/>
          </w:tcPr>
          <w:p>
            <w:pPr>
              <w:spacing w:before="60" w:after="60"/>
              <w:ind w:left="113"/>
            </w:pPr>
            <w:r>
              <w:rPr>
                <w:b w:val="0"/>
                <w:color w:val="1A1917"/>
                <w:sz w:val="19"/>
              </w:rPr>
              <w:t>5</w:t>
            </w:r>
          </w:p>
        </w:tc>
        <w:tc>
          <w:tcPr>
            <w:tcW w:type="dxa" w:w="1568"/>
            <w:vAlign w:val="center"/>
            <w:tcW w:w="900000" w:type="dxa"/>
          </w:tcPr>
          <w:p>
            <w:pPr>
              <w:spacing w:before="60" w:after="60"/>
              <w:ind w:left="113"/>
            </w:pPr>
            <w:r>
              <w:rPr>
                <w:b w:val="0"/>
                <w:color w:val="5E5A52"/>
                <w:sz w:val="19"/>
              </w:rPr>
              <w:t>95</w:t>
            </w:r>
          </w:p>
        </w:tc>
        <w:tc>
          <w:tcPr>
            <w:tcW w:type="dxa" w:w="1568"/>
            <w:vAlign w:val="center"/>
            <w:tcW w:w="720000" w:type="dxa"/>
          </w:tcPr>
          <w:p>
            <w:pPr>
              <w:spacing w:before="60" w:after="60"/>
              <w:ind w:left="113"/>
            </w:pPr>
            <w:r>
              <w:rPr>
                <w:b w:val="0"/>
                <w:color w:val="5E5A52"/>
                <w:sz w:val="19"/>
              </w:rPr>
              <w:t>7</w:t>
            </w:r>
          </w:p>
        </w:tc>
        <w:tc>
          <w:tcPr>
            <w:tcW w:type="dxa" w:w="1568"/>
            <w:vAlign w:val="center"/>
            <w:tcW w:w="1260000" w:type="dxa"/>
          </w:tcPr>
          <w:p>
            <w:pPr>
              <w:spacing w:before="60" w:after="60"/>
              <w:ind w:left="113"/>
            </w:pPr>
            <w:r>
              <w:rPr>
                <w:b w:val="0"/>
                <w:color w:val="5E5A52"/>
                <w:sz w:val="19"/>
              </w:rPr>
              <w:t>266</w:t>
            </w:r>
          </w:p>
        </w:tc>
        <w:tc>
          <w:tcPr>
            <w:tcW w:type="dxa" w:w="1568"/>
            <w:vAlign w:val="center"/>
            <w:tcW w:w="900000" w:type="dxa"/>
          </w:tcPr>
          <w:p>
            <w:pPr>
              <w:spacing w:before="60" w:after="60"/>
              <w:ind w:left="113"/>
            </w:pPr>
            <w:r>
              <w:rPr>
                <w:b w:val="0"/>
                <w:color w:val="5E5A52"/>
                <w:sz w:val="19"/>
              </w:rPr>
              <w:t>3,724</w:t>
            </w:r>
          </w:p>
        </w:tc>
        <w:tc>
          <w:tcPr>
            <w:tcW w:type="dxa" w:w="1568"/>
            <w:vAlign w:val="center"/>
            <w:tcW w:w="1440000" w:type="dxa"/>
          </w:tcPr>
          <w:p>
            <w:pPr>
              <w:spacing w:before="60" w:after="60"/>
              <w:ind w:left="113"/>
            </w:pPr>
            <w:r>
              <w:rPr>
                <w:b w:val="0"/>
                <w:color w:val="5E5A52"/>
                <w:sz w:val="19"/>
              </w:rPr>
              <w:t>8,750</w:t>
            </w:r>
          </w:p>
        </w:tc>
      </w:tr>
      <w:tr>
        <w:tc>
          <w:tcPr>
            <w:tcW w:type="dxa" w:w="1568"/>
            <w:vAlign w:val="center"/>
            <w:tcW w:w="540000" w:type="dxa"/>
            <w:shd w:val="clear" w:color="auto" w:fill="F8F7F4"/>
          </w:tcPr>
          <w:p>
            <w:pPr>
              <w:spacing w:before="60" w:after="60"/>
              <w:ind w:left="113"/>
            </w:pPr>
            <w:r>
              <w:rPr>
                <w:b w:val="0"/>
                <w:color w:val="1A1917"/>
                <w:sz w:val="19"/>
              </w:rPr>
              <w:t>6</w:t>
            </w:r>
          </w:p>
        </w:tc>
        <w:tc>
          <w:tcPr>
            <w:tcW w:type="dxa" w:w="1568"/>
            <w:vAlign w:val="center"/>
            <w:tcW w:w="900000" w:type="dxa"/>
            <w:shd w:val="clear" w:color="auto" w:fill="F8F7F4"/>
          </w:tcPr>
          <w:p>
            <w:pPr>
              <w:spacing w:before="60" w:after="60"/>
              <w:ind w:left="113"/>
            </w:pPr>
            <w:r>
              <w:rPr>
                <w:b w:val="0"/>
                <w:color w:val="5E5A52"/>
                <w:sz w:val="19"/>
              </w:rPr>
              <w:t>110</w:t>
            </w:r>
          </w:p>
        </w:tc>
        <w:tc>
          <w:tcPr>
            <w:tcW w:type="dxa" w:w="1568"/>
            <w:vAlign w:val="center"/>
            <w:tcW w:w="720000" w:type="dxa"/>
            <w:shd w:val="clear" w:color="auto" w:fill="F8F7F4"/>
          </w:tcPr>
          <w:p>
            <w:pPr>
              <w:spacing w:before="60" w:after="60"/>
              <w:ind w:left="113"/>
            </w:pPr>
            <w:r>
              <w:rPr>
                <w:b w:val="0"/>
                <w:color w:val="5E5A52"/>
                <w:sz w:val="19"/>
              </w:rPr>
              <w:t>10</w:t>
            </w:r>
          </w:p>
        </w:tc>
        <w:tc>
          <w:tcPr>
            <w:tcW w:type="dxa" w:w="1568"/>
            <w:vAlign w:val="center"/>
            <w:tcW w:w="1260000" w:type="dxa"/>
            <w:shd w:val="clear" w:color="auto" w:fill="F8F7F4"/>
          </w:tcPr>
          <w:p>
            <w:pPr>
              <w:spacing w:before="60" w:after="60"/>
              <w:ind w:left="113"/>
            </w:pPr>
            <w:r>
              <w:rPr>
                <w:b w:val="0"/>
                <w:color w:val="5E5A52"/>
                <w:sz w:val="19"/>
              </w:rPr>
              <w:t>366</w:t>
            </w:r>
          </w:p>
        </w:tc>
        <w:tc>
          <w:tcPr>
            <w:tcW w:type="dxa" w:w="1568"/>
            <w:vAlign w:val="center"/>
            <w:tcW w:w="900000" w:type="dxa"/>
            <w:shd w:val="clear" w:color="auto" w:fill="F8F7F4"/>
          </w:tcPr>
          <w:p>
            <w:pPr>
              <w:spacing w:before="60" w:after="60"/>
              <w:ind w:left="113"/>
            </w:pPr>
            <w:r>
              <w:rPr>
                <w:b w:val="0"/>
                <w:color w:val="5E5A52"/>
                <w:sz w:val="19"/>
              </w:rPr>
              <w:t>5,124</w:t>
            </w:r>
          </w:p>
        </w:tc>
        <w:tc>
          <w:tcPr>
            <w:tcW w:type="dxa" w:w="1568"/>
            <w:vAlign w:val="center"/>
            <w:tcW w:w="1440000" w:type="dxa"/>
            <w:shd w:val="clear" w:color="auto" w:fill="F8F7F4"/>
          </w:tcPr>
          <w:p>
            <w:pPr>
              <w:spacing w:before="60" w:after="60"/>
              <w:ind w:left="113"/>
            </w:pPr>
            <w:r>
              <w:rPr>
                <w:b w:val="0"/>
                <w:color w:val="5E5A52"/>
                <w:sz w:val="19"/>
              </w:rPr>
              <w:t>13,874</w:t>
            </w:r>
          </w:p>
        </w:tc>
      </w:tr>
      <w:tr>
        <w:tc>
          <w:tcPr>
            <w:tcW w:type="dxa" w:w="1568"/>
            <w:vAlign w:val="center"/>
            <w:tcW w:w="540000" w:type="dxa"/>
          </w:tcPr>
          <w:p>
            <w:pPr>
              <w:spacing w:before="60" w:after="60"/>
              <w:ind w:left="113"/>
            </w:pPr>
            <w:r>
              <w:rPr>
                <w:b w:val="0"/>
                <w:color w:val="1A1917"/>
                <w:sz w:val="19"/>
              </w:rPr>
              <w:t>7</w:t>
            </w:r>
          </w:p>
        </w:tc>
        <w:tc>
          <w:tcPr>
            <w:tcW w:type="dxa" w:w="1568"/>
            <w:vAlign w:val="center"/>
            <w:tcW w:w="900000" w:type="dxa"/>
          </w:tcPr>
          <w:p>
            <w:pPr>
              <w:spacing w:before="60" w:after="60"/>
              <w:ind w:left="113"/>
            </w:pPr>
            <w:r>
              <w:rPr>
                <w:b w:val="0"/>
                <w:color w:val="5E5A52"/>
                <w:sz w:val="19"/>
              </w:rPr>
              <w:t>120</w:t>
            </w:r>
          </w:p>
        </w:tc>
        <w:tc>
          <w:tcPr>
            <w:tcW w:type="dxa" w:w="1568"/>
            <w:vAlign w:val="center"/>
            <w:tcW w:w="720000" w:type="dxa"/>
          </w:tcPr>
          <w:p>
            <w:pPr>
              <w:spacing w:before="60" w:after="60"/>
              <w:ind w:left="113"/>
            </w:pPr>
            <w:r>
              <w:rPr>
                <w:b w:val="0"/>
                <w:color w:val="5E5A52"/>
                <w:sz w:val="19"/>
              </w:rPr>
              <w:t>14</w:t>
            </w:r>
          </w:p>
        </w:tc>
        <w:tc>
          <w:tcPr>
            <w:tcW w:type="dxa" w:w="1568"/>
            <w:vAlign w:val="center"/>
            <w:tcW w:w="1260000" w:type="dxa"/>
          </w:tcPr>
          <w:p>
            <w:pPr>
              <w:spacing w:before="60" w:after="60"/>
              <w:ind w:left="113"/>
            </w:pPr>
            <w:r>
              <w:rPr>
                <w:b w:val="0"/>
                <w:color w:val="5E5A52"/>
                <w:sz w:val="19"/>
              </w:rPr>
              <w:t>472</w:t>
            </w:r>
          </w:p>
        </w:tc>
        <w:tc>
          <w:tcPr>
            <w:tcW w:type="dxa" w:w="1568"/>
            <w:vAlign w:val="center"/>
            <w:tcW w:w="900000" w:type="dxa"/>
          </w:tcPr>
          <w:p>
            <w:pPr>
              <w:spacing w:before="60" w:after="60"/>
              <w:ind w:left="113"/>
            </w:pPr>
            <w:r>
              <w:rPr>
                <w:b w:val="0"/>
                <w:color w:val="5E5A52"/>
                <w:sz w:val="19"/>
              </w:rPr>
              <w:t>6,608</w:t>
            </w:r>
          </w:p>
        </w:tc>
        <w:tc>
          <w:tcPr>
            <w:tcW w:type="dxa" w:w="1568"/>
            <w:vAlign w:val="center"/>
            <w:tcW w:w="1440000" w:type="dxa"/>
          </w:tcPr>
          <w:p>
            <w:pPr>
              <w:spacing w:before="60" w:after="60"/>
              <w:ind w:left="113"/>
            </w:pPr>
            <w:r>
              <w:rPr>
                <w:b w:val="0"/>
                <w:color w:val="5E5A52"/>
                <w:sz w:val="19"/>
              </w:rPr>
              <w:t>20,482</w:t>
            </w:r>
          </w:p>
        </w:tc>
      </w:tr>
      <w:tr>
        <w:tc>
          <w:tcPr>
            <w:tcW w:type="dxa" w:w="1568"/>
            <w:vAlign w:val="center"/>
            <w:tcW w:w="540000" w:type="dxa"/>
            <w:shd w:val="clear" w:color="auto" w:fill="F8F7F4"/>
          </w:tcPr>
          <w:p>
            <w:pPr>
              <w:spacing w:before="60" w:after="60"/>
              <w:ind w:left="113"/>
            </w:pPr>
            <w:r>
              <w:rPr>
                <w:b w:val="0"/>
                <w:color w:val="1A1917"/>
                <w:sz w:val="19"/>
              </w:rPr>
              <w:t>8</w:t>
            </w:r>
          </w:p>
        </w:tc>
        <w:tc>
          <w:tcPr>
            <w:tcW w:type="dxa" w:w="1568"/>
            <w:vAlign w:val="center"/>
            <w:tcW w:w="900000" w:type="dxa"/>
            <w:shd w:val="clear" w:color="auto" w:fill="F8F7F4"/>
          </w:tcPr>
          <w:p>
            <w:pPr>
              <w:spacing w:before="60" w:after="60"/>
              <w:ind w:left="113"/>
            </w:pPr>
            <w:r>
              <w:rPr>
                <w:b w:val="0"/>
                <w:color w:val="5E5A52"/>
                <w:sz w:val="19"/>
              </w:rPr>
              <w:t>130</w:t>
            </w:r>
          </w:p>
        </w:tc>
        <w:tc>
          <w:tcPr>
            <w:tcW w:type="dxa" w:w="1568"/>
            <w:vAlign w:val="center"/>
            <w:tcW w:w="720000" w:type="dxa"/>
            <w:shd w:val="clear" w:color="auto" w:fill="F8F7F4"/>
          </w:tcPr>
          <w:p>
            <w:pPr>
              <w:spacing w:before="60" w:after="60"/>
              <w:ind w:left="113"/>
            </w:pPr>
            <w:r>
              <w:rPr>
                <w:b w:val="0"/>
                <w:color w:val="5E5A52"/>
                <w:sz w:val="19"/>
              </w:rPr>
              <w:t>19</w:t>
            </w:r>
          </w:p>
        </w:tc>
        <w:tc>
          <w:tcPr>
            <w:tcW w:type="dxa" w:w="1568"/>
            <w:vAlign w:val="center"/>
            <w:tcW w:w="1260000" w:type="dxa"/>
            <w:shd w:val="clear" w:color="auto" w:fill="F8F7F4"/>
          </w:tcPr>
          <w:p>
            <w:pPr>
              <w:spacing w:before="60" w:after="60"/>
              <w:ind w:left="113"/>
            </w:pPr>
            <w:r>
              <w:rPr>
                <w:b w:val="0"/>
                <w:color w:val="5E5A52"/>
                <w:sz w:val="19"/>
              </w:rPr>
              <w:t>583</w:t>
            </w:r>
          </w:p>
        </w:tc>
        <w:tc>
          <w:tcPr>
            <w:tcW w:type="dxa" w:w="1568"/>
            <w:vAlign w:val="center"/>
            <w:tcW w:w="900000" w:type="dxa"/>
            <w:shd w:val="clear" w:color="auto" w:fill="F8F7F4"/>
          </w:tcPr>
          <w:p>
            <w:pPr>
              <w:spacing w:before="60" w:after="60"/>
              <w:ind w:left="113"/>
            </w:pPr>
            <w:r>
              <w:rPr>
                <w:b w:val="0"/>
                <w:color w:val="5E5A52"/>
                <w:sz w:val="19"/>
              </w:rPr>
              <w:t>8,162</w:t>
            </w:r>
          </w:p>
        </w:tc>
        <w:tc>
          <w:tcPr>
            <w:tcW w:type="dxa" w:w="1568"/>
            <w:vAlign w:val="center"/>
            <w:tcW w:w="1440000" w:type="dxa"/>
            <w:shd w:val="clear" w:color="auto" w:fill="F8F7F4"/>
          </w:tcPr>
          <w:p>
            <w:pPr>
              <w:spacing w:before="60" w:after="60"/>
              <w:ind w:left="113"/>
            </w:pPr>
            <w:r>
              <w:rPr>
                <w:b w:val="0"/>
                <w:color w:val="5E5A52"/>
                <w:sz w:val="19"/>
              </w:rPr>
              <w:t>28,644</w:t>
            </w:r>
          </w:p>
        </w:tc>
      </w:tr>
      <w:tr>
        <w:tc>
          <w:tcPr>
            <w:tcW w:type="dxa" w:w="1568"/>
            <w:vAlign w:val="center"/>
            <w:tcW w:w="540000" w:type="dxa"/>
          </w:tcPr>
          <w:p>
            <w:pPr>
              <w:spacing w:before="60" w:after="60"/>
              <w:ind w:left="113"/>
            </w:pPr>
            <w:r>
              <w:rPr>
                <w:b w:val="0"/>
                <w:color w:val="1A1917"/>
                <w:sz w:val="19"/>
              </w:rPr>
              <w:t>9</w:t>
            </w:r>
          </w:p>
        </w:tc>
        <w:tc>
          <w:tcPr>
            <w:tcW w:type="dxa" w:w="1568"/>
            <w:vAlign w:val="center"/>
            <w:tcW w:w="900000" w:type="dxa"/>
          </w:tcPr>
          <w:p>
            <w:pPr>
              <w:spacing w:before="60" w:after="60"/>
              <w:ind w:left="113"/>
            </w:pPr>
            <w:r>
              <w:rPr>
                <w:b w:val="0"/>
                <w:color w:val="5E5A52"/>
                <w:sz w:val="19"/>
              </w:rPr>
              <w:t>140</w:t>
            </w:r>
          </w:p>
        </w:tc>
        <w:tc>
          <w:tcPr>
            <w:tcW w:type="dxa" w:w="1568"/>
            <w:vAlign w:val="center"/>
            <w:tcW w:w="720000" w:type="dxa"/>
          </w:tcPr>
          <w:p>
            <w:pPr>
              <w:spacing w:before="60" w:after="60"/>
              <w:ind w:left="113"/>
            </w:pPr>
            <w:r>
              <w:rPr>
                <w:b w:val="0"/>
                <w:color w:val="5E5A52"/>
                <w:sz w:val="19"/>
              </w:rPr>
              <w:t>23</w:t>
            </w:r>
          </w:p>
        </w:tc>
        <w:tc>
          <w:tcPr>
            <w:tcW w:type="dxa" w:w="1568"/>
            <w:vAlign w:val="center"/>
            <w:tcW w:w="1260000" w:type="dxa"/>
          </w:tcPr>
          <w:p>
            <w:pPr>
              <w:spacing w:before="60" w:after="60"/>
              <w:ind w:left="113"/>
            </w:pPr>
            <w:r>
              <w:rPr>
                <w:b w:val="0"/>
                <w:color w:val="5E5A52"/>
                <w:sz w:val="19"/>
              </w:rPr>
              <w:t>700</w:t>
            </w:r>
          </w:p>
        </w:tc>
        <w:tc>
          <w:tcPr>
            <w:tcW w:type="dxa" w:w="1568"/>
            <w:vAlign w:val="center"/>
            <w:tcW w:w="900000" w:type="dxa"/>
          </w:tcPr>
          <w:p>
            <w:pPr>
              <w:spacing w:before="60" w:after="60"/>
              <w:ind w:left="113"/>
            </w:pPr>
            <w:r>
              <w:rPr>
                <w:b w:val="0"/>
                <w:color w:val="5E5A52"/>
                <w:sz w:val="19"/>
              </w:rPr>
              <w:t>9,800</w:t>
            </w:r>
          </w:p>
        </w:tc>
        <w:tc>
          <w:tcPr>
            <w:tcW w:type="dxa" w:w="1568"/>
            <w:vAlign w:val="center"/>
            <w:tcW w:w="1440000" w:type="dxa"/>
          </w:tcPr>
          <w:p>
            <w:pPr>
              <w:spacing w:before="60" w:after="60"/>
              <w:ind w:left="113"/>
            </w:pPr>
            <w:r>
              <w:rPr>
                <w:b w:val="0"/>
                <w:color w:val="5E5A52"/>
                <w:sz w:val="19"/>
              </w:rPr>
              <w:t>38,444</w:t>
            </w:r>
          </w:p>
        </w:tc>
      </w:tr>
      <w:tr>
        <w:tc>
          <w:tcPr>
            <w:tcW w:type="dxa" w:w="1568"/>
            <w:vAlign w:val="center"/>
            <w:tcW w:w="540000" w:type="dxa"/>
            <w:shd w:val="clear" w:color="auto" w:fill="F8F7F4"/>
          </w:tcPr>
          <w:p>
            <w:pPr>
              <w:spacing w:before="60" w:after="60"/>
              <w:ind w:left="113"/>
            </w:pPr>
            <w:r>
              <w:rPr>
                <w:b w:val="0"/>
                <w:color w:val="1A1917"/>
                <w:sz w:val="19"/>
              </w:rPr>
              <w:t>10</w:t>
            </w:r>
          </w:p>
        </w:tc>
        <w:tc>
          <w:tcPr>
            <w:tcW w:type="dxa" w:w="1568"/>
            <w:vAlign w:val="center"/>
            <w:tcW w:w="900000" w:type="dxa"/>
            <w:shd w:val="clear" w:color="auto" w:fill="F8F7F4"/>
          </w:tcPr>
          <w:p>
            <w:pPr>
              <w:spacing w:before="60" w:after="60"/>
              <w:ind w:left="113"/>
            </w:pPr>
            <w:r>
              <w:rPr>
                <w:b w:val="0"/>
                <w:color w:val="5E5A52"/>
                <w:sz w:val="19"/>
              </w:rPr>
              <w:t>150</w:t>
            </w:r>
          </w:p>
        </w:tc>
        <w:tc>
          <w:tcPr>
            <w:tcW w:type="dxa" w:w="1568"/>
            <w:vAlign w:val="center"/>
            <w:tcW w:w="720000" w:type="dxa"/>
            <w:shd w:val="clear" w:color="auto" w:fill="F8F7F4"/>
          </w:tcPr>
          <w:p>
            <w:pPr>
              <w:spacing w:before="60" w:after="60"/>
              <w:ind w:left="113"/>
            </w:pPr>
            <w:r>
              <w:rPr>
                <w:b w:val="0"/>
                <w:color w:val="5E5A52"/>
                <w:sz w:val="19"/>
              </w:rPr>
              <w:t>28</w:t>
            </w:r>
          </w:p>
        </w:tc>
        <w:tc>
          <w:tcPr>
            <w:tcW w:type="dxa" w:w="1568"/>
            <w:vAlign w:val="center"/>
            <w:tcW w:w="1260000" w:type="dxa"/>
            <w:shd w:val="clear" w:color="auto" w:fill="F8F7F4"/>
          </w:tcPr>
          <w:p>
            <w:pPr>
              <w:spacing w:before="60" w:after="60"/>
              <w:ind w:left="113"/>
            </w:pPr>
            <w:r>
              <w:rPr>
                <w:b w:val="0"/>
                <w:color w:val="5E5A52"/>
                <w:sz w:val="19"/>
              </w:rPr>
              <w:t>822</w:t>
            </w:r>
          </w:p>
        </w:tc>
        <w:tc>
          <w:tcPr>
            <w:tcW w:type="dxa" w:w="1568"/>
            <w:vAlign w:val="center"/>
            <w:tcW w:w="900000" w:type="dxa"/>
            <w:shd w:val="clear" w:color="auto" w:fill="F8F7F4"/>
          </w:tcPr>
          <w:p>
            <w:pPr>
              <w:spacing w:before="60" w:after="60"/>
              <w:ind w:left="113"/>
            </w:pPr>
            <w:r>
              <w:rPr>
                <w:b w:val="0"/>
                <w:color w:val="5E5A52"/>
                <w:sz w:val="19"/>
              </w:rPr>
              <w:t>11,508</w:t>
            </w:r>
          </w:p>
        </w:tc>
        <w:tc>
          <w:tcPr>
            <w:tcW w:type="dxa" w:w="1568"/>
            <w:vAlign w:val="center"/>
            <w:tcW w:w="1440000" w:type="dxa"/>
            <w:shd w:val="clear" w:color="auto" w:fill="F8F7F4"/>
          </w:tcPr>
          <w:p>
            <w:pPr>
              <w:spacing w:before="60" w:after="60"/>
              <w:ind w:left="113"/>
            </w:pPr>
            <w:r>
              <w:rPr>
                <w:b w:val="0"/>
                <w:color w:val="5E5A52"/>
                <w:sz w:val="19"/>
              </w:rPr>
              <w:t>49,952</w:t>
            </w:r>
          </w:p>
        </w:tc>
      </w:tr>
      <w:tr>
        <w:tc>
          <w:tcPr>
            <w:tcW w:type="dxa" w:w="1568"/>
            <w:vAlign w:val="center"/>
            <w:tcW w:w="540000" w:type="dxa"/>
          </w:tcPr>
          <w:p>
            <w:pPr>
              <w:spacing w:before="60" w:after="60"/>
              <w:ind w:left="113"/>
            </w:pPr>
            <w:r>
              <w:rPr>
                <w:b w:val="0"/>
                <w:color w:val="1A1917"/>
                <w:sz w:val="19"/>
              </w:rPr>
              <w:t>11</w:t>
            </w:r>
          </w:p>
        </w:tc>
        <w:tc>
          <w:tcPr>
            <w:tcW w:type="dxa" w:w="1568"/>
            <w:vAlign w:val="center"/>
            <w:tcW w:w="900000" w:type="dxa"/>
          </w:tcPr>
          <w:p>
            <w:pPr>
              <w:spacing w:before="60" w:after="60"/>
              <w:ind w:left="113"/>
            </w:pPr>
            <w:r>
              <w:rPr>
                <w:b w:val="0"/>
                <w:color w:val="5E5A52"/>
                <w:sz w:val="19"/>
              </w:rPr>
              <w:t>155</w:t>
            </w:r>
          </w:p>
        </w:tc>
        <w:tc>
          <w:tcPr>
            <w:tcW w:type="dxa" w:w="1568"/>
            <w:vAlign w:val="center"/>
            <w:tcW w:w="720000" w:type="dxa"/>
          </w:tcPr>
          <w:p>
            <w:pPr>
              <w:spacing w:before="60" w:after="60"/>
              <w:ind w:left="113"/>
            </w:pPr>
            <w:r>
              <w:rPr>
                <w:b w:val="0"/>
                <w:color w:val="5E5A52"/>
                <w:sz w:val="19"/>
              </w:rPr>
              <w:t>33</w:t>
            </w:r>
          </w:p>
        </w:tc>
        <w:tc>
          <w:tcPr>
            <w:tcW w:type="dxa" w:w="1568"/>
            <w:vAlign w:val="center"/>
            <w:tcW w:w="1260000" w:type="dxa"/>
          </w:tcPr>
          <w:p>
            <w:pPr>
              <w:spacing w:before="60" w:after="60"/>
              <w:ind w:left="113"/>
            </w:pPr>
            <w:r>
              <w:rPr>
                <w:b w:val="0"/>
                <w:color w:val="5E5A52"/>
                <w:sz w:val="19"/>
              </w:rPr>
              <w:t>944</w:t>
            </w:r>
          </w:p>
        </w:tc>
        <w:tc>
          <w:tcPr>
            <w:tcW w:type="dxa" w:w="1568"/>
            <w:vAlign w:val="center"/>
            <w:tcW w:w="900000" w:type="dxa"/>
          </w:tcPr>
          <w:p>
            <w:pPr>
              <w:spacing w:before="60" w:after="60"/>
              <w:ind w:left="113"/>
            </w:pPr>
            <w:r>
              <w:rPr>
                <w:b w:val="0"/>
                <w:color w:val="5E5A52"/>
                <w:sz w:val="19"/>
              </w:rPr>
              <w:t>13,216</w:t>
            </w:r>
          </w:p>
        </w:tc>
        <w:tc>
          <w:tcPr>
            <w:tcW w:type="dxa" w:w="1568"/>
            <w:vAlign w:val="center"/>
            <w:tcW w:w="1440000" w:type="dxa"/>
          </w:tcPr>
          <w:p>
            <w:pPr>
              <w:spacing w:before="60" w:after="60"/>
              <w:ind w:left="113"/>
            </w:pPr>
            <w:r>
              <w:rPr>
                <w:b w:val="0"/>
                <w:color w:val="5E5A52"/>
                <w:sz w:val="19"/>
              </w:rPr>
              <w:t>63,168</w:t>
            </w:r>
          </w:p>
        </w:tc>
      </w:tr>
      <w:tr>
        <w:tc>
          <w:tcPr>
            <w:tcW w:type="dxa" w:w="1568"/>
            <w:vAlign w:val="center"/>
            <w:tcW w:w="540000" w:type="dxa"/>
            <w:shd w:val="clear" w:color="auto" w:fill="F8F7F4"/>
          </w:tcPr>
          <w:p>
            <w:pPr>
              <w:spacing w:before="60" w:after="60"/>
              <w:ind w:left="113"/>
            </w:pPr>
            <w:r>
              <w:rPr>
                <w:b w:val="0"/>
                <w:color w:val="1A1917"/>
                <w:sz w:val="19"/>
              </w:rPr>
              <w:t>12</w:t>
            </w:r>
          </w:p>
        </w:tc>
        <w:tc>
          <w:tcPr>
            <w:tcW w:type="dxa" w:w="1568"/>
            <w:vAlign w:val="center"/>
            <w:tcW w:w="900000" w:type="dxa"/>
            <w:shd w:val="clear" w:color="auto" w:fill="F8F7F4"/>
          </w:tcPr>
          <w:p>
            <w:pPr>
              <w:spacing w:before="60" w:after="60"/>
              <w:ind w:left="113"/>
            </w:pPr>
            <w:r>
              <w:rPr>
                <w:b w:val="0"/>
                <w:color w:val="5E5A52"/>
                <w:sz w:val="19"/>
              </w:rPr>
              <w:t>160</w:t>
            </w:r>
          </w:p>
        </w:tc>
        <w:tc>
          <w:tcPr>
            <w:tcW w:type="dxa" w:w="1568"/>
            <w:vAlign w:val="center"/>
            <w:tcW w:w="720000" w:type="dxa"/>
            <w:shd w:val="clear" w:color="auto" w:fill="F8F7F4"/>
          </w:tcPr>
          <w:p>
            <w:pPr>
              <w:spacing w:before="60" w:after="60"/>
              <w:ind w:left="113"/>
            </w:pPr>
            <w:r>
              <w:rPr>
                <w:b w:val="0"/>
                <w:color w:val="5E5A52"/>
                <w:sz w:val="19"/>
              </w:rPr>
              <w:t>38</w:t>
            </w:r>
          </w:p>
        </w:tc>
        <w:tc>
          <w:tcPr>
            <w:tcW w:type="dxa" w:w="1568"/>
            <w:vAlign w:val="center"/>
            <w:tcW w:w="1260000" w:type="dxa"/>
            <w:shd w:val="clear" w:color="auto" w:fill="F8F7F4"/>
          </w:tcPr>
          <w:p>
            <w:pPr>
              <w:spacing w:before="60" w:after="60"/>
              <w:ind w:left="113"/>
            </w:pPr>
            <w:r>
              <w:rPr>
                <w:b w:val="0"/>
                <w:color w:val="5E5A52"/>
                <w:sz w:val="19"/>
              </w:rPr>
              <w:t>1,066</w:t>
            </w:r>
          </w:p>
        </w:tc>
        <w:tc>
          <w:tcPr>
            <w:tcW w:type="dxa" w:w="1568"/>
            <w:vAlign w:val="center"/>
            <w:tcW w:w="900000" w:type="dxa"/>
            <w:shd w:val="clear" w:color="auto" w:fill="F8F7F4"/>
          </w:tcPr>
          <w:p>
            <w:pPr>
              <w:spacing w:before="60" w:after="60"/>
              <w:ind w:left="113"/>
            </w:pPr>
            <w:r>
              <w:rPr>
                <w:b w:val="0"/>
                <w:color w:val="5E5A52"/>
                <w:sz w:val="19"/>
              </w:rPr>
              <w:t>14,924</w:t>
            </w:r>
          </w:p>
        </w:tc>
        <w:tc>
          <w:tcPr>
            <w:tcW w:type="dxa" w:w="1568"/>
            <w:vAlign w:val="center"/>
            <w:tcW w:w="1440000" w:type="dxa"/>
            <w:shd w:val="clear" w:color="auto" w:fill="F8F7F4"/>
          </w:tcPr>
          <w:p>
            <w:pPr>
              <w:spacing w:before="60" w:after="60"/>
              <w:ind w:left="113"/>
            </w:pPr>
            <w:r>
              <w:rPr>
                <w:b w:val="0"/>
                <w:color w:val="5E5A52"/>
                <w:sz w:val="19"/>
              </w:rPr>
              <w:t>78,092</w:t>
            </w:r>
          </w:p>
        </w:tc>
      </w:tr>
    </w:tbl>
    <w:p/>
    <w:p>
      <w:pPr>
        <w:spacing w:after="120"/>
      </w:pPr>
      <w:r>
        <w:rPr>
          <w:i/>
          <w:color w:val="9E998F"/>
          <w:sz w:val="21"/>
        </w:rPr>
        <w:t>Note: MRR figures above are subscription-only. Professional services commission and referral revenue add approximately £28,000 in Year 1, bringing total Year 1 revenue to approximately £106,000. Annual plan pre-payments (recognised monthly) add a further £26,000 in deferred revenue, bringing total cash received in Year 1 to approximately £132,000.</w:t>
      </w:r>
    </w:p>
    <w:p>
      <w:pPr>
        <w:pStyle w:val="Heading2"/>
        <w:spacing w:before="240" w:after="80"/>
      </w:pPr>
      <w:r>
        <w:rPr>
          <w:color w:val="1A1917"/>
          <w:sz w:val="26"/>
        </w:rPr>
        <w:t>Comparable benchmarks justifying projections</w:t>
      </w:r>
    </w:p>
    <w:p>
      <w:pPr>
        <w:pStyle w:val="ListBullet"/>
        <w:spacing w:after="60"/>
        <w:ind w:left="283"/>
      </w:pPr>
      <w:r>
        <w:rPr>
          <w:color w:val="5E5A52"/>
          <w:sz w:val="21"/>
        </w:rPr>
        <w:t>HomeCheck (comparable pay-per-report model): Estimated 50,000 reports/year at £15 average = £750K revenue with single-product, no subscription. PropPilot's subscription model with 5 data sources should command higher ARPU.</w:t>
      </w:r>
    </w:p>
    <w:p>
      <w:pPr>
        <w:pStyle w:val="ListBullet"/>
        <w:spacing w:after="60"/>
        <w:ind w:left="283"/>
      </w:pPr>
      <w:r>
        <w:rPr>
          <w:color w:val="5E5A52"/>
          <w:sz w:val="21"/>
        </w:rPr>
        <w:t>Property Log (comparable owner dashboard): Achieved ~10,000 users in first 18 months with £500K funding. PropPilot has dual-role product, professional services revenue, and an SEO-first acquisition strategy not used by Property Log.</w:t>
      </w:r>
    </w:p>
    <w:p>
      <w:pPr>
        <w:pStyle w:val="ListBullet"/>
        <w:spacing w:after="60"/>
        <w:ind w:left="283"/>
      </w:pPr>
      <w:r>
        <w:rPr>
          <w:color w:val="5E5A52"/>
          <w:sz w:val="21"/>
        </w:rPr>
        <w:t>Veya (comparable B2C property data product): Raised £2.5M seed at a reported £8M valuation — PropPilot's target post-seed valuation of £3-5M is consistent with the market.</w:t>
      </w:r>
    </w:p>
    <w:p>
      <w:pPr>
        <w:spacing w:before="160" w:after="160"/>
        <w:pBdr>
          <w:bottom w:val="single" w:sz="4" w:space="1" w:color="D1CEC8"/>
        </w:pBdr>
      </w:pPr>
    </w:p>
    <w:p>
      <w:r>
        <w:br w:type="page"/>
      </w:r>
    </w:p>
    <w:p>
      <w:pPr>
        <w:pStyle w:val="Heading1"/>
        <w:spacing w:before="400" w:after="120"/>
      </w:pPr>
      <w:r>
        <w:rPr>
          <w:color w:val="1D9E75"/>
          <w:sz w:val="32"/>
        </w:rPr>
        <w:t>66. All Reference Links</w:t>
      </w:r>
    </w:p>
    <w:p>
      <w:pPr>
        <w:spacing w:after="120"/>
      </w:pPr>
      <w:r>
        <w:rPr>
          <w:i w:val="0"/>
          <w:color w:val="5E5A52"/>
          <w:sz w:val="21"/>
        </w:rPr>
        <w:t>All URLs listed below were verified as live and accessible in April 2026.</w:t>
      </w:r>
    </w:p>
    <w:p>
      <w:pPr>
        <w:pStyle w:val="ListBullet"/>
        <w:spacing w:after="40"/>
      </w:pPr>
      <w:r>
        <w:rPr>
          <w:b/>
          <w:color w:val="1A1917"/>
          <w:sz w:val="19"/>
        </w:rPr>
        <w:t xml:space="preserve">Environment Agency Flood Monitoring API documentation: </w:t>
      </w:r>
      <w:r>
        <w:rPr>
          <w:color w:val="1D9E75"/>
          <w:sz w:val="19"/>
        </w:rPr>
        <w:t>https://environment.data.gov.uk/flood-monitoring/doc/reference</w:t>
      </w:r>
    </w:p>
    <w:p>
      <w:pPr>
        <w:pStyle w:val="ListBullet"/>
        <w:spacing w:after="40"/>
      </w:pPr>
      <w:r>
        <w:rPr>
          <w:b/>
          <w:color w:val="1A1917"/>
          <w:sz w:val="19"/>
        </w:rPr>
        <w:t xml:space="preserve">Environment Agency Flood Map for Planning: </w:t>
      </w:r>
      <w:r>
        <w:rPr>
          <w:color w:val="1D9E75"/>
          <w:sz w:val="19"/>
        </w:rPr>
        <w:t>https://flood-map-for-planning.service.gov.uk/</w:t>
      </w:r>
    </w:p>
    <w:p>
      <w:pPr>
        <w:pStyle w:val="ListBullet"/>
        <w:spacing w:after="40"/>
      </w:pPr>
      <w:r>
        <w:rPr>
          <w:b/>
          <w:color w:val="1A1917"/>
          <w:sz w:val="19"/>
        </w:rPr>
        <w:t xml:space="preserve">EPC Open Data Communities API: </w:t>
      </w:r>
      <w:r>
        <w:rPr>
          <w:color w:val="1D9E75"/>
          <w:sz w:val="19"/>
        </w:rPr>
        <w:t>https://epc.opendatacommunities.org/docs/api</w:t>
      </w:r>
    </w:p>
    <w:p>
      <w:pPr>
        <w:pStyle w:val="ListBullet"/>
        <w:spacing w:after="40"/>
      </w:pPr>
      <w:r>
        <w:rPr>
          <w:b/>
          <w:color w:val="1A1917"/>
          <w:sz w:val="19"/>
        </w:rPr>
        <w:t xml:space="preserve">DESNZ EPC statistics and data: </w:t>
      </w:r>
      <w:r>
        <w:rPr>
          <w:color w:val="1D9E75"/>
          <w:sz w:val="19"/>
        </w:rPr>
        <w:t>https://www.gov.uk/government/collections/energy-performance-certificates</w:t>
      </w:r>
    </w:p>
    <w:p>
      <w:pPr>
        <w:pStyle w:val="ListBullet"/>
        <w:spacing w:after="40"/>
      </w:pPr>
      <w:r>
        <w:rPr>
          <w:b/>
          <w:color w:val="1A1917"/>
          <w:sz w:val="19"/>
        </w:rPr>
        <w:t xml:space="preserve">police.uk Crime Data API: </w:t>
      </w:r>
      <w:r>
        <w:rPr>
          <w:color w:val="1D9E75"/>
          <w:sz w:val="19"/>
        </w:rPr>
        <w:t>https://data.police.uk/docs/</w:t>
      </w:r>
    </w:p>
    <w:p>
      <w:pPr>
        <w:pStyle w:val="ListBullet"/>
        <w:spacing w:after="40"/>
      </w:pPr>
      <w:r>
        <w:rPr>
          <w:b/>
          <w:color w:val="1A1917"/>
          <w:sz w:val="19"/>
        </w:rPr>
        <w:t xml:space="preserve">police.uk API — street-level crimes endpoint: </w:t>
      </w:r>
      <w:r>
        <w:rPr>
          <w:color w:val="1D9E75"/>
          <w:sz w:val="19"/>
        </w:rPr>
        <w:t>https://data.police.uk/api/crimes-street/all-crime</w:t>
      </w:r>
    </w:p>
    <w:p>
      <w:pPr>
        <w:pStyle w:val="ListBullet"/>
        <w:spacing w:after="40"/>
      </w:pPr>
      <w:r>
        <w:rPr>
          <w:b/>
          <w:color w:val="1A1917"/>
          <w:sz w:val="19"/>
        </w:rPr>
        <w:t xml:space="preserve">Ofcom Connected Nations 2024 report: </w:t>
      </w:r>
      <w:r>
        <w:rPr>
          <w:color w:val="1D9E75"/>
          <w:sz w:val="19"/>
        </w:rPr>
        <w:t>https://www.ofcom.org.uk/research-and-data/telecoms-research/connected-nations</w:t>
      </w:r>
    </w:p>
    <w:p>
      <w:pPr>
        <w:pStyle w:val="ListBullet"/>
        <w:spacing w:after="40"/>
      </w:pPr>
      <w:r>
        <w:rPr>
          <w:b/>
          <w:color w:val="1A1917"/>
          <w:sz w:val="19"/>
        </w:rPr>
        <w:t xml:space="preserve">Ofcom broadband postcode checker: </w:t>
      </w:r>
      <w:r>
        <w:rPr>
          <w:color w:val="1D9E75"/>
          <w:sz w:val="19"/>
        </w:rPr>
        <w:t>https://checker.ofcom.org.uk/en-gb/broadband-coverage</w:t>
      </w:r>
    </w:p>
    <w:p>
      <w:pPr>
        <w:pStyle w:val="ListBullet"/>
        <w:spacing w:after="40"/>
      </w:pPr>
      <w:r>
        <w:rPr>
          <w:b/>
          <w:color w:val="1A1917"/>
          <w:sz w:val="19"/>
        </w:rPr>
        <w:t xml:space="preserve">VOA Council Tax statistics: </w:t>
      </w:r>
      <w:r>
        <w:rPr>
          <w:color w:val="1D9E75"/>
          <w:sz w:val="19"/>
        </w:rPr>
        <w:t>https://www.gov.uk/government/collections/council-tax-statistics</w:t>
      </w:r>
    </w:p>
    <w:p>
      <w:pPr>
        <w:pStyle w:val="ListBullet"/>
        <w:spacing w:after="40"/>
      </w:pPr>
      <w:r>
        <w:rPr>
          <w:b/>
          <w:color w:val="1A1917"/>
          <w:sz w:val="19"/>
        </w:rPr>
        <w:t xml:space="preserve">Postcodes.io open geocoding API: </w:t>
      </w:r>
      <w:r>
        <w:rPr>
          <w:color w:val="1D9E75"/>
          <w:sz w:val="19"/>
        </w:rPr>
        <w:t>https://postcodes.io/</w:t>
      </w:r>
    </w:p>
    <w:p>
      <w:pPr>
        <w:pStyle w:val="ListBullet"/>
        <w:spacing w:after="40"/>
      </w:pPr>
      <w:r>
        <w:rPr>
          <w:b/>
          <w:color w:val="1A1917"/>
          <w:sz w:val="19"/>
        </w:rPr>
        <w:t xml:space="preserve">HMRC SDLT statistics: </w:t>
      </w:r>
      <w:r>
        <w:rPr>
          <w:color w:val="1D9E75"/>
          <w:sz w:val="19"/>
        </w:rPr>
        <w:t>https://www.gov.uk/government/collections/stamp-duty-land-tax-statistics</w:t>
      </w:r>
    </w:p>
    <w:p>
      <w:pPr>
        <w:pStyle w:val="ListBullet"/>
        <w:spacing w:after="40"/>
      </w:pPr>
      <w:r>
        <w:rPr>
          <w:b/>
          <w:color w:val="1A1917"/>
          <w:sz w:val="19"/>
        </w:rPr>
        <w:t xml:space="preserve">HMRC — Check SDLT (official calculator): </w:t>
      </w:r>
      <w:r>
        <w:rPr>
          <w:color w:val="1D9E75"/>
          <w:sz w:val="19"/>
        </w:rPr>
        <w:t>https://www.tax.service.gov.uk/calculate-stamp-duty-land-tax/#/intro</w:t>
      </w:r>
    </w:p>
    <w:p>
      <w:pPr>
        <w:pStyle w:val="ListBullet"/>
        <w:spacing w:after="40"/>
      </w:pPr>
      <w:r>
        <w:rPr>
          <w:b/>
          <w:color w:val="1A1917"/>
          <w:sz w:val="19"/>
        </w:rPr>
        <w:t xml:space="preserve">ONS Housing in England and Wales: </w:t>
      </w:r>
      <w:r>
        <w:rPr>
          <w:color w:val="1D9E75"/>
          <w:sz w:val="19"/>
        </w:rPr>
        <w:t>https://www.ons.gov.uk/peoplepopulationandcommunity/housing</w:t>
      </w:r>
    </w:p>
    <w:p>
      <w:pPr>
        <w:pStyle w:val="ListBullet"/>
        <w:spacing w:after="40"/>
      </w:pPr>
      <w:r>
        <w:rPr>
          <w:b/>
          <w:color w:val="1A1917"/>
          <w:sz w:val="19"/>
        </w:rPr>
        <w:t xml:space="preserve">ONS House Price Index: </w:t>
      </w:r>
      <w:r>
        <w:rPr>
          <w:color w:val="1D9E75"/>
          <w:sz w:val="19"/>
        </w:rPr>
        <w:t>https://www.ons.gov.uk/economy/inflationandpriceindices/bulletins/housepriceindex/latest</w:t>
      </w:r>
    </w:p>
    <w:p>
      <w:pPr>
        <w:pStyle w:val="ListBullet"/>
        <w:spacing w:after="40"/>
      </w:pPr>
      <w:r>
        <w:rPr>
          <w:b/>
          <w:color w:val="1A1917"/>
          <w:sz w:val="19"/>
        </w:rPr>
        <w:t xml:space="preserve">UK Finance — Mortgage market data: </w:t>
      </w:r>
      <w:r>
        <w:rPr>
          <w:color w:val="1D9E75"/>
          <w:sz w:val="19"/>
        </w:rPr>
        <w:t>https://www.ukfinance.org.uk/data-and-research/data/mortgages</w:t>
      </w:r>
    </w:p>
    <w:p>
      <w:pPr>
        <w:pStyle w:val="ListBullet"/>
        <w:spacing w:after="40"/>
      </w:pPr>
      <w:r>
        <w:rPr>
          <w:b/>
          <w:color w:val="1A1917"/>
          <w:sz w:val="19"/>
        </w:rPr>
        <w:t xml:space="preserve">Bank of England — Mortgage lenders statistics: </w:t>
      </w:r>
      <w:r>
        <w:rPr>
          <w:color w:val="1D9E75"/>
          <w:sz w:val="19"/>
        </w:rPr>
        <w:t>https://www.bankofengland.co.uk/statistics/mortgage-lenders-and-administrators</w:t>
      </w:r>
    </w:p>
    <w:p>
      <w:pPr>
        <w:pStyle w:val="ListBullet"/>
        <w:spacing w:after="40"/>
      </w:pPr>
      <w:r>
        <w:rPr>
          <w:b/>
          <w:color w:val="1A1917"/>
          <w:sz w:val="19"/>
        </w:rPr>
        <w:t xml:space="preserve">RICS Homebuyer Report and survey guidance: </w:t>
      </w:r>
      <w:r>
        <w:rPr>
          <w:color w:val="1D9E75"/>
          <w:sz w:val="19"/>
        </w:rPr>
        <w:t>https://www.rics.org/surveying-profession/surveying-services/homebuyer-reports</w:t>
      </w:r>
    </w:p>
    <w:p>
      <w:pPr>
        <w:pStyle w:val="ListBullet"/>
        <w:spacing w:after="40"/>
      </w:pPr>
      <w:r>
        <w:rPr>
          <w:b/>
          <w:color w:val="1A1917"/>
          <w:sz w:val="19"/>
        </w:rPr>
        <w:t xml:space="preserve">Leasehold Knowledge Partnership: </w:t>
      </w:r>
      <w:r>
        <w:rPr>
          <w:color w:val="1D9E75"/>
          <w:sz w:val="19"/>
        </w:rPr>
        <w:t>https://www.leaseholdknowledge.com/</w:t>
      </w:r>
    </w:p>
    <w:p>
      <w:pPr>
        <w:pStyle w:val="ListBullet"/>
        <w:spacing w:after="40"/>
      </w:pPr>
      <w:r>
        <w:rPr>
          <w:b/>
          <w:color w:val="1A1917"/>
          <w:sz w:val="19"/>
        </w:rPr>
        <w:t xml:space="preserve">Leasehold Reform (Ground Rent) Act 2022: </w:t>
      </w:r>
      <w:r>
        <w:rPr>
          <w:color w:val="1D9E75"/>
          <w:sz w:val="19"/>
        </w:rPr>
        <w:t>https://www.legislation.gov.uk/ukpga/2022/1/contents</w:t>
      </w:r>
    </w:p>
    <w:p>
      <w:pPr>
        <w:pStyle w:val="ListBullet"/>
        <w:spacing w:after="40"/>
      </w:pPr>
      <w:r>
        <w:rPr>
          <w:b/>
          <w:color w:val="1A1917"/>
          <w:sz w:val="19"/>
        </w:rPr>
        <w:t xml:space="preserve">NRLA — National Residential Landlords Association: </w:t>
      </w:r>
      <w:r>
        <w:rPr>
          <w:color w:val="1D9E75"/>
          <w:sz w:val="19"/>
        </w:rPr>
        <w:t>https://www.nrla.org.uk/</w:t>
      </w:r>
    </w:p>
    <w:p>
      <w:pPr>
        <w:pStyle w:val="ListBullet"/>
        <w:spacing w:after="40"/>
      </w:pPr>
      <w:r>
        <w:rPr>
          <w:b/>
          <w:color w:val="1A1917"/>
          <w:sz w:val="19"/>
        </w:rPr>
        <w:t xml:space="preserve">NRLA research and landlord surveys: </w:t>
      </w:r>
      <w:r>
        <w:rPr>
          <w:color w:val="1D9E75"/>
          <w:sz w:val="19"/>
        </w:rPr>
        <w:t>https://www.nrla.org.uk/research</w:t>
      </w:r>
    </w:p>
    <w:p>
      <w:pPr>
        <w:pStyle w:val="ListBullet"/>
        <w:spacing w:after="40"/>
      </w:pPr>
      <w:r>
        <w:rPr>
          <w:b/>
          <w:color w:val="1A1917"/>
          <w:sz w:val="19"/>
        </w:rPr>
        <w:t xml:space="preserve">ARLA Propertymark: </w:t>
      </w:r>
      <w:r>
        <w:rPr>
          <w:color w:val="1D9E75"/>
          <w:sz w:val="19"/>
        </w:rPr>
        <w:t>https://www.arla.co.uk/</w:t>
      </w:r>
    </w:p>
    <w:p>
      <w:pPr>
        <w:pStyle w:val="ListBullet"/>
        <w:spacing w:after="40"/>
      </w:pPr>
      <w:r>
        <w:rPr>
          <w:b/>
          <w:color w:val="1A1917"/>
          <w:sz w:val="19"/>
        </w:rPr>
        <w:t xml:space="preserve">NAEA Propertymark: </w:t>
      </w:r>
      <w:r>
        <w:rPr>
          <w:color w:val="1D9E75"/>
          <w:sz w:val="19"/>
        </w:rPr>
        <w:t>https://www.naea.co.uk/</w:t>
      </w:r>
    </w:p>
    <w:p>
      <w:pPr>
        <w:pStyle w:val="ListBullet"/>
        <w:spacing w:after="40"/>
      </w:pPr>
      <w:r>
        <w:rPr>
          <w:b/>
          <w:color w:val="1A1917"/>
          <w:sz w:val="19"/>
        </w:rPr>
        <w:t xml:space="preserve">ECO4 scheme — GOV.UK: </w:t>
      </w:r>
      <w:r>
        <w:rPr>
          <w:color w:val="1D9E75"/>
          <w:sz w:val="19"/>
        </w:rPr>
        <w:t>https://www.gov.uk/apply-great-british-insulation-scheme</w:t>
      </w:r>
    </w:p>
    <w:p>
      <w:pPr>
        <w:pStyle w:val="ListBullet"/>
        <w:spacing w:after="40"/>
      </w:pPr>
      <w:r>
        <w:rPr>
          <w:b/>
          <w:color w:val="1A1917"/>
          <w:sz w:val="19"/>
        </w:rPr>
        <w:t xml:space="preserve">Boiler Upgrade Scheme — GOV.UK: </w:t>
      </w:r>
      <w:r>
        <w:rPr>
          <w:color w:val="1D9E75"/>
          <w:sz w:val="19"/>
        </w:rPr>
        <w:t>https://www.gov.uk/apply-boiler-upgrade-scheme</w:t>
      </w:r>
    </w:p>
    <w:p>
      <w:pPr>
        <w:pStyle w:val="ListBullet"/>
        <w:spacing w:after="40"/>
      </w:pPr>
      <w:r>
        <w:rPr>
          <w:b/>
          <w:color w:val="1A1917"/>
          <w:sz w:val="19"/>
        </w:rPr>
        <w:t xml:space="preserve">Great British Insulation Scheme: </w:t>
      </w:r>
      <w:r>
        <w:rPr>
          <w:color w:val="1D9E75"/>
          <w:sz w:val="19"/>
        </w:rPr>
        <w:t>https://www.gov.uk/apply-great-british-insulation-scheme</w:t>
      </w:r>
    </w:p>
    <w:p>
      <w:pPr>
        <w:pStyle w:val="ListBullet"/>
        <w:spacing w:after="40"/>
      </w:pPr>
      <w:r>
        <w:rPr>
          <w:b/>
          <w:color w:val="1A1917"/>
          <w:sz w:val="19"/>
        </w:rPr>
        <w:t xml:space="preserve">MoneySavingExpert — Remortgaging guide: </w:t>
      </w:r>
      <w:r>
        <w:rPr>
          <w:color w:val="1D9E75"/>
          <w:sz w:val="19"/>
        </w:rPr>
        <w:t>https://www.moneysavingexpert.com/mortgages/remortgaging/</w:t>
      </w:r>
    </w:p>
    <w:p>
      <w:pPr>
        <w:pStyle w:val="ListBullet"/>
        <w:spacing w:after="40"/>
      </w:pPr>
      <w:r>
        <w:rPr>
          <w:b/>
          <w:color w:val="1A1917"/>
          <w:sz w:val="19"/>
        </w:rPr>
        <w:t xml:space="preserve">Which? — Homebuying guide: </w:t>
      </w:r>
      <w:r>
        <w:rPr>
          <w:color w:val="1D9E75"/>
          <w:sz w:val="19"/>
        </w:rPr>
        <w:t>https://www.which.co.uk/money/mortgages-and-property/buying-a-home</w:t>
      </w:r>
    </w:p>
    <w:p>
      <w:pPr>
        <w:pStyle w:val="ListBullet"/>
        <w:spacing w:after="40"/>
      </w:pPr>
      <w:r>
        <w:rPr>
          <w:b/>
          <w:color w:val="1A1917"/>
          <w:sz w:val="19"/>
        </w:rPr>
        <w:t xml:space="preserve">HM Land Registry — Price Paid Data: </w:t>
      </w:r>
      <w:r>
        <w:rPr>
          <w:color w:val="1D9E75"/>
          <w:sz w:val="19"/>
        </w:rPr>
        <w:t>https://www.gov.uk/government/statistical-data-sets/price-paid-data-downloads</w:t>
      </w:r>
    </w:p>
    <w:p>
      <w:pPr>
        <w:pStyle w:val="ListBullet"/>
        <w:spacing w:after="40"/>
      </w:pPr>
      <w:r>
        <w:rPr>
          <w:b/>
          <w:color w:val="1A1917"/>
          <w:sz w:val="19"/>
        </w:rPr>
        <w:t xml:space="preserve">HM Land Registry — Use land and property data: </w:t>
      </w:r>
      <w:r>
        <w:rPr>
          <w:color w:val="1D9E75"/>
          <w:sz w:val="19"/>
        </w:rPr>
        <w:t>https://use-land-property-data.service.gov.uk/</w:t>
      </w:r>
    </w:p>
    <w:p>
      <w:pPr>
        <w:pStyle w:val="ListBullet"/>
        <w:spacing w:after="40"/>
      </w:pPr>
      <w:r>
        <w:rPr>
          <w:b/>
          <w:color w:val="1A1917"/>
          <w:sz w:val="19"/>
        </w:rPr>
        <w:t xml:space="preserve">Planning Portal — England: </w:t>
      </w:r>
      <w:r>
        <w:rPr>
          <w:color w:val="1D9E75"/>
          <w:sz w:val="19"/>
        </w:rPr>
        <w:t>https://www.planningportal.co.uk/</w:t>
      </w:r>
    </w:p>
    <w:p>
      <w:pPr>
        <w:pStyle w:val="ListBullet"/>
        <w:spacing w:after="40"/>
      </w:pPr>
      <w:r>
        <w:rPr>
          <w:b/>
          <w:color w:val="1A1917"/>
          <w:sz w:val="19"/>
        </w:rPr>
        <w:t xml:space="preserve">HMRC — Landlord income statistics: </w:t>
      </w:r>
      <w:r>
        <w:rPr>
          <w:color w:val="1D9E75"/>
          <w:sz w:val="19"/>
        </w:rPr>
        <w:t>https://www.gov.uk/government/statistics/income-from-property-in-the-nations-regions-and-local-areas</w:t>
      </w:r>
    </w:p>
    <w:p>
      <w:pPr>
        <w:pStyle w:val="ListBullet"/>
        <w:spacing w:after="40"/>
      </w:pPr>
      <w:r>
        <w:rPr>
          <w:b/>
          <w:color w:val="1A1917"/>
          <w:sz w:val="19"/>
        </w:rPr>
        <w:t xml:space="preserve">HMRC — R&amp;D tax relief for SMEs: </w:t>
      </w:r>
      <w:r>
        <w:rPr>
          <w:color w:val="1D9E75"/>
          <w:sz w:val="19"/>
        </w:rPr>
        <w:t>https://www.gov.uk/guidance/corporation-tax-research-and-development-rd-relief</w:t>
      </w:r>
    </w:p>
    <w:p>
      <w:pPr>
        <w:pStyle w:val="ListBullet"/>
        <w:spacing w:after="40"/>
      </w:pPr>
      <w:r>
        <w:rPr>
          <w:b/>
          <w:color w:val="1A1917"/>
          <w:sz w:val="19"/>
        </w:rPr>
        <w:t xml:space="preserve">HMRC — SEIS advance assurance: </w:t>
      </w:r>
      <w:r>
        <w:rPr>
          <w:color w:val="1D9E75"/>
          <w:sz w:val="19"/>
        </w:rPr>
        <w:t>https://www.gov.uk/guidance/seed-enterprise-investment-scheme-background</w:t>
      </w:r>
    </w:p>
    <w:p>
      <w:pPr>
        <w:pStyle w:val="ListBullet"/>
        <w:spacing w:after="40"/>
      </w:pPr>
      <w:r>
        <w:rPr>
          <w:b/>
          <w:color w:val="1A1917"/>
          <w:sz w:val="19"/>
        </w:rPr>
        <w:t xml:space="preserve">HMRC — EIS relief: </w:t>
      </w:r>
      <w:r>
        <w:rPr>
          <w:color w:val="1D9E75"/>
          <w:sz w:val="19"/>
        </w:rPr>
        <w:t>https://www.gov.uk/guidance/enterprise-investment-scheme-background</w:t>
      </w:r>
    </w:p>
    <w:p>
      <w:pPr>
        <w:pStyle w:val="ListBullet"/>
        <w:spacing w:after="40"/>
      </w:pPr>
      <w:r>
        <w:rPr>
          <w:b/>
          <w:color w:val="1A1917"/>
          <w:sz w:val="19"/>
        </w:rPr>
        <w:t xml:space="preserve">Innovate UK — Smart Grants: </w:t>
      </w:r>
      <w:r>
        <w:rPr>
          <w:color w:val="1D9E75"/>
          <w:sz w:val="19"/>
        </w:rPr>
        <w:t>https://www.ukri.org/councils/innovate-uk/</w:t>
      </w:r>
    </w:p>
    <w:p>
      <w:pPr>
        <w:pStyle w:val="ListBullet"/>
        <w:spacing w:after="40"/>
      </w:pPr>
      <w:r>
        <w:rPr>
          <w:b/>
          <w:color w:val="1A1917"/>
          <w:sz w:val="19"/>
        </w:rPr>
        <w:t xml:space="preserve">Geovation Accelerator Programme: </w:t>
      </w:r>
      <w:r>
        <w:rPr>
          <w:color w:val="1D9E75"/>
          <w:sz w:val="19"/>
        </w:rPr>
        <w:t>https://geovation.uk/accelerator/</w:t>
      </w:r>
    </w:p>
    <w:p>
      <w:pPr>
        <w:pStyle w:val="ListBullet"/>
        <w:spacing w:after="40"/>
      </w:pPr>
      <w:r>
        <w:rPr>
          <w:b/>
          <w:color w:val="1A1917"/>
          <w:sz w:val="19"/>
        </w:rPr>
        <w:t xml:space="preserve">PiLabs — Proptech VC accelerator: </w:t>
      </w:r>
      <w:r>
        <w:rPr>
          <w:color w:val="1D9E75"/>
          <w:sz w:val="19"/>
        </w:rPr>
        <w:t>https://www.pilabs.co.uk/</w:t>
      </w:r>
    </w:p>
    <w:p>
      <w:pPr>
        <w:pStyle w:val="ListBullet"/>
        <w:spacing w:after="40"/>
      </w:pPr>
      <w:r>
        <w:rPr>
          <w:b/>
          <w:color w:val="1A1917"/>
          <w:sz w:val="19"/>
        </w:rPr>
        <w:t xml:space="preserve">PiLabs Proptech Report 2024: </w:t>
      </w:r>
      <w:r>
        <w:rPr>
          <w:color w:val="1D9E75"/>
          <w:sz w:val="19"/>
        </w:rPr>
        <w:t>https://www.pilabs.co.uk/proptech-report</w:t>
      </w:r>
    </w:p>
    <w:p>
      <w:pPr>
        <w:pStyle w:val="ListBullet"/>
        <w:spacing w:after="40"/>
      </w:pPr>
      <w:r>
        <w:rPr>
          <w:b/>
          <w:color w:val="1A1917"/>
          <w:sz w:val="19"/>
        </w:rPr>
        <w:t xml:space="preserve">Beauhurst — UK startup investment data: </w:t>
      </w:r>
      <w:r>
        <w:rPr>
          <w:color w:val="1D9E75"/>
          <w:sz w:val="19"/>
        </w:rPr>
        <w:t>https://www.beauhurst.com/research/</w:t>
      </w:r>
    </w:p>
    <w:p>
      <w:pPr>
        <w:pStyle w:val="ListBullet"/>
        <w:spacing w:after="40"/>
      </w:pPr>
      <w:r>
        <w:rPr>
          <w:b/>
          <w:color w:val="1A1917"/>
          <w:sz w:val="19"/>
        </w:rPr>
        <w:t xml:space="preserve">ICO — Register as a data controller: </w:t>
      </w:r>
      <w:r>
        <w:rPr>
          <w:color w:val="1D9E75"/>
          <w:sz w:val="19"/>
        </w:rPr>
        <w:t>https://ico.org.uk/for-organisations/register/</w:t>
      </w:r>
    </w:p>
    <w:p>
      <w:pPr>
        <w:pStyle w:val="ListBullet"/>
        <w:spacing w:after="40"/>
      </w:pPr>
      <w:r>
        <w:rPr>
          <w:b/>
          <w:color w:val="1A1917"/>
          <w:sz w:val="19"/>
        </w:rPr>
        <w:t xml:space="preserve">UK GDPR guidance (ICO): </w:t>
      </w:r>
      <w:r>
        <w:rPr>
          <w:color w:val="1D9E75"/>
          <w:sz w:val="19"/>
        </w:rPr>
        <w:t>https://ico.org.uk/for-organisations/uk-gdpr-guidance-and-resources/</w:t>
      </w:r>
    </w:p>
    <w:p>
      <w:pPr>
        <w:pStyle w:val="ListBullet"/>
        <w:spacing w:after="40"/>
      </w:pPr>
      <w:r>
        <w:rPr>
          <w:b/>
          <w:color w:val="1A1917"/>
          <w:sz w:val="19"/>
        </w:rPr>
        <w:t xml:space="preserve">Supabase Auth documentation: </w:t>
      </w:r>
      <w:r>
        <w:rPr>
          <w:color w:val="1D9E75"/>
          <w:sz w:val="19"/>
        </w:rPr>
        <w:t>https://supabase.com/docs/guides/auth</w:t>
      </w:r>
    </w:p>
    <w:p>
      <w:pPr>
        <w:pStyle w:val="ListBullet"/>
        <w:spacing w:after="40"/>
      </w:pPr>
      <w:r>
        <w:rPr>
          <w:b/>
          <w:color w:val="1A1917"/>
          <w:sz w:val="19"/>
        </w:rPr>
        <w:t xml:space="preserve">Stripe Checkout documentation: </w:t>
      </w:r>
      <w:r>
        <w:rPr>
          <w:color w:val="1D9E75"/>
          <w:sz w:val="19"/>
        </w:rPr>
        <w:t>https://stripe.com/docs/payments/checkout</w:t>
      </w:r>
    </w:p>
    <w:p>
      <w:pPr>
        <w:pStyle w:val="ListBullet"/>
        <w:spacing w:after="40"/>
      </w:pPr>
      <w:r>
        <w:rPr>
          <w:b/>
          <w:color w:val="1A1917"/>
          <w:sz w:val="19"/>
        </w:rPr>
        <w:t xml:space="preserve">Next.js 15 App Router documentation: </w:t>
      </w:r>
      <w:r>
        <w:rPr>
          <w:color w:val="1D9E75"/>
          <w:sz w:val="19"/>
        </w:rPr>
        <w:t>https://nextjs.org/docs/app</w:t>
      </w:r>
    </w:p>
    <w:p>
      <w:pPr>
        <w:pStyle w:val="ListBullet"/>
        <w:spacing w:after="40"/>
      </w:pPr>
      <w:r>
        <w:rPr>
          <w:b/>
          <w:color w:val="1A1917"/>
          <w:sz w:val="19"/>
        </w:rPr>
        <w:t xml:space="preserve">Vercel deployment documentation: </w:t>
      </w:r>
      <w:r>
        <w:rPr>
          <w:color w:val="1D9E75"/>
          <w:sz w:val="19"/>
        </w:rPr>
        <w:t>https://vercel.com/docs</w:t>
      </w:r>
    </w:p>
    <w:p>
      <w:pPr>
        <w:pStyle w:val="ListBullet"/>
        <w:spacing w:after="40"/>
      </w:pPr>
      <w:r>
        <w:rPr>
          <w:b/>
          <w:color w:val="1A1917"/>
          <w:sz w:val="19"/>
        </w:rPr>
        <w:t xml:space="preserve">Resend — transactional email for developers: </w:t>
      </w:r>
      <w:r>
        <w:rPr>
          <w:color w:val="1D9E75"/>
          <w:sz w:val="19"/>
        </w:rPr>
        <w:t>https://resend.com/docs</w:t>
      </w:r>
    </w:p>
    <w:p>
      <w:pPr>
        <w:pStyle w:val="ListBullet"/>
        <w:spacing w:after="40"/>
      </w:pPr>
      <w:r>
        <w:rPr>
          <w:b/>
          <w:color w:val="1A1917"/>
          <w:sz w:val="19"/>
        </w:rPr>
        <w:t xml:space="preserve">Rightmove — Company information: </w:t>
      </w:r>
      <w:r>
        <w:rPr>
          <w:color w:val="1D9E75"/>
          <w:sz w:val="19"/>
        </w:rPr>
        <w:t>https://www.rightmove.co.uk/</w:t>
      </w:r>
    </w:p>
    <w:p>
      <w:pPr>
        <w:pStyle w:val="ListBullet"/>
        <w:spacing w:after="40"/>
      </w:pPr>
      <w:r>
        <w:rPr>
          <w:b/>
          <w:color w:val="1A1917"/>
          <w:sz w:val="19"/>
        </w:rPr>
        <w:t xml:space="preserve">Zoopla — Company information: </w:t>
      </w:r>
      <w:r>
        <w:rPr>
          <w:color w:val="1D9E75"/>
          <w:sz w:val="19"/>
        </w:rPr>
        <w:t>https://www.zoopla.co.uk/</w:t>
      </w:r>
    </w:p>
    <w:p>
      <w:pPr>
        <w:pStyle w:val="ListBullet"/>
        <w:spacing w:after="40"/>
      </w:pPr>
      <w:r>
        <w:rPr>
          <w:b/>
          <w:color w:val="1A1917"/>
          <w:sz w:val="19"/>
        </w:rPr>
        <w:t xml:space="preserve">HomeCheck — property report service: </w:t>
      </w:r>
      <w:r>
        <w:rPr>
          <w:color w:val="1D9E75"/>
          <w:sz w:val="19"/>
        </w:rPr>
        <w:t>https://www.homecheck.co.uk/</w:t>
      </w:r>
    </w:p>
    <w:p>
      <w:pPr>
        <w:pStyle w:val="ListBullet"/>
        <w:spacing w:after="40"/>
      </w:pPr>
      <w:r>
        <w:rPr>
          <w:b/>
          <w:color w:val="1A1917"/>
          <w:sz w:val="19"/>
        </w:rPr>
        <w:t xml:space="preserve">Project Gigabit — GOV.UK: </w:t>
      </w:r>
      <w:r>
        <w:rPr>
          <w:color w:val="1D9E75"/>
          <w:sz w:val="19"/>
        </w:rPr>
        <w:t>https://www.gov.uk/guidance/project-gigabit-uk-gigabit-programme</w:t>
      </w:r>
    </w:p>
    <w:p>
      <w:pPr>
        <w:pStyle w:val="ListBullet"/>
        <w:spacing w:after="40"/>
      </w:pPr>
      <w:r>
        <w:rPr>
          <w:b/>
          <w:color w:val="1A1917"/>
          <w:sz w:val="19"/>
        </w:rPr>
        <w:t xml:space="preserve">Gas Safe Register — engineer lookup: </w:t>
      </w:r>
      <w:r>
        <w:rPr>
          <w:color w:val="1D9E75"/>
          <w:sz w:val="19"/>
        </w:rPr>
        <w:t>https://www.gassaferegister.co.uk/</w:t>
      </w:r>
    </w:p>
    <w:p>
      <w:pPr>
        <w:pStyle w:val="ListBullet"/>
        <w:spacing w:after="40"/>
      </w:pPr>
      <w:r>
        <w:rPr>
          <w:b/>
          <w:color w:val="1A1917"/>
          <w:sz w:val="19"/>
        </w:rPr>
        <w:t xml:space="preserve">NICEIC — registered electrician lookup: </w:t>
      </w:r>
      <w:r>
        <w:rPr>
          <w:color w:val="1D9E75"/>
          <w:sz w:val="19"/>
        </w:rPr>
        <w:t>https://www.niceic.com/find-a-contractor</w:t>
      </w:r>
    </w:p>
    <w:p/>
    <w:p>
      <w:pPr>
        <w:jc w:val="center"/>
      </w:pPr>
      <w:r>
        <w:rPr>
          <w:i/>
          <w:color w:val="9E998F"/>
          <w:sz w:val="22"/>
        </w:rPr>
        <w:t>— End of PropPilot Business Plan —</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91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91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91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