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내부 감사 체크리스트</w:t>
      </w:r>
    </w:p>
    <w:p>
      <w:pPr>
        <w:pStyle w:val="Heading2"/>
      </w:pPr>
      <w:r>
        <w:t>1. 현금 및 예금</w:t>
      </w:r>
    </w:p>
    <w:p>
      <w:r>
        <w:t>- 은행 잔액증명서와 장부 잔액 일치 여부</w:t>
        <w:br/>
        <w:t>- 현금 실사 결과</w:t>
        <w:br/>
        <w:t>- 미기재 거래 유무</w:t>
        <w:br/>
        <w:t>- 은행 조정 항목의 적정성</w:t>
      </w:r>
    </w:p>
    <w:p>
      <w:pPr>
        <w:pStyle w:val="Heading2"/>
      </w:pPr>
      <w:r>
        <w:t>2. 매출채권</w:t>
      </w:r>
    </w:p>
    <w:p>
      <w:r>
        <w:t>- 거래처별 잔액 확인서 발송 및 회수</w:t>
        <w:br/>
        <w:t>- 대손충당금 설정의 적정성</w:t>
        <w:br/>
        <w:t>- 장기 미회수 채권 관리 현황</w:t>
        <w:br/>
        <w:t>- 채권 회수 기간 분석</w:t>
      </w:r>
    </w:p>
    <w:p>
      <w:pPr>
        <w:pStyle w:val="Heading2"/>
      </w:pPr>
      <w:r>
        <w:t>3. 재고자산</w:t>
      </w:r>
    </w:p>
    <w:p>
      <w:r>
        <w:t>- 실지재고 조사 실시 여부</w:t>
        <w:br/>
        <w:t>- 장부 수량과 실사 수량 차이</w:t>
        <w:br/>
        <w:t>- 재고자산 평가 방법 일관성</w:t>
        <w:br/>
        <w:t>- 진부화(불용) 재고 처리</w:t>
      </w:r>
    </w:p>
    <w:p>
      <w:pPr>
        <w:pStyle w:val="Heading2"/>
      </w:pPr>
      <w:r>
        <w:t>4. 매입채무 및 비용</w:t>
      </w:r>
    </w:p>
    <w:p>
      <w:r>
        <w:t>- 미지급 비용 계상의 완전성</w:t>
        <w:br/>
        <w:t>- 거래처 잔액 확인</w:t>
        <w:br/>
        <w:t>- 비용 귀속 기간의 적정성</w:t>
      </w:r>
    </w:p>
    <w:p>
      <w:pPr>
        <w:pStyle w:val="Heading2"/>
      </w:pPr>
      <w:r>
        <w:t>5. 세무</w:t>
      </w:r>
    </w:p>
    <w:p>
      <w:r>
        <w:t>- 부가세 신고 적시성</w:t>
        <w:br/>
        <w:t>- 원천세 신고·납부 확인</w:t>
        <w:br/>
        <w:t>- 법인세 중간예납 확인</w:t>
        <w:br/>
        <w:t>- 세금계산서 수취·보관 현황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