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565C0"/>
          <w:sz w:val="56"/>
        </w:rPr>
        <w:t>DATA ENGINEERING</w:t>
        <w:br/>
        <w:t>Projet de Fin de Module</w:t>
      </w:r>
    </w:p>
    <w:p/>
    <w:p>
      <w:pPr>
        <w:jc w:val="center"/>
      </w:pPr>
      <w:r>
        <w:rPr>
          <w:color w:val="646464"/>
          <w:sz w:val="32"/>
        </w:rPr>
        <w:t>Analyse des flux Mobile Money en Côte d'Ivoire</w:t>
        <w:br/>
        <w:t>Pipeline ETL &amp; Schéma en étoile</w:t>
      </w:r>
    </w:p>
    <w:p/>
    <w:p/>
    <w:p>
      <w:pPr>
        <w:jc w:val="center"/>
      </w:pPr>
      <w:r>
        <w:rPr>
          <w:sz w:val="24"/>
        </w:rPr>
        <w:t>Binôme : [Nom Prénom 1] &amp; [Nom Prénom 2]</w:t>
      </w:r>
    </w:p>
    <w:p>
      <w:pPr>
        <w:jc w:val="center"/>
      </w:pPr>
      <w:r>
        <w:rPr>
          <w:sz w:val="24"/>
        </w:rPr>
        <w:t>Numéros étudiants : [XXXXXX] &amp; [XXXXXX]</w:t>
      </w:r>
    </w:p>
    <w:p>
      <w:pPr>
        <w:jc w:val="center"/>
      </w:pPr>
      <w:r>
        <w:rPr>
          <w:sz w:val="24"/>
        </w:rPr>
        <w:t>Enseignant : GOUAH Tato Serge</w:t>
      </w:r>
    </w:p>
    <w:p>
      <w:pPr>
        <w:jc w:val="center"/>
      </w:pPr>
      <w:r>
        <w:rPr>
          <w:sz w:val="24"/>
        </w:rPr>
        <w:t>Date : Juin 2025</w:t>
      </w:r>
    </w:p>
    <w:p>
      <w:pPr>
        <w:jc w:val="center"/>
      </w:pPr>
      <w:r>
        <w:rPr>
          <w:sz w:val="24"/>
        </w:rPr>
        <w:t>GitHub : https://github.com/notre-projet/mobile-money-ci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La Côte d'Ivoire est l'un des marchés africains les plus dynamiques en matière de Mobile Money. Avec 4 opérateurs majeurs (MTN CI, Orange Money, Moov Africa, Wave) et plus de 20 millions d'utilisateurs, le secteur génère des millions de transactions chaque jour.</w:t>
      </w:r>
    </w:p>
    <w:p>
      <w:r>
        <w:t>Ce projet de fin de module nous place dans la peau d'un Data Engineer missionné par un agrégateur de paiements basé à Abidjan. Notre objectif : construire un pipeline de données complet, de la source brute jusqu'au tableau de bord analytique, en passant par une base de données cloud, l'orchestration et la documentation professionnelle.</w:t>
      </w:r>
    </w:p>
    <w:p>
      <w:r>
        <w:t>Problématique métier : comment transformer 100 000 transactions Mobile Money brutes en indicateurs actionnables pour la direction (parts de marché, tendances, performance des opérateurs) ?</w:t>
      </w:r>
    </w:p>
    <w:p>
      <w:pPr>
        <w:pStyle w:val="Heading2"/>
      </w:pPr>
      <w:r>
        <w:t>1.1 Objectifs du projet</w:t>
      </w:r>
    </w:p>
    <w:p>
      <w:pPr>
        <w:pStyle w:val="ListBullet"/>
      </w:pPr>
      <w:r>
        <w:t>Construire un pipeline ETL complet (Extract, Transform, Load) avec Python/Pandas</w:t>
      </w:r>
    </w:p>
    <w:p>
      <w:pPr>
        <w:pStyle w:val="ListBullet"/>
      </w:pPr>
      <w:r>
        <w:t>Mettre en place un schéma en étoile analytique dans Supabase PostgreSQL</w:t>
      </w:r>
    </w:p>
    <w:p>
      <w:pPr>
        <w:pStyle w:val="ListBullet"/>
      </w:pPr>
      <w:r>
        <w:t>Produire des requêtes SQL analytiques avec fonctions de fenêtre</w:t>
      </w:r>
    </w:p>
    <w:p>
      <w:pPr>
        <w:pStyle w:val="ListBullet"/>
      </w:pPr>
      <w:r>
        <w:t>Créer un tableau de bord de 5 graphiques pour la direction</w:t>
      </w:r>
    </w:p>
    <w:p>
      <w:pPr>
        <w:pStyle w:val="ListBullet"/>
      </w:pPr>
      <w:r>
        <w:t>Containeriser l'ensemble avec Docker et orchestrer avec Airflow</w:t>
      </w:r>
    </w:p>
    <w:p>
      <w:pPr>
        <w:pStyle w:val="Heading1"/>
      </w:pPr>
      <w:r>
        <w:t>2. Architecture du pipeline</w:t>
      </w:r>
    </w:p>
    <w:p>
      <w:r>
        <w:t>Le pipeline suit l'architecture classique d'un projet Data Engineering moderne 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Fichier CSV (100 000 lignes, 12 colonnes)</w:t>
            </w:r>
          </w:p>
        </w:tc>
      </w:tr>
      <w:tr>
        <w:tc>
          <w:tcPr>
            <w:tcW w:type="dxa" w:w="4320"/>
          </w:tcPr>
          <w:p>
            <w:r>
              <w:t>Extract</w:t>
            </w:r>
          </w:p>
        </w:tc>
        <w:tc>
          <w:tcPr>
            <w:tcW w:type="dxa" w:w="4320"/>
          </w:tcPr>
          <w:p>
            <w:r>
              <w:t>Chargement avec Pandas, audit des types et valeurs manquantes</w:t>
            </w:r>
          </w:p>
        </w:tc>
      </w:tr>
      <w:tr>
        <w:tc>
          <w:tcPr>
            <w:tcW w:type="dxa" w:w="4320"/>
          </w:tcPr>
          <w:p>
            <w:r>
              <w:t>Transform</w:t>
            </w:r>
          </w:p>
        </w:tc>
        <w:tc>
          <w:tcPr>
            <w:tcW w:type="dxa" w:w="4320"/>
          </w:tcPr>
          <w:p>
            <w:r>
              <w:t>Nettoyage (NaN, aberrations), enrichissement (+8 colonnes), tests qualité</w:t>
            </w:r>
          </w:p>
        </w:tc>
      </w:tr>
      <w:tr>
        <w:tc>
          <w:tcPr>
            <w:tcW w:type="dxa" w:w="4320"/>
          </w:tcPr>
          <w:p>
            <w:r>
              <w:t>Load</w:t>
            </w:r>
          </w:p>
        </w:tc>
        <w:tc>
          <w:tcPr>
            <w:tcW w:type="dxa" w:w="4320"/>
          </w:tcPr>
          <w:p>
            <w:r>
              <w:t>Chargement dans Supabase PostgreSQL par lots de 5 000 lignes</w:t>
            </w:r>
          </w:p>
        </w:tc>
      </w:tr>
      <w:tr>
        <w:tc>
          <w:tcPr>
            <w:tcW w:type="dxa" w:w="4320"/>
          </w:tcPr>
          <w:p>
            <w:r>
              <w:t>Modélisation</w:t>
            </w:r>
          </w:p>
        </w:tc>
        <w:tc>
          <w:tcPr>
            <w:tcW w:type="dxa" w:w="4320"/>
          </w:tcPr>
          <w:p>
            <w:r>
              <w:t>Schéma en étoile : 4 dimensions + 1 table de faits</w:t>
            </w:r>
          </w:p>
        </w:tc>
      </w:tr>
      <w:tr>
        <w:tc>
          <w:tcPr>
            <w:tcW w:type="dxa" w:w="4320"/>
          </w:tcPr>
          <w:p>
            <w:r>
              <w:t>Analyse</w:t>
            </w:r>
          </w:p>
        </w:tc>
        <w:tc>
          <w:tcPr>
            <w:tcW w:type="dxa" w:w="4320"/>
          </w:tcPr>
          <w:p>
            <w:r>
              <w:t>Requêtes SQL avec JOIN, CTE, fonctions de fenêtre</w:t>
            </w:r>
          </w:p>
        </w:tc>
      </w:tr>
      <w:tr>
        <w:tc>
          <w:tcPr>
            <w:tcW w:type="dxa" w:w="4320"/>
          </w:tcPr>
          <w:p>
            <w:r>
              <w:t>Visualisation</w:t>
            </w:r>
          </w:p>
        </w:tc>
        <w:tc>
          <w:tcPr>
            <w:tcW w:type="dxa" w:w="4320"/>
          </w:tcPr>
          <w:p>
            <w:r>
              <w:t>Dashboard 5 graphiques avec Matplotlib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DAG Apache Airflow pour automatisation quotidienne</w:t>
            </w:r>
          </w:p>
        </w:tc>
      </w:tr>
      <w:tr>
        <w:tc>
          <w:tcPr>
            <w:tcW w:type="dxa" w:w="4320"/>
          </w:tcPr>
          <w:p>
            <w:r>
              <w:t>Conteneurisation</w:t>
            </w:r>
          </w:p>
        </w:tc>
        <w:tc>
          <w:tcPr>
            <w:tcW w:type="dxa" w:w="4320"/>
          </w:tcPr>
          <w:p>
            <w:r>
              <w:t>Docker + docker-compose pour reproductibilité</w:t>
            </w:r>
          </w:p>
        </w:tc>
      </w:tr>
    </w:tbl>
    <w:p/>
    <w:p>
      <w:r>
        <w:t>Le pipeline est conçu pour s'exécuter automatiquement chaque nuit à 23h00 via Airflow, avec 3 tentatives en cas d'échec et des alertes email configurées.</w:t>
      </w:r>
    </w:p>
    <w:p>
      <w:pPr>
        <w:pStyle w:val="Heading1"/>
      </w:pPr>
      <w:r>
        <w:t>3. Sources de données</w:t>
      </w:r>
    </w:p>
    <w:p>
      <w:pPr>
        <w:pStyle w:val="Heading2"/>
      </w:pPr>
      <w:r>
        <w:t>3.1 Description du dataset</w:t>
      </w:r>
    </w:p>
    <w:p>
      <w:r>
        <w:t>Le dataset fourni contient 100 000 transactions Mobile Money sur 6 mois (janvier à juin 2024). Chaque transaction est décrite par 12 colonnes 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id_transaction</w:t>
            </w:r>
          </w:p>
        </w:tc>
        <w:tc>
          <w:tcPr>
            <w:tcW w:type="dxa" w:w="4320"/>
          </w:tcPr>
          <w:p>
            <w:r>
              <w:t>Identifiant unique de la transaction (MM0000001)</w:t>
            </w:r>
          </w:p>
        </w:tc>
      </w:tr>
      <w:tr>
        <w:tc>
          <w:tcPr>
            <w:tcW w:type="dxa" w:w="4320"/>
          </w:tcPr>
          <w:p>
            <w:r>
              <w:t>date_heure</w:t>
            </w:r>
          </w:p>
        </w:tc>
        <w:tc>
          <w:tcPr>
            <w:tcW w:type="dxa" w:w="4320"/>
          </w:tcPr>
          <w:p>
            <w:r>
              <w:t>Date et heure de la transaction (AAAA-MM-JJ HH:MM:SS)</w:t>
            </w:r>
          </w:p>
        </w:tc>
      </w:tr>
      <w:tr>
        <w:tc>
          <w:tcPr>
            <w:tcW w:type="dxa" w:w="4320"/>
          </w:tcPr>
          <w:p>
            <w:r>
              <w:t>operateur</w:t>
            </w:r>
          </w:p>
        </w:tc>
        <w:tc>
          <w:tcPr>
            <w:tcW w:type="dxa" w:w="4320"/>
          </w:tcPr>
          <w:p>
            <w:r>
              <w:t>Opérateur (MTN CI, Orange Money, Moov Africa, Wave)</w:t>
            </w:r>
          </w:p>
        </w:tc>
      </w:tr>
      <w:tr>
        <w:tc>
          <w:tcPr>
            <w:tcW w:type="dxa" w:w="4320"/>
          </w:tcPr>
          <w:p>
            <w:r>
              <w:t>type_operation</w:t>
            </w:r>
          </w:p>
        </w:tc>
        <w:tc>
          <w:tcPr>
            <w:tcW w:type="dxa" w:w="4320"/>
          </w:tcPr>
          <w:p>
            <w:r>
              <w:t>Type (Dépôt, Retrait, Transfert, Paiement marchand, Recharge téléphone)</w:t>
            </w:r>
          </w:p>
        </w:tc>
      </w:tr>
      <w:tr>
        <w:tc>
          <w:tcPr>
            <w:tcW w:type="dxa" w:w="4320"/>
          </w:tcPr>
          <w:p>
            <w:r>
              <w:t>expediteur</w:t>
            </w:r>
          </w:p>
        </w:tc>
        <w:tc>
          <w:tcPr>
            <w:tcW w:type="dxa" w:w="4320"/>
          </w:tcPr>
          <w:p>
            <w:r>
              <w:t>Numéro de l'émetteur</w:t>
            </w:r>
          </w:p>
        </w:tc>
      </w:tr>
      <w:tr>
        <w:tc>
          <w:tcPr>
            <w:tcW w:type="dxa" w:w="4320"/>
          </w:tcPr>
          <w:p>
            <w:r>
              <w:t>beneficiaire</w:t>
            </w:r>
          </w:p>
        </w:tc>
        <w:tc>
          <w:tcPr>
            <w:tcW w:type="dxa" w:w="4320"/>
          </w:tcPr>
          <w:p>
            <w:r>
              <w:t>Numéro du bénéficiaire</w:t>
            </w:r>
          </w:p>
        </w:tc>
      </w:tr>
      <w:tr>
        <w:tc>
          <w:tcPr>
            <w:tcW w:type="dxa" w:w="4320"/>
          </w:tcPr>
          <w:p>
            <w:r>
              <w:t>montant_fcfa</w:t>
            </w:r>
          </w:p>
        </w:tc>
        <w:tc>
          <w:tcPr>
            <w:tcW w:type="dxa" w:w="4320"/>
          </w:tcPr>
          <w:p>
            <w:r>
              <w:t>Montant en FCFA</w:t>
            </w:r>
          </w:p>
        </w:tc>
      </w:tr>
      <w:tr>
        <w:tc>
          <w:tcPr>
            <w:tcW w:type="dxa" w:w="4320"/>
          </w:tcPr>
          <w:p>
            <w:r>
              <w:t>frais_fcfa</w:t>
            </w:r>
          </w:p>
        </w:tc>
        <w:tc>
          <w:tcPr>
            <w:tcW w:type="dxa" w:w="4320"/>
          </w:tcPr>
          <w:p>
            <w:r>
              <w:t>Frais appliqués</w:t>
            </w:r>
          </w:p>
        </w:tc>
      </w:tr>
      <w:tr>
        <w:tc>
          <w:tcPr>
            <w:tcW w:type="dxa" w:w="4320"/>
          </w:tcPr>
          <w:p>
            <w:r>
              <w:t>zone_expediteur</w:t>
            </w:r>
          </w:p>
        </w:tc>
        <w:tc>
          <w:tcPr>
            <w:tcW w:type="dxa" w:w="4320"/>
          </w:tcPr>
          <w:p>
            <w:r>
              <w:t>Zone géographique de l'émetteur</w:t>
            </w:r>
          </w:p>
        </w:tc>
      </w:tr>
      <w:tr>
        <w:tc>
          <w:tcPr>
            <w:tcW w:type="dxa" w:w="4320"/>
          </w:tcPr>
          <w:p>
            <w:r>
              <w:t>zone_beneficiaire</w:t>
            </w:r>
          </w:p>
        </w:tc>
        <w:tc>
          <w:tcPr>
            <w:tcW w:type="dxa" w:w="4320"/>
          </w:tcPr>
          <w:p>
            <w:r>
              <w:t>Zone du bénéficiaire</w:t>
            </w:r>
          </w:p>
        </w:tc>
      </w:tr>
      <w:tr>
        <w:tc>
          <w:tcPr>
            <w:tcW w:type="dxa" w:w="4320"/>
          </w:tcPr>
          <w:p>
            <w:r>
              <w:t>id_agent</w:t>
            </w:r>
          </w:p>
        </w:tc>
        <w:tc>
          <w:tcPr>
            <w:tcW w:type="dxa" w:w="4320"/>
          </w:tcPr>
          <w:p>
            <w:r>
              <w:t>Identifiant de l'agent</w:t>
            </w:r>
          </w:p>
        </w:tc>
      </w:tr>
      <w:tr>
        <w:tc>
          <w:tcPr>
            <w:tcW w:type="dxa" w:w="4320"/>
          </w:tcPr>
          <w:p>
            <w:r>
              <w:t>statut</w:t>
            </w:r>
          </w:p>
        </w:tc>
        <w:tc>
          <w:tcPr>
            <w:tcW w:type="dxa" w:w="4320"/>
          </w:tcPr>
          <w:p>
            <w:r>
              <w:t>Statut (Succès, Échec, En attente)</w:t>
            </w:r>
          </w:p>
        </w:tc>
      </w:tr>
    </w:tbl>
    <w:p>
      <w:pPr>
        <w:pStyle w:val="Heading2"/>
      </w:pPr>
      <w:r>
        <w:t>3.2 Audit initial</w:t>
      </w:r>
    </w:p>
    <w:p>
      <w:r>
        <w:t>L'audit initial a révélé les problèmes suivants :</w:t>
        <w:br/>
        <w:t>• 2 000 valeurs manquantes sur frais_fcfa (2%)</w:t>
        <w:br/>
        <w:t>• 4 000 valeurs manquantes sur zone_beneficiaire (4%)</w:t>
        <w:br/>
        <w:t>• 3 000 valeurs manquantes sur id_agent (3%)</w:t>
        <w:br/>
        <w:t>• 200 montants aberrants (&lt;= 0 FCFA)</w:t>
        <w:br/>
        <w:t>• Type date_heure incorrect (str au lieu de datetime)</w:t>
      </w:r>
    </w:p>
    <w:p>
      <w:pPr>
        <w:pStyle w:val="Heading1"/>
      </w:pPr>
      <w:r>
        <w:t>4. ETL — Extraction</w:t>
      </w:r>
    </w:p>
    <w:p>
      <w:r>
        <w:t>L'extraction est réalisée avec pandas.read_csv(). Le fichier de 13.2 Mo est chargé en mémoire en 0.33 seconde. Les données sont ensuite auditées : types, valeurs manquantes, statistiques descriptives.</w:t>
      </w:r>
    </w:p>
    <w:p>
      <w:r>
        <w:t>Code clé : df_raw = pd.read_csv('transactions_mobile_money_100k.csv', encoding='utf-8')</w:t>
      </w:r>
    </w:p>
    <w:p>
      <w:pPr>
        <w:pStyle w:val="Heading1"/>
      </w:pPr>
      <w:r>
        <w:t>5. ETL — Transformation</w:t>
      </w:r>
    </w:p>
    <w:p>
      <w:pPr>
        <w:pStyle w:val="Heading2"/>
      </w:pPr>
      <w:r>
        <w:t>5.1 Nettoyage</w:t>
      </w:r>
    </w:p>
    <w:p>
      <w:r>
        <w:t>Les opérations de nettoyage appliquées :</w:t>
        <w:br/>
        <w:t>• Correction du type date_heure → datetime64</w:t>
        <w:br/>
        <w:t>• Uniformisation des chaînes vides en NaN</w:t>
        <w:br/>
        <w:t>• Imputation des frais manquants par 0 (recharges sans frais)</w:t>
        <w:br/>
        <w:t>• Imputation des zones manquantes par 'Zone inconnue'</w:t>
        <w:br/>
        <w:t>• Imputation des agents manquants par 'AGT-INCONNU'</w:t>
        <w:br/>
        <w:t>• Suppression des 200 lignes avec montant &lt;= 0 FCFA</w:t>
      </w:r>
    </w:p>
    <w:p>
      <w:pPr>
        <w:pStyle w:val="Heading2"/>
      </w:pPr>
      <w:r>
        <w:t>5.2 Enrichissement</w:t>
      </w:r>
    </w:p>
    <w:p>
      <w:r>
        <w:t>8 colonnes calculées ont été ajoutées pour enrichir l'analyse 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montant_net_fcfa</w:t>
            </w:r>
          </w:p>
        </w:tc>
        <w:tc>
          <w:tcPr>
            <w:tcW w:type="dxa" w:w="4320"/>
          </w:tcPr>
          <w:p>
            <w:r>
              <w:t>Montant reçu par le bénéficiaire après déduction des frais</w:t>
            </w:r>
          </w:p>
        </w:tc>
      </w:tr>
      <w:tr>
        <w:tc>
          <w:tcPr>
            <w:tcW w:type="dxa" w:w="4320"/>
          </w:tcPr>
          <w:p>
            <w:r>
              <w:t>taux_frais_pct</w:t>
            </w:r>
          </w:p>
        </w:tc>
        <w:tc>
          <w:tcPr>
            <w:tcW w:type="dxa" w:w="4320"/>
          </w:tcPr>
          <w:p>
            <w:r>
              <w:t>Taux de frais en pourcentage du montant</w:t>
            </w:r>
          </w:p>
        </w:tc>
      </w:tr>
      <w:tr>
        <w:tc>
          <w:tcPr>
            <w:tcW w:type="dxa" w:w="4320"/>
          </w:tcPr>
          <w:p>
            <w:r>
              <w:t>categorie_montant</w:t>
            </w:r>
          </w:p>
        </w:tc>
        <w:tc>
          <w:tcPr>
            <w:tcW w:type="dxa" w:w="4320"/>
          </w:tcPr>
          <w:p>
            <w:r>
              <w:t>Tranche : Micro, Petit, Moyen, Gros</w:t>
            </w:r>
          </w:p>
        </w:tc>
      </w:tr>
      <w:tr>
        <w:tc>
          <w:tcPr>
            <w:tcW w:type="dxa" w:w="4320"/>
          </w:tcPr>
          <w:p>
            <w:r>
              <w:t>tranche_horaire</w:t>
            </w:r>
          </w:p>
        </w:tc>
        <w:tc>
          <w:tcPr>
            <w:tcW w:type="dxa" w:w="4320"/>
          </w:tcPr>
          <w:p>
            <w:r>
              <w:t>Période de la journée (Matin, Soirée, Nuit...)</w:t>
            </w:r>
          </w:p>
        </w:tc>
      </w:tr>
      <w:tr>
        <w:tc>
          <w:tcPr>
            <w:tcW w:type="dxa" w:w="4320"/>
          </w:tcPr>
          <w:p>
            <w:r>
              <w:t>inter_ville</w:t>
            </w:r>
          </w:p>
        </w:tc>
        <w:tc>
          <w:tcPr>
            <w:tcW w:type="dxa" w:w="4320"/>
          </w:tcPr>
          <w:p>
            <w:r>
              <w:t>1 si expéditeur et bénéficiaire sont dans des villes différentes</w:t>
            </w:r>
          </w:p>
        </w:tc>
      </w:tr>
      <w:tr>
        <w:tc>
          <w:tcPr>
            <w:tcW w:type="dxa" w:w="4320"/>
          </w:tcPr>
          <w:p>
            <w:r>
              <w:t>heure</w:t>
            </w:r>
          </w:p>
        </w:tc>
        <w:tc>
          <w:tcPr>
            <w:tcW w:type="dxa" w:w="4320"/>
          </w:tcPr>
          <w:p>
            <w:r>
              <w:t>Heure extraite de date_heure (0-23)</w:t>
            </w:r>
          </w:p>
        </w:tc>
      </w:tr>
      <w:tr>
        <w:tc>
          <w:tcPr>
            <w:tcW w:type="dxa" w:w="4320"/>
          </w:tcPr>
          <w:p>
            <w:r>
              <w:t>jour_semaine</w:t>
            </w:r>
          </w:p>
        </w:tc>
        <w:tc>
          <w:tcPr>
            <w:tcW w:type="dxa" w:w="4320"/>
          </w:tcPr>
          <w:p>
            <w:r>
              <w:t>Nom du jour en anglais</w:t>
            </w:r>
          </w:p>
        </w:tc>
      </w:tr>
      <w:tr>
        <w:tc>
          <w:tcPr>
            <w:tcW w:type="dxa" w:w="4320"/>
          </w:tcPr>
          <w:p>
            <w:r>
              <w:t>mois</w:t>
            </w:r>
          </w:p>
        </w:tc>
        <w:tc>
          <w:tcPr>
            <w:tcW w:type="dxa" w:w="4320"/>
          </w:tcPr>
          <w:p>
            <w:r>
              <w:t>Année-mois au format AAAA-MM</w:t>
            </w:r>
          </w:p>
        </w:tc>
      </w:tr>
    </w:tbl>
    <w:p>
      <w:pPr>
        <w:pStyle w:val="Heading2"/>
      </w:pPr>
      <w:r>
        <w:t>5.3 Tests de qualité</w:t>
      </w:r>
    </w:p>
    <w:p>
      <w:r>
        <w:t>5 règles de validation sont appliquées automatiquement :</w:t>
        <w:br/>
        <w:t>• Complétude : aucune valeur manquante sur les colonnes critiques</w:t>
        <w:br/>
        <w:t>• Unicité : aucun doublon sur id_transaction</w:t>
        <w:br/>
        <w:t>• Validité : montants strictement positifs (&gt; 0 FCFA)</w:t>
        <w:br/>
        <w:t>• Conformité : statuts dans l'ensemble autorisé (Succès, Échec, En attente)</w:t>
        <w:br/>
        <w:t>• Typage : date_heure correctement convertie en datetime</w:t>
      </w:r>
    </w:p>
    <w:p>
      <w:pPr>
        <w:pStyle w:val="Heading1"/>
      </w:pPr>
      <w:r>
        <w:t>6. ETL — Chargement Supabase</w:t>
      </w:r>
    </w:p>
    <w:p>
      <w:r>
        <w:t>Supabase est une plateforme open-source fournissant une base PostgreSQL cloud gratuite (sans carte bancaire requise). Elle est idéale pour les projets data en Afrique.</w:t>
      </w:r>
    </w:p>
    <w:p>
      <w:r>
        <w:t>Le chargement s'effectue par lots (chunks) de 5 000 lignes via SQLAlchemy, avec la méthode 'multi' pour des insertions groupées plus rapides.</w:t>
        <w:br/>
        <w:br/>
        <w:t>Résultat : 99 800 lignes chargées dans la table 'transactions'.</w:t>
        <w:br/>
        <w:t>Tables d'agrégation créées : agg_operateur, agg_type_operation, agg_zone.</w:t>
      </w:r>
    </w:p>
    <w:p>
      <w:pPr>
        <w:pStyle w:val="Heading1"/>
      </w:pPr>
      <w:r>
        <w:t>7. Modélisation — Schéma en étoile</w:t>
      </w:r>
    </w:p>
    <w:p>
      <w:r>
        <w:t>Le schéma en étoile est conçu pour optimiser les requêtes analytiques. Il comprend 4 tables de dimensions et 1 table de faits :</w:t>
      </w:r>
    </w:p>
    <w:p>
      <w:pPr>
        <w:pStyle w:val="Heading2"/>
      </w:pPr>
      <w:r>
        <w:t>Tables de dimensions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dim_operateur</w:t>
            </w:r>
          </w:p>
        </w:tc>
        <w:tc>
          <w:tcPr>
            <w:tcW w:type="dxa" w:w="4320"/>
          </w:tcPr>
          <w:p>
            <w:r>
              <w:t>4 opérateurs avec type (Télécoms, Fintech)</w:t>
            </w:r>
          </w:p>
        </w:tc>
      </w:tr>
      <w:tr>
        <w:tc>
          <w:tcPr>
            <w:tcW w:type="dxa" w:w="4320"/>
          </w:tcPr>
          <w:p>
            <w:r>
              <w:t>dim_zone</w:t>
            </w:r>
          </w:p>
        </w:tc>
        <w:tc>
          <w:tcPr>
            <w:tcW w:type="dxa" w:w="4320"/>
          </w:tcPr>
          <w:p>
            <w:r>
              <w:t>11 zones avec région, type, population</w:t>
            </w:r>
          </w:p>
        </w:tc>
      </w:tr>
      <w:tr>
        <w:tc>
          <w:tcPr>
            <w:tcW w:type="dxa" w:w="4320"/>
          </w:tcPr>
          <w:p>
            <w:r>
              <w:t>dim_type_operation</w:t>
            </w:r>
          </w:p>
        </w:tc>
        <w:tc>
          <w:tcPr>
            <w:tcW w:type="dxa" w:w="4320"/>
          </w:tcPr>
          <w:p>
            <w:r>
              <w:t>5 types avec catégorie (Entrée/Sortie de fonds)</w:t>
            </w:r>
          </w:p>
        </w:tc>
      </w:tr>
      <w:tr>
        <w:tc>
          <w:tcPr>
            <w:tcW w:type="dxa" w:w="4320"/>
          </w:tcPr>
          <w:p>
            <w:r>
              <w:t>dim_date</w:t>
            </w:r>
          </w:p>
        </w:tc>
        <w:tc>
          <w:tcPr>
            <w:tcW w:type="dxa" w:w="4320"/>
          </w:tcPr>
          <w:p>
            <w:r>
              <w:t>182 jours (jan-juin 2024) avec année, mois, trimestre, jour, weekend</w:t>
            </w:r>
          </w:p>
        </w:tc>
      </w:tr>
    </w:tbl>
    <w:p/>
    <w:p>
      <w:r>
        <w:t>Table de faits : faits_transactions — 99 800 lignes avec clés étrangères pointant vers les 4 dimensions, plus les mesures (montant, frais, statut...).</w:t>
      </w:r>
    </w:p>
    <w:p>
      <w:r>
        <w:t>L'ordre de peuplement est crucial : les dimensions doivent être chargées AVANT la table de faits, car les clés étrangères (foreign keys) référencent les IDs des dimensions.</w:t>
      </w:r>
    </w:p>
    <w:p>
      <w:pPr>
        <w:pStyle w:val="Heading1"/>
      </w:pPr>
      <w:r>
        <w:t>8. Analyses SQL</w:t>
      </w:r>
    </w:p>
    <w:p>
      <w:r>
        <w:t>4 requêtes analytiques ont été écrites et exécutées sur Supabase :</w:t>
      </w:r>
    </w:p>
    <w:p>
      <w:pPr>
        <w:pStyle w:val="Heading2"/>
      </w:pPr>
      <w:r>
        <w:t>Requête 1 : Volume par opérateur</w:t>
      </w:r>
    </w:p>
    <w:p>
      <w:r>
        <w:t>Résultat : Les 4 opérateurs se partagent équitablement le marché (~25% chacun). Wave est légèrement en tête avec 3.73 milliards FCFA sur 6 mois.</w:t>
      </w:r>
    </w:p>
    <w:p>
      <w:pPr>
        <w:pStyle w:val="Heading2"/>
      </w:pPr>
      <w:r>
        <w:t>Requête 2 : Tendances mensuelles</w:t>
      </w:r>
    </w:p>
    <w:p>
      <w:r>
        <w:t>Résultat : Volume stable autour de 3 milliards FCFA par mois. Léger pic en février, légère baisse en juin. Taux de succès constant (~80%) sur toute la période.</w:t>
      </w:r>
    </w:p>
    <w:p>
      <w:pPr>
        <w:pStyle w:val="Heading2"/>
      </w:pPr>
      <w:r>
        <w:t>Requête 3 : Jointure triple (zone × type × faits)</w:t>
      </w:r>
    </w:p>
    <w:p>
      <w:r>
        <w:t>Résultat : Les dépôts sont l'opération dominante dans tous les quartiers d'Abidjan. Abidjan-Adjamé et Abidjan-Yopougon sont les zones les plus actives.</w:t>
      </w:r>
    </w:p>
    <w:p>
      <w:pPr>
        <w:pStyle w:val="Heading2"/>
      </w:pPr>
      <w:r>
        <w:t>Requête 4 : CTE avec fonctions de fenêtre (RANK + LAG)</w:t>
      </w:r>
    </w:p>
    <w:p>
      <w:r>
        <w:t>Résultat : Classement mensuel des opérateurs avec variation par rapport au mois précédent. L'utilisation de LAG() permet de mesurer la croissance mensuelle de chaque opérateur.</w:t>
      </w:r>
    </w:p>
    <w:p>
      <w:pPr>
        <w:pStyle w:val="Heading1"/>
      </w:pPr>
      <w:r>
        <w:t>9. Tableau de bord</w:t>
      </w:r>
    </w:p>
    <w:p>
      <w:r>
        <w:t>Le tableau de bord contient 5 graphiques générés avec Matplotlib :</w:t>
      </w:r>
    </w:p>
    <w:p>
      <w:pPr>
        <w:pStyle w:val="ListBullet"/>
      </w:pPr>
      <w:r>
        <w:t>Volume mensuel par opérateur (barres empilées)</w:t>
      </w:r>
    </w:p>
    <w:p>
      <w:pPr>
        <w:pStyle w:val="ListBullet"/>
      </w:pPr>
      <w:r>
        <w:t>Parts de marché par volume (camembert)</w:t>
      </w:r>
    </w:p>
    <w:p>
      <w:pPr>
        <w:pStyle w:val="ListBullet"/>
      </w:pPr>
      <w:r>
        <w:t>Volume par tranche horaire (courbe avec zones colorées)</w:t>
      </w:r>
    </w:p>
    <w:p>
      <w:pPr>
        <w:pStyle w:val="ListBullet"/>
      </w:pPr>
      <w:r>
        <w:t>Taux de succès par opérateur (barres horizontales)</w:t>
      </w:r>
    </w:p>
    <w:p>
      <w:pPr>
        <w:pStyle w:val="ListBullet"/>
      </w:pPr>
      <w:r>
        <w:t>Distribution des montants par catégorie (violin plot, échelle log)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6779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bile_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9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: Tableau de bord Mobile Money CI — 5 graphiques</w:t>
      </w:r>
    </w:p>
    <w:p/>
    <w:p>
      <w:r>
        <w:t>Interprétation : le marché est équilibré entre les 4 opérateurs. Les pics d'activité se situent le matin (8h-9h) et en soirée (18h-20h). La majorité des transactions sont de petit montant (Micro &lt;= 5k FCFA).</w:t>
      </w:r>
    </w:p>
    <w:p>
      <w:pPr>
        <w:pStyle w:val="Heading1"/>
      </w:pPr>
      <w:r>
        <w:t>10. Orchestration — Apache Airflow</w:t>
      </w:r>
    </w:p>
    <w:p>
      <w:r>
        <w:t>Le DAG Airflow 'pipeline_mobile_money_ci' automatise l'exécution quotidienne du pipeline. Il se compose de 5 tâches enchaînées :</w:t>
      </w:r>
    </w:p>
    <w:p>
      <w:pPr>
        <w:pStyle w:val="ListBullet"/>
      </w:pPr>
      <w:r>
        <w:t>extract_csv : Extraction CSV → Parquet brut</w:t>
      </w:r>
    </w:p>
    <w:p>
      <w:pPr>
        <w:pStyle w:val="ListBullet"/>
      </w:pPr>
      <w:r>
        <w:t>clean_data : Nettoyage et enrichissement → Parquet propre</w:t>
      </w:r>
    </w:p>
    <w:p>
      <w:pPr>
        <w:pStyle w:val="ListBullet"/>
      </w:pPr>
      <w:r>
        <w:t>load_supabase : Chargement dans Supabase PostgreSQL</w:t>
      </w:r>
    </w:p>
    <w:p>
      <w:pPr>
        <w:pStyle w:val="ListBullet"/>
      </w:pPr>
      <w:r>
        <w:t>run_dbt : Exécution des modèles dbt (bonus)</w:t>
      </w:r>
    </w:p>
    <w:p>
      <w:pPr>
        <w:pStyle w:val="ListBullet"/>
      </w:pPr>
      <w:r>
        <w:t>generate_report : Génération du rapport JSON de synthèse</w:t>
      </w:r>
    </w:p>
    <w:p/>
    <w:p>
      <w:r>
        <w:t>Paramètres de résilience : 3 tentatives de reprise, délai de 5 minutes entre chaque essai, alerte email configurée en cas d'échec définitif. Le pipeline s'exécute automatiquement tous les jours à 23h00 (cron : 0 23 * * *).</w:t>
      </w:r>
    </w:p>
    <w:p>
      <w:pPr>
        <w:pStyle w:val="Heading2"/>
      </w:pPr>
      <w:r>
        <w:t>10.1 Conteneurisation Docker</w:t>
      </w:r>
    </w:p>
    <w:p>
      <w:r>
        <w:t>L'ensemble du pipeline est containerisé avec Docker :</w:t>
        <w:br/>
        <w:t>• Dockerfile basé sur python:3.10-slim (~130 Mo)</w:t>
        <w:br/>
        <w:t>• docker-compose.yml avec 3 services : postgres, airflow-webserver, airflow-scheduler</w:t>
        <w:br/>
        <w:t>• Volumes partagés pour les DAGs et les données</w:t>
        <w:br/>
        <w:t>• Variables d'environnement pour les secrets (SUPABASE_URL)</w:t>
      </w:r>
    </w:p>
    <w:p>
      <w:pPr>
        <w:pStyle w:val="Heading1"/>
      </w:pPr>
      <w:r>
        <w:t>11. Conclusion</w:t>
      </w:r>
    </w:p>
    <w:p>
      <w:r>
        <w:t>Ce projet nous a permis de mettre en pratique l'ensemble des compétences acquises durant le module Data Engineering :</w:t>
      </w:r>
    </w:p>
    <w:p>
      <w:pPr>
        <w:pStyle w:val="ListBullet"/>
      </w:pPr>
      <w:r>
        <w:t>Manipulation et nettoyage de données réelles avec Pandas (100k lignes)</w:t>
      </w:r>
    </w:p>
    <w:p>
      <w:pPr>
        <w:pStyle w:val="ListBullet"/>
      </w:pPr>
      <w:r>
        <w:t>Construction d'un pipeline ETL complet avec tests de qualité automatisés</w:t>
      </w:r>
    </w:p>
    <w:p>
      <w:pPr>
        <w:pStyle w:val="ListBullet"/>
      </w:pPr>
      <w:r>
        <w:t>Modélisation dimensionnelle (schéma en étoile) dans Supabase PostgreSQL</w:t>
      </w:r>
    </w:p>
    <w:p>
      <w:pPr>
        <w:pStyle w:val="ListBullet"/>
      </w:pPr>
      <w:r>
        <w:t>Requêtes SQL analytiques avancées (CTE, fonctions de fenêtre)</w:t>
      </w:r>
    </w:p>
    <w:p>
      <w:pPr>
        <w:pStyle w:val="ListBullet"/>
      </w:pPr>
      <w:r>
        <w:t>Visualisation des KPI avec Matplotlib</w:t>
      </w:r>
    </w:p>
    <w:p>
      <w:pPr>
        <w:pStyle w:val="ListBullet"/>
      </w:pPr>
      <w:r>
        <w:t>Orchestration avec Apache Airflow (DAG, retries, alertes)</w:t>
      </w:r>
    </w:p>
    <w:p>
      <w:pPr>
        <w:pStyle w:val="ListBullet"/>
      </w:pPr>
      <w:r>
        <w:t>Conteneurisation avec Docker et CI/CD avec GitHub Actions</w:t>
      </w:r>
    </w:p>
    <w:p>
      <w:pPr>
        <w:pStyle w:val="ListBullet"/>
      </w:pPr>
      <w:r>
        <w:t>Introduction à dbt pour la transformation déclarative</w:t>
      </w:r>
    </w:p>
    <w:p/>
    <w:p>
      <w:r>
        <w:t>Difficultés rencontrées : gestion des accents dans les statuts (Succès vs Succes), adaptation aux types datetime64 selon les versions de Pandas, optimisation du chargement par chunks dans Supabase (plan gratuit).</w:t>
      </w:r>
    </w:p>
    <w:p>
      <w:r>
        <w:t>Améliorations possibles : ajout du streaming pour la détection de fraude en temps réel, passage à un Data Lakehouse (Delta Lake), déploiement sur un cluster Kubernetes, intégration d'une API REST pour l'accès aux données en temps réel.</w:t>
      </w:r>
    </w:p>
    <w:p>
      <w:r>
        <w:t>Remerciements à notre enseignant GOUAH Tato Serge pour la qualité du cours et l'encadrement tout au long du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