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bottom w:val="single" w:sz="12" w:space="4" w:color="1F3A5F"/>
        </w:pBdr>
      </w:pPr>
      <w:r>
        <w:t>Informe de Pre Diagnóstico Empresarial</w:t>
      </w:r>
    </w:p>
    <w:p>
      <w:pPr>
        <w:jc w:val="center"/>
      </w:pPr>
      <w:r>
        <w:rPr>
          <w:i/>
          <w:color w:val="595956"/>
          <w:sz w:val="26"/>
        </w:rPr>
        <w:t>Identificación de factores de riesgo ergonómico por manejo manual de cargas, con base en la NOM-036-1-STPS-2018</w:t>
      </w:r>
    </w:p>
    <w:p/>
    <w:p>
      <w:pPr>
        <w:jc w:val="center"/>
      </w:pPr>
      <w:r>
        <w:rPr>
          <w:b/>
        </w:rPr>
        <w:t xml:space="preserve">Empresa evaluada: </w:t>
      </w:r>
      <w:r>
        <w:t>{{r empresa_nombre }}</w:t>
      </w:r>
    </w:p>
    <w:p>
      <w:pPr>
        <w:jc w:val="center"/>
      </w:pPr>
      <w:r>
        <w:rPr>
          <w:b/>
        </w:rPr>
        <w:t xml:space="preserve">Fecha de generación: </w:t>
      </w:r>
      <w:r>
        <w:t>{{ fecha_generacion }}</w:t>
      </w:r>
    </w:p>
    <w:p>
      <w:pPr>
        <w:jc w:val="center"/>
      </w:pPr>
      <w:r>
        <w:rPr>
          <w:i/>
          <w:color w:val="595956"/>
          <w:sz w:val="19"/>
        </w:rPr>
        <w:t>Documento confidencial. Su contenido está dirigido exclusivamente a la empresa evaluada y al equipo responsable de la validación de este instrumento.</w:t>
      </w:r>
    </w:p>
    <w:p>
      <w:r>
        <w:br w:type="page"/>
      </w:r>
    </w:p>
    <w:p>
      <w:pPr>
        <w:pStyle w:val="Heading1"/>
        <w:pBdr>
          <w:bottom w:val="single" w:sz="6" w:space="4" w:color="1F3A5F"/>
        </w:pBdr>
      </w:pPr>
      <w:r>
        <w:t>Introducción</w:t>
      </w:r>
    </w:p>
    <w:p>
      <w:pPr>
        <w:jc w:val="both"/>
      </w:pPr>
      <w:r>
        <w:t>La NOM-036-1-STPS-2018 establece los lineamientos para identificar, analizar, prevenir y controlar los factores de riesgo ergonómico derivados del manejo manual de cargas en los centros de trabajo. Su objetivo es minimizar la exposición de los trabajadores a la manipulación de cargas que puedan afectar su salud musculoesquelética.</w:t>
      </w:r>
    </w:p>
    <w:p>
      <w:pPr>
        <w:jc w:val="both"/>
      </w:pPr>
      <w:r>
        <w:t>La norma entró en vigor el 2 de enero de 2020, y desde el 4 de enero de 2023 son exigibles también el análisis de los factores de riesgo ergonómico y el programa de ergonomía. Aplica en todos los centros de trabajo donde existan trabajadores que realicen manejo manual de cargas de forma cotidiana (más de una vez al día), considerando como carga todo objeto con una masa de 3 kg o más.</w:t>
      </w:r>
    </w:p>
    <w:p>
      <w:pPr>
        <w:jc w:val="both"/>
      </w:pPr>
      <w:r>
        <w:t xml:space="preserve">Este documento presenta los resultados de un instrumento de autoevaluación para la identificación de factores de riesgo ergonómico por manejo manual de cargas, aplicado en la empresa </w:t>
      </w:r>
      <w:r>
        <w:t>{{r empresa_nombre }}</w:t>
      </w:r>
      <w:r>
        <w:t>, con base en los criterios establecidos por la NOM-036-1-STPS-2018.</w:t>
      </w:r>
    </w:p>
    <w:p>
      <w:r>
        <w:t>{% if es_revision %}</w:t>
      </w:r>
    </w:p>
    <w:p>
      <w:pPr>
        <w:pStyle w:val="Heading2"/>
      </w:pPr>
      <w:r>
        <w:t>Guía de colores de este documento</w:t>
      </w:r>
    </w:p>
    <w:p>
      <w:r>
        <w:t>Esta versión del informe, generada durante la etapa de validación piloto, resalta el texto según su origen dentro del motor de recomendaciones, para facilitar su revisión:</w:t>
      </w:r>
    </w:p>
    <w:p>
      <w:pPr>
        <w:pStyle w:val="ListBullet"/>
      </w:pPr>
      <w:r>
        <w:rPr>
          <w:b/>
          <w:shd w:val="clear" w:color="auto" w:fill="CFE2F3"/>
        </w:rPr>
        <w:t>Dato de la empresa</w:t>
      </w:r>
      <w:r>
        <w:t>: Texto ingresado directamente por la empresa en la autoevaluación (datos generales).</w:t>
      </w:r>
    </w:p>
    <w:p>
      <w:pPr>
        <w:pStyle w:val="ListBullet"/>
      </w:pPr>
      <w:r>
        <w:rPr>
          <w:b/>
          <w:shd w:val="clear" w:color="auto" w:fill="D9EAD3"/>
        </w:rPr>
        <w:t>Resultado calculado</w:t>
      </w:r>
      <w:r>
        <w:t>: Puntaje, porcentaje y clasificación que obtiene el motor a partir de las respuestas.</w:t>
      </w:r>
    </w:p>
    <w:p>
      <w:pPr>
        <w:pStyle w:val="ListBullet"/>
      </w:pPr>
      <w:r>
        <w:rPr>
          <w:b/>
          <w:shd w:val="clear" w:color="auto" w:fill="E6D9F2"/>
        </w:rPr>
        <w:t>Plantilla fija</w:t>
      </w:r>
      <w:r>
        <w:t>: Texto de apertura, implicación o cierre que depende solo de la franja de severidad — el mismo para cualquier empresa que caiga en ella.</w:t>
      </w:r>
    </w:p>
    <w:p>
      <w:pPr>
        <w:pStyle w:val="ListBullet"/>
      </w:pPr>
      <w:r>
        <w:rPr>
          <w:b/>
          <w:shd w:val="clear" w:color="auto" w:fill="FCE5CD"/>
        </w:rPr>
        <w:t>Texto de catálogo por ítem</w:t>
      </w:r>
      <w:r>
        <w:t>: Descripción del nivel respondido en un ítem, elegida del catálogo ítem-nivel según la respuesta específica de la empresa.</w:t>
      </w:r>
    </w:p>
    <w:p>
      <w:pPr>
        <w:pStyle w:val="ListBullet"/>
      </w:pPr>
      <w:r>
        <w:rPr>
          <w:b/>
          <w:shd w:val="clear" w:color="auto" w:fill="EAEAEA"/>
        </w:rPr>
        <w:t>Tema obligatorio / optativo</w:t>
      </w:r>
      <w:r>
        <w:t>: Las mismas recomendaciones de catálogo, agrupadas como lista de áreas de oportunidad.</w:t>
      </w:r>
    </w:p>
    <w:p>
      <w:r>
        <w:t>{% endif %}</w:t>
      </w:r>
    </w:p>
    <w:p>
      <w:pPr>
        <w:pStyle w:val="Heading1"/>
        <w:pBdr>
          <w:bottom w:val="single" w:sz="6" w:space="4" w:color="1F3A5F"/>
        </w:pBdr>
      </w:pPr>
      <w:r>
        <w:t>Información general de la empresa</w:t>
      </w:r>
    </w:p>
    <w:p>
      <w:pPr>
        <w:jc w:val="both"/>
      </w:pPr>
      <w:r>
        <w:t xml:space="preserve">La empresa </w:t>
      </w:r>
      <w:r>
        <w:t>{{r empresa_nombre }}</w:t>
      </w:r>
      <w:r>
        <w:t xml:space="preserve"> se encuentra ubicada en {{r empresa_ubicacion }}. Cuenta con aproximadamente </w:t>
      </w:r>
      <w:r>
        <w:t>{{r empresa_num_trabajadores }}</w:t>
      </w:r>
      <w:r>
        <w:t xml:space="preserve"> trabajadores, organizados en {{r empresa_turnos }}, y su actividad principal es {{r empresa_giro }}.</w:t>
      </w:r>
    </w:p>
    <w:p>
      <w:pPr>
        <w:jc w:val="both"/>
      </w:pPr>
      <w:r>
        <w:t>Como actividades relacionadas con el manejo manual de cargas, la empresa reporta las siguientes: {{r empresa_descripcion_mmh }}.</w:t>
      </w:r>
    </w:p>
    <w:p>
      <w:pPr>
        <w:pStyle w:val="Heading1"/>
        <w:pBdr>
          <w:bottom w:val="single" w:sz="6" w:space="4" w:color="1F3A5F"/>
        </w:pBdr>
      </w:pPr>
      <w:r>
        <w:t>Resultados de la evaluación</w:t>
      </w:r>
    </w:p>
    <w:p>
      <w:pPr>
        <w:jc w:val="both"/>
      </w:pPr>
      <w:r>
        <w:t>El instrumento de autoevaluación se divide en cinco criterios, cada uno integrado por diez ítems que se califican en una escala del 0 (Nada) al 4 (Óptimo). La calificación máxima de cada criterio es de 40 puntos: entre mayor sea el puntaje, mayor es el grado de cumplimiento de la NOM-036-1-STPS-2018 en ese criterio. Los resultados se presentan en las tablas 1 y 2 y en las figuras 1 y 2.</w:t>
      </w:r>
    </w:p>
    <w:p>
      <w:r>
        <w:t>Tabla 1. Calificación obtenida por criterio evaluado.</w:t>
      </w:r>
    </w:p>
    <w:p>
      <w:r>
        <w:t>[[TABLA_PUNTAJES]]</w:t>
      </w:r>
    </w:p>
    <w:p>
      <w:r>
        <w:t>Tabla 2. Porcentaje de cumplimiento por criterio evaluado.</w:t>
      </w:r>
    </w:p>
    <w:p>
      <w:r>
        <w:t>[[TABLA_PORCENTAJES]]</w:t>
      </w:r>
    </w:p>
    <w:p>
      <w:pPr>
        <w:jc w:val="both"/>
      </w:pPr>
      <w:r>
        <w:t>La calificación de cada criterio se convirtió en porcentaje para facilitar su interpretación, y cada porcentaje se clasificó en una de cinco franjas de 20 puntos (Inexistente, Mínimo, Regular, Aceptable y Óptimo). Estos resultados reflejan el grado de cumplimiento percibido por la persona que respondió la autoevaluación, por lo que conviene corroborarlos en el centro de trabajo.</w:t>
      </w:r>
    </w:p>
    <w:p>
      <w:pPr>
        <w:jc w:val="center"/>
      </w:pPr>
      <w:r>
        <w:t>{{ grafica_radar }}</w:t>
      </w:r>
    </w:p>
    <w:p>
      <w:pPr>
        <w:jc w:val="center"/>
      </w:pPr>
      <w:r>
        <w:rPr>
          <w:i/>
          <w:color w:val="595956"/>
          <w:sz w:val="19"/>
        </w:rPr>
        <w:t>Figura 1. Porcentaje de cumplimiento por criterio, sobre las 5 franjas de severidad.</w:t>
      </w:r>
    </w:p>
    <w:p>
      <w:pPr>
        <w:jc w:val="center"/>
      </w:pPr>
      <w:r>
        <w:t>{{ grafica_heatmap }}</w:t>
      </w:r>
    </w:p>
    <w:p>
      <w:pPr>
        <w:jc w:val="center"/>
      </w:pPr>
      <w:r>
        <w:rPr>
          <w:i/>
          <w:color w:val="595956"/>
          <w:sz w:val="19"/>
        </w:rPr>
        <w:t>Figura 2. Nivel de respuesta (0-4) de cada ítem, agrupado por criterio evaluado.</w:t>
      </w:r>
    </w:p>
    <w:p>
      <w:pPr>
        <w:pStyle w:val="Heading1"/>
        <w:pBdr>
          <w:bottom w:val="single" w:sz="6" w:space="4" w:color="1F3A5F"/>
        </w:pBdr>
      </w:pPr>
      <w:r>
        <w:t>Resultados por criterio</w:t>
      </w:r>
    </w:p>
    <w:p>
      <w:r>
        <w:t>{% for c in criterios %}</w:t>
      </w:r>
    </w:p>
    <w:p>
      <w:pPr>
        <w:jc w:val="both"/>
      </w:pPr>
      <w:r>
        <w:rPr>
          <w:b/>
        </w:rPr>
        <w:t xml:space="preserve">Criterio {{ c.numero }}.- </w:t>
      </w:r>
      <w:r>
        <w:t>{{r c.narrativa }}</w:t>
      </w:r>
    </w:p>
    <w:p>
      <w:r>
        <w:t>{% endfor %}</w:t>
      </w:r>
    </w:p>
    <w:p>
      <w:pPr>
        <w:pStyle w:val="Heading1"/>
        <w:pBdr>
          <w:bottom w:val="single" w:sz="6" w:space="4" w:color="1F3A5F"/>
        </w:pBdr>
      </w:pPr>
      <w:r>
        <w:t>Áreas de oportunidad</w:t>
      </w:r>
    </w:p>
    <w:p>
      <w:r>
        <w:t>{% if not resultado_global_es_parcial %}</w:t>
      </w:r>
    </w:p>
    <w:p>
      <w:pPr>
        <w:jc w:val="both"/>
      </w:pPr>
      <w:r>
        <w:t>{{r resultado_global_apertura }}</w:t>
      </w:r>
    </w:p>
    <w:p>
      <w:r>
        <w:t>{% endif %}</w:t>
      </w:r>
    </w:p>
    <w:p>
      <w:pPr>
        <w:jc w:val="both"/>
      </w:pPr>
      <w:r>
        <w:t>{{r resultado_global_cierre }}</w:t>
      </w:r>
    </w:p>
    <w:p>
      <w:r>
        <w:t>{% if hay_temas %}</w:t>
      </w:r>
    </w:p>
    <w:p>
      <w:pPr>
        <w:jc w:val="center"/>
      </w:pPr>
      <w:r>
        <w:t>{{ grafica_temas }}</w:t>
      </w:r>
    </w:p>
    <w:p>
      <w:pPr>
        <w:jc w:val="center"/>
      </w:pPr>
      <w:r>
        <w:rPr>
          <w:i/>
          <w:color w:val="595956"/>
          <w:sz w:val="19"/>
        </w:rPr>
        <w:t>Figura 3. Proporción de temas de atención obligatoria y optativa.</w:t>
      </w:r>
    </w:p>
    <w:p>
      <w:r>
        <w:t>{% endif %}</w:t>
      </w:r>
    </w:p>
    <w:p>
      <w:pPr>
        <w:pStyle w:val="Heading2"/>
      </w:pPr>
      <w:r>
        <w:t>Temas obligatorios</w:t>
      </w:r>
    </w:p>
    <w:p>
      <w:r>
        <w:t>Derivados directamente de las exigencias de la NOM-036-1-STPS-2018 para los temas evaluados con nivel de cumplimiento bajo.</w:t>
      </w:r>
    </w:p>
    <w:p>
      <w:r>
        <w:t>{% if temas_obligatorios %}</w:t>
      </w:r>
    </w:p>
    <w:p>
      <w:r>
        <w:t>{% for tema in temas_obligatorios %}</w:t>
      </w:r>
    </w:p>
    <w:p>
      <w:pPr>
        <w:pStyle w:val="ListBullet"/>
      </w:pPr>
      <w:r>
        <w:t>{{ loop.index }}. {{r tema }}</w:t>
      </w:r>
    </w:p>
    <w:p>
      <w:r>
        <w:t>{% endfor %}</w:t>
      </w:r>
    </w:p>
    <w:p>
      <w:r>
        <w:t>{% else %}</w:t>
      </w:r>
    </w:p>
    <w:p>
      <w:r>
        <w:t>No se identificaron temas obligatorios pendientes en los criterios evaluados.</w:t>
      </w:r>
    </w:p>
    <w:p>
      <w:r>
        <w:t>{% endif %}</w:t>
      </w:r>
    </w:p>
    <w:p>
      <w:pPr>
        <w:pStyle w:val="Heading2"/>
      </w:pPr>
      <w:r>
        <w:t>Temas optativos</w:t>
      </w:r>
    </w:p>
    <w:p>
      <w:r>
        <w:t>Buenas prácticas sugeridas, adicionales a lo que exige la norma.</w:t>
      </w:r>
    </w:p>
    <w:p>
      <w:r>
        <w:t>{% if temas_optativos %}</w:t>
      </w:r>
    </w:p>
    <w:p>
      <w:r>
        <w:t>{% for tema in temas_optativos %}</w:t>
      </w:r>
    </w:p>
    <w:p>
      <w:pPr>
        <w:pStyle w:val="ListBullet"/>
      </w:pPr>
      <w:r>
        <w:t>{{ loop.index }}. {{r tema }}</w:t>
      </w:r>
    </w:p>
    <w:p>
      <w:r>
        <w:t>{% endfor %}</w:t>
      </w:r>
    </w:p>
    <w:p>
      <w:r>
        <w:t>{% else %}</w:t>
      </w:r>
    </w:p>
    <w:p>
      <w:r>
        <w:t>No se identificaron temas optativos adicionales en los criterios evaluados.</w:t>
      </w:r>
    </w:p>
    <w:p>
      <w:r>
        <w:t>{% endif %}</w:t>
      </w:r>
    </w:p>
    <w:p>
      <w:pPr>
        <w:pBdr>
          <w:bottom w:val="single" w:sz="4" w:space="4" w:color="1F3A5F"/>
        </w:pBdr>
      </w:pPr>
    </w:p>
    <w:p>
      <w:r>
        <w:t>Atentamente,</w:t>
      </w:r>
    </w:p>
    <w:p/>
    <w:p>
      <w:r>
        <w:rPr>
          <w:b/>
        </w:rPr>
        <w:t>{{ responsable_nombre }}</w:t>
      </w:r>
    </w:p>
    <w:p>
      <w:r>
        <w:t>{% if responsable_cedula %}</w:t>
      </w:r>
    </w:p>
    <w:p>
      <w:r>
        <w:t>Cédula profesional: {{ responsable_cedula }}</w:t>
      </w:r>
    </w:p>
    <w:p>
      <w:r>
        <w:t>{% endif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6"/>
        <w:sz w:val="18"/>
      </w:rPr>
      <w:t xml:space="preserve">Página </w:t>
    </w:r>
    <w:fldSimple w:instr="PAGE">
      <w:r>
        <w:rPr>
          <w:rFonts w:ascii="Calibri"/>
          <w:sz w:val="18"/>
          <w:color w:val="595956"/>
        </w:rPr>
        <w:t>1</w:t>
      </w:r>
    </w:fldSimple>
    <w:r>
      <w:rPr>
        <w:rFonts w:ascii="Calibri" w:hAnsi="Calibri"/>
        <w:color w:val="595956"/>
        <w:sz w:val="18"/>
      </w:rPr>
      <w:t xml:space="preserve"> de </w:t>
    </w:r>
    <w:fldSimple w:instr="NUMPAGES">
      <w:r>
        <w:rPr>
          <w:rFonts w:ascii="Calibri"/>
          <w:sz w:val="18"/>
          <w:color w:val="59595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Calibri" w:hAnsi="Calibri"/>
      <w:b/>
      <w:bCs/>
      <w:i w:val="0"/>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26262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