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142" w:rsidRPr="007E6142" w:rsidRDefault="007E6142" w:rsidP="007E6142">
      <w:pPr>
        <w:rPr>
          <w:rFonts w:ascii="Open Sans" w:hAnsi="Open Sans"/>
          <w:color w:val="000000"/>
          <w:shd w:val="clear" w:color="auto" w:fill="FFFFFF"/>
        </w:rPr>
      </w:pPr>
      <w:bookmarkStart w:id="0" w:name="_GoBack"/>
    </w:p>
    <w:p w:rsidR="007E6142" w:rsidRPr="007E6142" w:rsidRDefault="007E6142" w:rsidP="007E6142">
      <w:pPr>
        <w:rPr>
          <w:rFonts w:ascii="Open Sans" w:hAnsi="Open Sans"/>
          <w:color w:val="000000"/>
          <w:shd w:val="clear" w:color="auto" w:fill="FFFFFF"/>
        </w:rPr>
      </w:pPr>
      <w:r w:rsidRPr="007E6142">
        <w:rPr>
          <w:bCs/>
          <w:color w:val="000000"/>
        </w:rPr>
        <w:t>ISO/IEC 20000</w:t>
      </w:r>
      <w:r w:rsidRPr="007E6142">
        <w:rPr>
          <w:rFonts w:ascii="Open Sans" w:hAnsi="Open Sans"/>
          <w:color w:val="000000"/>
          <w:shd w:val="clear" w:color="auto" w:fill="FFFFFF"/>
        </w:rPr>
        <w:t> </w:t>
      </w:r>
      <w:r w:rsidRPr="007E6142">
        <w:rPr>
          <w:rFonts w:ascii="Open Sans" w:hAnsi="Open Sans"/>
          <w:color w:val="000000"/>
          <w:shd w:val="clear" w:color="auto" w:fill="FFFFFF"/>
        </w:rPr>
        <w:t xml:space="preserve">defini requisitos para o correto gerenciamento de um provedor de serviços de TI, garantindo entrega aos clientes de serviços de qualidade. São requisitos da norma definição de políticas, objetivos, procedimentos e processos de gerenciamento para assegurar a qualidade efetiva na prestação de serviços de </w:t>
      </w:r>
      <w:proofErr w:type="spellStart"/>
      <w:r w:rsidRPr="007E6142">
        <w:rPr>
          <w:rFonts w:ascii="Open Sans" w:hAnsi="Open Sans"/>
          <w:color w:val="000000"/>
          <w:shd w:val="clear" w:color="auto" w:fill="FFFFFF"/>
        </w:rPr>
        <w:t>TI.</w:t>
      </w:r>
      <w:proofErr w:type="spellEnd"/>
    </w:p>
    <w:p w:rsidR="007E6142" w:rsidRPr="007E6142" w:rsidRDefault="00B31DF0" w:rsidP="007E6142">
      <w:pPr>
        <w:rPr>
          <w:rFonts w:ascii="Open Sans" w:hAnsi="Open Sans"/>
          <w:color w:val="000000"/>
          <w:shd w:val="clear" w:color="auto" w:fill="FFFFFF"/>
        </w:rPr>
      </w:pPr>
      <w:r w:rsidRPr="007E6142">
        <w:rPr>
          <w:rFonts w:ascii="Open Sans" w:hAnsi="Open Sans"/>
          <w:color w:val="000000"/>
          <w:shd w:val="clear" w:color="auto" w:fill="FFFFFF"/>
        </w:rPr>
        <w:t>As organizações dependem diretamente dos processos de TI para entregar serviços, agregar valor a produtos e gerar maior produtividade de forma a alcançar seus objetivos de negócio.</w:t>
      </w:r>
      <w:r w:rsidRPr="007E6142">
        <w:rPr>
          <w:rFonts w:ascii="Open Sans" w:hAnsi="Open Sans"/>
          <w:color w:val="000000"/>
          <w:shd w:val="clear" w:color="auto" w:fill="FFFFFF"/>
        </w:rPr>
        <w:t xml:space="preserve"> A</w:t>
      </w:r>
      <w:r w:rsidRPr="007E6142">
        <w:rPr>
          <w:rFonts w:ascii="Open Sans" w:hAnsi="Open Sans"/>
          <w:color w:val="000000"/>
          <w:shd w:val="clear" w:color="auto" w:fill="FFFFFF"/>
        </w:rPr>
        <w:t>través da implantação da </w:t>
      </w:r>
      <w:r w:rsidRPr="007E6142">
        <w:rPr>
          <w:bCs/>
        </w:rPr>
        <w:t>ISO 20000</w:t>
      </w:r>
      <w:r w:rsidRPr="007E6142">
        <w:rPr>
          <w:rFonts w:ascii="Open Sans" w:hAnsi="Open Sans"/>
          <w:color w:val="000000"/>
          <w:shd w:val="clear" w:color="auto" w:fill="FFFFFF"/>
        </w:rPr>
        <w:t> </w:t>
      </w:r>
      <w:r w:rsidR="004802FD" w:rsidRPr="007E6142">
        <w:rPr>
          <w:rFonts w:ascii="Open Sans" w:hAnsi="Open Sans"/>
          <w:color w:val="000000"/>
          <w:shd w:val="clear" w:color="auto" w:fill="FFFFFF"/>
        </w:rPr>
        <w:t>a</w:t>
      </w:r>
      <w:r w:rsidRPr="007E6142">
        <w:rPr>
          <w:rFonts w:ascii="Open Sans" w:hAnsi="Open Sans"/>
          <w:color w:val="000000"/>
          <w:shd w:val="clear" w:color="auto" w:fill="FFFFFF"/>
        </w:rPr>
        <w:t xml:space="preserve"> organização </w:t>
      </w:r>
      <w:r w:rsidR="004802FD" w:rsidRPr="007E6142">
        <w:rPr>
          <w:rFonts w:ascii="Open Sans" w:hAnsi="Open Sans"/>
          <w:color w:val="000000"/>
          <w:shd w:val="clear" w:color="auto" w:fill="FFFFFF"/>
        </w:rPr>
        <w:t>adquiri</w:t>
      </w:r>
      <w:r w:rsidRPr="007E6142">
        <w:rPr>
          <w:rFonts w:ascii="Open Sans" w:hAnsi="Open Sans"/>
          <w:color w:val="000000"/>
          <w:shd w:val="clear" w:color="auto" w:fill="FFFFFF"/>
        </w:rPr>
        <w:t xml:space="preserve"> uma visão mais estruturada de todo o ciclo de vida dos serviços de TI através de um Sistema de Gestão de Serviço, também conhecido como SGS.</w:t>
      </w:r>
    </w:p>
    <w:p w:rsidR="007E6142" w:rsidRPr="007E6142" w:rsidRDefault="007E6142" w:rsidP="007E6142">
      <w:pPr>
        <w:rPr>
          <w:rFonts w:ascii="Open Sans" w:hAnsi="Open Sans"/>
          <w:color w:val="000000"/>
          <w:shd w:val="clear" w:color="auto" w:fill="FFFFFF"/>
        </w:rPr>
      </w:pPr>
      <w:r w:rsidRPr="007E6142">
        <w:rPr>
          <w:rFonts w:ascii="Open Sans" w:hAnsi="Open Sans"/>
          <w:color w:val="000000"/>
          <w:shd w:val="clear" w:color="auto" w:fill="FFFFFF"/>
        </w:rPr>
        <w:t>A auditoria interna busca</w:t>
      </w:r>
      <w:r w:rsidR="004802FD" w:rsidRPr="007E6142">
        <w:rPr>
          <w:rFonts w:ascii="Open Sans" w:hAnsi="Open Sans"/>
          <w:color w:val="000000"/>
          <w:shd w:val="clear" w:color="auto" w:fill="FFFFFF"/>
        </w:rPr>
        <w:t xml:space="preserve"> evidências necessárias para confirmar ou não </w:t>
      </w:r>
      <w:proofErr w:type="spellStart"/>
      <w:r w:rsidRPr="007E6142">
        <w:rPr>
          <w:rFonts w:ascii="Open Sans" w:hAnsi="Open Sans"/>
          <w:color w:val="000000"/>
          <w:shd w:val="clear" w:color="auto" w:fill="FFFFFF"/>
        </w:rPr>
        <w:t>se</w:t>
      </w:r>
      <w:proofErr w:type="spellEnd"/>
      <w:r w:rsidRPr="007E6142">
        <w:rPr>
          <w:rFonts w:ascii="Open Sans" w:hAnsi="Open Sans"/>
          <w:color w:val="000000"/>
          <w:shd w:val="clear" w:color="auto" w:fill="FFFFFF"/>
        </w:rPr>
        <w:t xml:space="preserve"> </w:t>
      </w:r>
      <w:r w:rsidR="004802FD" w:rsidRPr="007E6142">
        <w:rPr>
          <w:rFonts w:ascii="Open Sans" w:hAnsi="Open Sans"/>
          <w:color w:val="000000"/>
          <w:shd w:val="clear" w:color="auto" w:fill="FFFFFF"/>
        </w:rPr>
        <w:t xml:space="preserve">o sistema de gestão </w:t>
      </w:r>
      <w:r w:rsidRPr="007E6142">
        <w:rPr>
          <w:rFonts w:ascii="Open Sans" w:hAnsi="Open Sans"/>
          <w:color w:val="000000"/>
          <w:shd w:val="clear" w:color="auto" w:fill="FFFFFF"/>
        </w:rPr>
        <w:t>utilizado</w:t>
      </w:r>
      <w:r w:rsidR="004802FD" w:rsidRPr="007E6142">
        <w:rPr>
          <w:rFonts w:ascii="Open Sans" w:hAnsi="Open Sans"/>
          <w:color w:val="000000"/>
          <w:shd w:val="clear" w:color="auto" w:fill="FFFFFF"/>
        </w:rPr>
        <w:t xml:space="preserve"> atende ou está em conformidade com os requisitos estabelecidos e </w:t>
      </w:r>
      <w:r w:rsidRPr="007E6142">
        <w:rPr>
          <w:rFonts w:ascii="Open Sans" w:hAnsi="Open Sans"/>
          <w:color w:val="000000"/>
          <w:shd w:val="clear" w:color="auto" w:fill="FFFFFF"/>
        </w:rPr>
        <w:t xml:space="preserve">se age conforme o especificado, para confirmar </w:t>
      </w:r>
      <w:r w:rsidR="004802FD" w:rsidRPr="007E6142">
        <w:rPr>
          <w:rFonts w:ascii="Open Sans" w:hAnsi="Open Sans"/>
          <w:color w:val="000000"/>
          <w:shd w:val="clear" w:color="auto" w:fill="FFFFFF"/>
        </w:rPr>
        <w:t>que o planejamento, as metodologias, os procedimentos e os objetivos estão sendo cumpridos.</w:t>
      </w:r>
      <w:r w:rsidR="004802FD" w:rsidRPr="007E6142">
        <w:rPr>
          <w:rFonts w:ascii="Open Sans" w:hAnsi="Open Sans"/>
          <w:color w:val="000000"/>
          <w:shd w:val="clear" w:color="auto" w:fill="FFFFFF"/>
        </w:rPr>
        <w:t xml:space="preserve"> </w:t>
      </w:r>
      <w:r w:rsidR="00825CD1" w:rsidRPr="007E6142">
        <w:rPr>
          <w:rFonts w:ascii="Open Sans" w:hAnsi="Open Sans"/>
          <w:color w:val="000000"/>
          <w:shd w:val="clear" w:color="auto" w:fill="FFFFFF"/>
        </w:rPr>
        <w:t>O envolvimento de alta direção é de extrema importância na confecção do Sistema de Gestão de serviços, pois ele cria compromisso c</w:t>
      </w:r>
      <w:r w:rsidR="00825CD1" w:rsidRPr="007E6142">
        <w:rPr>
          <w:rFonts w:ascii="Open Sans" w:hAnsi="Open Sans"/>
          <w:color w:val="000000"/>
          <w:shd w:val="clear" w:color="auto" w:fill="FFFFFF"/>
        </w:rPr>
        <w:t xml:space="preserve">om as políticas da organização, </w:t>
      </w:r>
      <w:r w:rsidR="00825CD1" w:rsidRPr="007E6142">
        <w:rPr>
          <w:rFonts w:ascii="Open Sans" w:hAnsi="Open Sans"/>
          <w:color w:val="000000"/>
          <w:shd w:val="clear" w:color="auto" w:fill="FFFFFF"/>
        </w:rPr>
        <w:t xml:space="preserve">assegura que as políticas e os objetivos do gerenciamento de serviços estejam alinhados com a estratégia corporativa e que elas evoluam ao longo do tempo, garante execução e clareza na comunicação entre os envolvidos, e tem a responsabilidade de definir o membro de sua gestão que irá assegurar a execução das atividades e </w:t>
      </w:r>
      <w:r w:rsidR="00825CD1" w:rsidRPr="007E6142">
        <w:rPr>
          <w:rFonts w:ascii="Open Sans" w:hAnsi="Open Sans"/>
          <w:color w:val="000000"/>
          <w:shd w:val="clear" w:color="auto" w:fill="FFFFFF"/>
        </w:rPr>
        <w:t>i</w:t>
      </w:r>
      <w:r w:rsidR="00825CD1" w:rsidRPr="007E6142">
        <w:rPr>
          <w:rFonts w:ascii="Open Sans" w:hAnsi="Open Sans"/>
          <w:color w:val="000000"/>
          <w:shd w:val="clear" w:color="auto" w:fill="FFFFFF"/>
        </w:rPr>
        <w:t>ntegração com outros componentes da organização, reportando para a alta direção o desempenho e evolução do SGS e de seus serviços.</w:t>
      </w:r>
    </w:p>
    <w:p w:rsidR="00825CD1" w:rsidRPr="007E6142" w:rsidRDefault="007E6142" w:rsidP="007E6142">
      <w:pPr>
        <w:rPr>
          <w:rFonts w:ascii="Open Sans" w:hAnsi="Open Sans"/>
          <w:color w:val="000000"/>
          <w:shd w:val="clear" w:color="auto" w:fill="FFFFFF"/>
        </w:rPr>
      </w:pPr>
      <w:r w:rsidRPr="007E6142">
        <w:rPr>
          <w:rFonts w:ascii="Open Sans" w:hAnsi="Open Sans"/>
          <w:color w:val="000000"/>
          <w:shd w:val="clear" w:color="auto" w:fill="FFFFFF"/>
        </w:rPr>
        <w:t>Outro ponto importante é a</w:t>
      </w:r>
      <w:r w:rsidR="00825CD1" w:rsidRPr="007E6142">
        <w:rPr>
          <w:rFonts w:ascii="Open Sans" w:hAnsi="Open Sans"/>
          <w:color w:val="000000"/>
          <w:shd w:val="clear" w:color="auto" w:fill="FFFFFF"/>
        </w:rPr>
        <w:t>linhar o Plano Estratégico de TI ao Plano Estratégico Organi</w:t>
      </w:r>
      <w:r w:rsidR="00825CD1" w:rsidRPr="007E6142">
        <w:rPr>
          <w:rFonts w:ascii="Open Sans" w:hAnsi="Open Sans"/>
          <w:color w:val="000000"/>
          <w:shd w:val="clear" w:color="auto" w:fill="FFFFFF"/>
        </w:rPr>
        <w:t>zacional</w:t>
      </w:r>
      <w:r w:rsidRPr="007E6142">
        <w:rPr>
          <w:rFonts w:ascii="Open Sans" w:hAnsi="Open Sans"/>
          <w:color w:val="000000"/>
          <w:shd w:val="clear" w:color="auto" w:fill="FFFFFF"/>
        </w:rPr>
        <w:t>, esta ação</w:t>
      </w:r>
      <w:r w:rsidR="00825CD1" w:rsidRPr="007E6142">
        <w:rPr>
          <w:rFonts w:ascii="Open Sans" w:hAnsi="Open Sans"/>
          <w:color w:val="000000"/>
          <w:shd w:val="clear" w:color="auto" w:fill="FFFFFF"/>
        </w:rPr>
        <w:t xml:space="preserve"> permite realizar a entrega</w:t>
      </w:r>
      <w:r w:rsidR="00825CD1" w:rsidRPr="007E6142">
        <w:rPr>
          <w:rFonts w:ascii="Open Sans" w:hAnsi="Open Sans"/>
          <w:color w:val="000000"/>
          <w:shd w:val="clear" w:color="auto" w:fill="FFFFFF"/>
        </w:rPr>
        <w:t xml:space="preserve"> e melhoria dos serviços planejados</w:t>
      </w:r>
      <w:r w:rsidR="00825CD1" w:rsidRPr="007E6142">
        <w:rPr>
          <w:rFonts w:ascii="Open Sans" w:hAnsi="Open Sans"/>
          <w:color w:val="000000"/>
          <w:shd w:val="clear" w:color="auto" w:fill="FFFFFF"/>
        </w:rPr>
        <w:t>, para isso</w:t>
      </w:r>
      <w:r w:rsidR="00825CD1" w:rsidRPr="007E6142">
        <w:rPr>
          <w:rFonts w:ascii="Open Sans" w:hAnsi="Open Sans"/>
          <w:color w:val="000000"/>
          <w:shd w:val="clear" w:color="auto" w:fill="FFFFFF"/>
        </w:rPr>
        <w:t xml:space="preserve"> é necessário que a gestão de fundos, orçamentos, recursos humanos e riscos vinculados ao SGS </w:t>
      </w:r>
      <w:r w:rsidR="00825CD1" w:rsidRPr="007E6142">
        <w:rPr>
          <w:rFonts w:ascii="Open Sans" w:hAnsi="Open Sans"/>
          <w:color w:val="000000"/>
          <w:shd w:val="clear" w:color="auto" w:fill="FFFFFF"/>
        </w:rPr>
        <w:t>sejam</w:t>
      </w:r>
      <w:r w:rsidR="00825CD1" w:rsidRPr="007E6142">
        <w:rPr>
          <w:rFonts w:ascii="Open Sans" w:hAnsi="Open Sans"/>
          <w:color w:val="000000"/>
          <w:shd w:val="clear" w:color="auto" w:fill="FFFFFF"/>
        </w:rPr>
        <w:t xml:space="preserve"> ser executada</w:t>
      </w:r>
      <w:r w:rsidR="00825CD1" w:rsidRPr="007E6142">
        <w:rPr>
          <w:rFonts w:ascii="Open Sans" w:hAnsi="Open Sans"/>
          <w:color w:val="000000"/>
          <w:shd w:val="clear" w:color="auto" w:fill="FFFFFF"/>
        </w:rPr>
        <w:t>s</w:t>
      </w:r>
      <w:r w:rsidR="00825CD1" w:rsidRPr="007E6142">
        <w:rPr>
          <w:rFonts w:ascii="Open Sans" w:hAnsi="Open Sans"/>
          <w:color w:val="000000"/>
          <w:shd w:val="clear" w:color="auto" w:fill="FFFFFF"/>
        </w:rPr>
        <w:t>, sempre monitorando e relatando o desempenho das atividades envolvidas.</w:t>
      </w:r>
    </w:p>
    <w:bookmarkEnd w:id="0"/>
    <w:p w:rsidR="00825CD1" w:rsidRDefault="00825CD1" w:rsidP="004802FD">
      <w:pPr>
        <w:ind w:left="360"/>
      </w:pPr>
    </w:p>
    <w:sectPr w:rsidR="00825C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B7014"/>
    <w:multiLevelType w:val="hybridMultilevel"/>
    <w:tmpl w:val="B70E3394"/>
    <w:lvl w:ilvl="0" w:tplc="EF6A7AF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DF0"/>
    <w:rsid w:val="004802FD"/>
    <w:rsid w:val="007538E5"/>
    <w:rsid w:val="007C73E0"/>
    <w:rsid w:val="007E6142"/>
    <w:rsid w:val="00825CD1"/>
    <w:rsid w:val="00B31DF0"/>
    <w:rsid w:val="00C4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1E8D1"/>
  <w15:chartTrackingRefBased/>
  <w15:docId w15:val="{B936B04F-E0AB-45DA-A421-9AFAD4FD9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31DF0"/>
    <w:rPr>
      <w:b/>
      <w:bCs/>
    </w:rPr>
  </w:style>
  <w:style w:type="paragraph" w:styleId="PargrafodaLista">
    <w:name w:val="List Paragraph"/>
    <w:basedOn w:val="Normal"/>
    <w:uiPriority w:val="34"/>
    <w:qFormat/>
    <w:rsid w:val="00825CD1"/>
    <w:pPr>
      <w:ind w:left="720"/>
      <w:contextualSpacing/>
    </w:pPr>
  </w:style>
  <w:style w:type="paragraph" w:customStyle="1" w:styleId="Default">
    <w:name w:val="Default"/>
    <w:rsid w:val="00825C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311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Silva</dc:creator>
  <cp:keywords/>
  <dc:description/>
  <cp:lastModifiedBy>MOISES DA SILVA</cp:lastModifiedBy>
  <cp:revision>1</cp:revision>
  <dcterms:created xsi:type="dcterms:W3CDTF">2017-10-18T18:46:00Z</dcterms:created>
  <dcterms:modified xsi:type="dcterms:W3CDTF">2017-10-18T20:01:00Z</dcterms:modified>
</cp:coreProperties>
</file>