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64"/>
          <w:szCs w:val="64"/>
        </w:rPr>
      </w:pPr>
      <w:bookmarkStart w:colFirst="0" w:colLast="0" w:name="_89dljx4cuyi" w:id="0"/>
      <w:bookmarkEnd w:id="0"/>
      <w:r w:rsidDel="00000000" w:rsidR="00000000" w:rsidRPr="00000000">
        <w:rPr>
          <w:rtl w:val="0"/>
        </w:rPr>
      </w:r>
    </w:p>
    <w:p w:rsidR="00000000" w:rsidDel="00000000" w:rsidP="00000000" w:rsidRDefault="00000000" w:rsidRPr="00000000" w14:paraId="00000002">
      <w:pPr>
        <w:pStyle w:val="Title"/>
        <w:jc w:val="center"/>
        <w:rPr>
          <w:b w:val="1"/>
          <w:bCs w:val="1"/>
          <w:sz w:val="64"/>
          <w:szCs w:val="64"/>
        </w:rPr>
      </w:pPr>
      <w:bookmarkStart w:colFirst="0" w:colLast="0" w:name="_syxluje8fvk" w:id="1"/>
      <w:bookmarkEnd w:id="1"/>
      <w:r w:rsidDel="00000000" w:rsidR="00000000" w:rsidRPr="00000000">
        <w:rPr>
          <w:rtl w:val="0"/>
        </w:rPr>
      </w:r>
    </w:p>
    <w:p w:rsidR="00000000" w:rsidDel="00000000" w:rsidP="00000000" w:rsidRDefault="00000000" w:rsidRPr="00000000" w14:paraId="00000003">
      <w:pPr>
        <w:pStyle w:val="Title"/>
        <w:jc w:val="center"/>
        <w:rPr>
          <w:b w:val="1"/>
          <w:bCs w:val="1"/>
          <w:sz w:val="64"/>
          <w:szCs w:val="64"/>
        </w:rPr>
      </w:pPr>
      <w:bookmarkStart w:colFirst="0" w:colLast="0" w:name="_txpg69jkzemd" w:id="2"/>
      <w:bookmarkEnd w:id="2"/>
      <w:r w:rsidDel="00000000" w:rsidR="00000000" w:rsidRPr="00000000">
        <w:rPr>
          <w:rtl w:val="0"/>
        </w:rPr>
      </w:r>
    </w:p>
    <w:p w:rsidR="00000000" w:rsidDel="00000000" w:rsidP="00000000" w:rsidRDefault="00000000" w:rsidRPr="00000000" w14:paraId="00000004">
      <w:pPr>
        <w:pStyle w:val="Title"/>
        <w:jc w:val="center"/>
        <w:rPr>
          <w:b w:val="1"/>
          <w:bCs w:val="1"/>
          <w:sz w:val="64"/>
          <w:szCs w:val="64"/>
        </w:rPr>
      </w:pPr>
      <w:bookmarkStart w:colFirst="0" w:colLast="0" w:name="_tvjpn3mitda9" w:id="3"/>
      <w:bookmarkEnd w:id="3"/>
      <w:r w:rsidDel="00000000" w:rsidR="00000000" w:rsidRPr="00000000">
        <w:rPr>
          <w:b w:val="1"/>
          <w:bCs w:val="1"/>
          <w:sz w:val="64"/>
          <w:szCs w:val="64"/>
          <w:rtl w:val="0"/>
        </w:rPr>
        <w:t xml:space="preserve">Gestión de Turnos “Clínica Odontológica Prisma”</w:t>
      </w:r>
    </w:p>
    <w:p w:rsidR="00000000" w:rsidDel="00000000" w:rsidP="00000000" w:rsidRDefault="00000000" w:rsidRPr="00000000" w14:paraId="00000005">
      <w:pPr>
        <w:pStyle w:val="Subtitle"/>
        <w:jc w:val="center"/>
        <w:rPr>
          <w:b w:val="1"/>
          <w:bCs w:val="1"/>
          <w:sz w:val="28"/>
          <w:szCs w:val="28"/>
        </w:rPr>
      </w:pPr>
      <w:bookmarkStart w:colFirst="0" w:colLast="0" w:name="_kowhymsitf7u" w:id="4"/>
      <w:bookmarkEnd w:id="4"/>
      <w:r w:rsidDel="00000000" w:rsidR="00000000" w:rsidRPr="00000000">
        <w:rPr>
          <w:b w:val="1"/>
          <w:bCs w:val="1"/>
          <w:sz w:val="32"/>
          <w:szCs w:val="32"/>
          <w:rtl w:val="0"/>
        </w:rPr>
        <w:t xml:space="preserve">Documento de Gestión de Cambios</w:t>
      </w:r>
      <w:r w:rsidDel="00000000" w:rsidR="00000000" w:rsidRPr="00000000">
        <w:rPr>
          <w:rtl w:val="0"/>
        </w:rPr>
      </w:r>
    </w:p>
    <w:p w:rsidR="00000000" w:rsidDel="00000000" w:rsidP="00000000" w:rsidRDefault="00000000" w:rsidRPr="00000000" w14:paraId="00000006">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07">
      <w:pPr>
        <w:spacing w:line="360" w:lineRule="auto"/>
        <w:rPr>
          <w:b w:val="1"/>
          <w:bCs w:val="1"/>
          <w:sz w:val="28"/>
          <w:szCs w:val="28"/>
        </w:rPr>
      </w:pPr>
      <w:r w:rsidDel="00000000" w:rsidR="00000000" w:rsidRPr="00000000">
        <w:rPr>
          <w:b w:val="1"/>
          <w:bCs w:val="1"/>
          <w:sz w:val="28"/>
          <w:szCs w:val="28"/>
          <w:rtl w:val="0"/>
        </w:rPr>
        <w:t xml:space="preserve">Versión: </w:t>
      </w:r>
      <w:r w:rsidDel="00000000" w:rsidR="00000000" w:rsidRPr="00000000">
        <w:rPr>
          <w:sz w:val="28"/>
          <w:szCs w:val="28"/>
          <w:rtl w:val="0"/>
        </w:rPr>
        <w:t xml:space="preserve">v1.1</w:t>
      </w:r>
      <w:r w:rsidDel="00000000" w:rsidR="00000000" w:rsidRPr="00000000">
        <w:rPr>
          <w:rtl w:val="0"/>
        </w:rPr>
      </w:r>
    </w:p>
    <w:p w:rsidR="00000000" w:rsidDel="00000000" w:rsidP="00000000" w:rsidRDefault="00000000" w:rsidRPr="00000000" w14:paraId="00000008">
      <w:pPr>
        <w:spacing w:line="360" w:lineRule="auto"/>
        <w:rPr>
          <w:sz w:val="28"/>
          <w:szCs w:val="28"/>
        </w:rPr>
      </w:pPr>
      <w:r w:rsidDel="00000000" w:rsidR="00000000" w:rsidRPr="00000000">
        <w:rPr>
          <w:b w:val="1"/>
          <w:bCs w:val="1"/>
          <w:sz w:val="28"/>
          <w:szCs w:val="28"/>
          <w:rtl w:val="0"/>
        </w:rPr>
        <w:t xml:space="preserve">Fecha de Emisión:</w:t>
      </w:r>
      <w:r w:rsidDel="00000000" w:rsidR="00000000" w:rsidRPr="00000000">
        <w:rPr>
          <w:b w:val="1"/>
          <w:bCs w:val="1"/>
          <w:sz w:val="28"/>
          <w:szCs w:val="28"/>
          <w:u w:val="none"/>
          <w:rtl w:val="0"/>
        </w:rPr>
        <w:t xml:space="preserve"> </w:t>
      </w:r>
      <w:r w:rsidDel="00000000" w:rsidR="00000000" w:rsidRPr="00000000">
        <w:rPr>
          <w:sz w:val="28"/>
          <w:szCs w:val="28"/>
          <w:rtl w:val="0"/>
        </w:rPr>
        <w:t xml:space="preserve">15</w:t>
      </w:r>
      <w:r w:rsidDel="00000000" w:rsidR="00000000" w:rsidRPr="00000000">
        <w:rPr>
          <w:sz w:val="28"/>
          <w:szCs w:val="28"/>
          <w:u w:val="none"/>
          <w:rtl w:val="0"/>
        </w:rPr>
        <w:t xml:space="preserve">/ </w:t>
      </w:r>
      <w:r w:rsidDel="00000000" w:rsidR="00000000" w:rsidRPr="00000000">
        <w:rPr>
          <w:sz w:val="28"/>
          <w:szCs w:val="28"/>
          <w:rtl w:val="0"/>
        </w:rPr>
        <w:t xml:space="preserve">05 </w:t>
      </w:r>
      <w:r w:rsidDel="00000000" w:rsidR="00000000" w:rsidRPr="00000000">
        <w:rPr>
          <w:sz w:val="28"/>
          <w:szCs w:val="28"/>
          <w:u w:val="none"/>
          <w:rtl w:val="0"/>
        </w:rPr>
        <w:t xml:space="preserve">/ </w:t>
      </w:r>
      <w:r w:rsidDel="00000000" w:rsidR="00000000" w:rsidRPr="00000000">
        <w:rPr>
          <w:sz w:val="28"/>
          <w:szCs w:val="28"/>
          <w:rtl w:val="0"/>
        </w:rPr>
        <w:t xml:space="preserve">2026</w:t>
      </w:r>
    </w:p>
    <w:p w:rsidR="00000000" w:rsidDel="00000000" w:rsidP="00000000" w:rsidRDefault="00000000" w:rsidRPr="00000000" w14:paraId="00000009">
      <w:pPr>
        <w:spacing w:after="200" w:line="360" w:lineRule="auto"/>
        <w:rPr>
          <w:sz w:val="28"/>
          <w:szCs w:val="28"/>
        </w:rPr>
      </w:pPr>
      <w:r w:rsidDel="00000000" w:rsidR="00000000" w:rsidRPr="00000000">
        <w:rPr>
          <w:b w:val="1"/>
          <w:bCs w:val="1"/>
          <w:sz w:val="28"/>
          <w:szCs w:val="28"/>
          <w:rtl w:val="0"/>
        </w:rPr>
        <w:t xml:space="preserve">Estado:</w:t>
      </w:r>
      <w:r w:rsidDel="00000000" w:rsidR="00000000" w:rsidRPr="00000000">
        <w:rPr>
          <w:b w:val="1"/>
          <w:bCs w:val="1"/>
          <w:sz w:val="28"/>
          <w:szCs w:val="28"/>
          <w:rtl w:val="0"/>
        </w:rPr>
        <w:t xml:space="preserve"> </w:t>
      </w:r>
      <w:r w:rsidDel="00000000" w:rsidR="00000000" w:rsidRPr="00000000">
        <w:rPr>
          <w:sz w:val="28"/>
          <w:szCs w:val="28"/>
          <w:rtl w:val="0"/>
        </w:rPr>
        <w:t xml:space="preserve">En Revisión</w:t>
      </w:r>
      <w:r w:rsidDel="00000000" w:rsidR="00000000" w:rsidRPr="00000000">
        <w:rPr>
          <w:rtl w:val="0"/>
        </w:rPr>
      </w:r>
    </w:p>
    <w:p w:rsidR="00000000" w:rsidDel="00000000" w:rsidP="00000000" w:rsidRDefault="00000000" w:rsidRPr="00000000" w14:paraId="0000000A">
      <w:pPr>
        <w:spacing w:line="480" w:lineRule="auto"/>
        <w:rPr>
          <w:b w:val="1"/>
          <w:bCs w:val="1"/>
          <w:sz w:val="28"/>
          <w:szCs w:val="28"/>
        </w:rPr>
      </w:pPr>
      <w:r w:rsidDel="00000000" w:rsidR="00000000" w:rsidRPr="00000000">
        <w:rPr>
          <w:b w:val="1"/>
          <w:bCs w:val="1"/>
          <w:sz w:val="28"/>
          <w:szCs w:val="28"/>
          <w:rtl w:val="0"/>
        </w:rPr>
        <w:t xml:space="preserve">Equipo de Trabajo:</w:t>
      </w:r>
      <w:r w:rsidDel="00000000" w:rsidR="00000000" w:rsidRPr="00000000">
        <w:rPr>
          <w:rtl w:val="0"/>
        </w:rPr>
      </w:r>
    </w:p>
    <w:p w:rsidR="00000000" w:rsidDel="00000000" w:rsidP="00000000" w:rsidRDefault="00000000" w:rsidRPr="00000000" w14:paraId="0000000B">
      <w:pPr>
        <w:numPr>
          <w:ilvl w:val="0"/>
          <w:numId w:val="1"/>
        </w:numPr>
        <w:ind w:left="720" w:hanging="360"/>
        <w:rPr>
          <w:b w:val="1"/>
          <w:bCs w:val="1"/>
          <w:u w:val="none"/>
        </w:rPr>
      </w:pPr>
      <w:r w:rsidDel="00000000" w:rsidR="00000000" w:rsidRPr="00000000">
        <w:rPr>
          <w:b w:val="1"/>
          <w:bCs w:val="1"/>
          <w:rtl w:val="0"/>
        </w:rPr>
        <w:t xml:space="preserve">Emiliano Emanuel Litter.</w:t>
      </w:r>
    </w:p>
    <w:p w:rsidR="00000000" w:rsidDel="00000000" w:rsidP="00000000" w:rsidRDefault="00000000" w:rsidRPr="00000000" w14:paraId="0000000C">
      <w:pPr>
        <w:numPr>
          <w:ilvl w:val="0"/>
          <w:numId w:val="1"/>
        </w:numPr>
        <w:ind w:left="720" w:hanging="360"/>
        <w:rPr>
          <w:b w:val="1"/>
          <w:bCs w:val="1"/>
          <w:u w:val="none"/>
        </w:rPr>
      </w:pPr>
      <w:r w:rsidDel="00000000" w:rsidR="00000000" w:rsidRPr="00000000">
        <w:rPr>
          <w:b w:val="1"/>
          <w:bCs w:val="1"/>
          <w:rtl w:val="0"/>
        </w:rPr>
        <w:t xml:space="preserve">Moises Alexander Martinez Perez.</w:t>
      </w:r>
    </w:p>
    <w:p w:rsidR="00000000" w:rsidDel="00000000" w:rsidP="00000000" w:rsidRDefault="00000000" w:rsidRPr="00000000" w14:paraId="0000000D">
      <w:pPr>
        <w:numPr>
          <w:ilvl w:val="0"/>
          <w:numId w:val="1"/>
        </w:numPr>
        <w:ind w:left="720" w:hanging="360"/>
        <w:rPr>
          <w:b w:val="1"/>
          <w:bCs w:val="1"/>
          <w:u w:val="none"/>
        </w:rPr>
      </w:pPr>
      <w:r w:rsidDel="00000000" w:rsidR="00000000" w:rsidRPr="00000000">
        <w:rPr>
          <w:b w:val="1"/>
          <w:bCs w:val="1"/>
          <w:rtl w:val="0"/>
        </w:rPr>
        <w:t xml:space="preserve">Thiago Stefano Peretti.</w:t>
      </w:r>
    </w:p>
    <w:p w:rsidR="00000000" w:rsidDel="00000000" w:rsidP="00000000" w:rsidRDefault="00000000" w:rsidRPr="00000000" w14:paraId="0000000E">
      <w:pPr>
        <w:numPr>
          <w:ilvl w:val="0"/>
          <w:numId w:val="1"/>
        </w:numPr>
        <w:ind w:left="720" w:hanging="360"/>
        <w:rPr>
          <w:b w:val="1"/>
          <w:bCs w:val="1"/>
          <w:u w:val="none"/>
        </w:rPr>
      </w:pPr>
      <w:r w:rsidDel="00000000" w:rsidR="00000000" w:rsidRPr="00000000">
        <w:rPr>
          <w:b w:val="1"/>
          <w:bCs w:val="1"/>
          <w:rtl w:val="0"/>
        </w:rPr>
        <w:t xml:space="preserve">Justin Oliver Sanabria Prieto.</w:t>
      </w:r>
    </w:p>
    <w:p w:rsidR="00000000" w:rsidDel="00000000" w:rsidP="00000000" w:rsidRDefault="00000000" w:rsidRPr="00000000" w14:paraId="0000000F">
      <w:pPr>
        <w:ind w:left="0" w:firstLine="0"/>
        <w:rPr>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8"/>
          <w:szCs w:val="28"/>
        </w:rPr>
      </w:pPr>
      <w:r w:rsidDel="00000000" w:rsidR="00000000" w:rsidRPr="00000000">
        <w:rPr>
          <w:b w:val="1"/>
          <w:bCs w:val="1"/>
          <w:sz w:val="28"/>
          <w:szCs w:val="28"/>
          <w:rtl w:val="0"/>
        </w:rPr>
        <w:t xml:space="preserve">Project Manager: </w:t>
      </w:r>
      <w:r w:rsidDel="00000000" w:rsidR="00000000" w:rsidRPr="00000000">
        <w:rPr>
          <w:sz w:val="28"/>
          <w:szCs w:val="28"/>
          <w:rtl w:val="0"/>
        </w:rPr>
        <w:t xml:space="preserve">Moises Martinez – moisesescuela20@gmail.com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8"/>
          <w:szCs w:val="28"/>
        </w:rPr>
      </w:pPr>
      <w:r w:rsidDel="00000000" w:rsidR="00000000" w:rsidRPr="00000000">
        <w:rPr>
          <w:b w:val="1"/>
          <w:bCs w:val="1"/>
          <w:sz w:val="28"/>
          <w:szCs w:val="28"/>
          <w:rtl w:val="0"/>
        </w:rPr>
        <w:t xml:space="preserve">Cliente: </w:t>
      </w:r>
      <w:r w:rsidDel="00000000" w:rsidR="00000000" w:rsidRPr="00000000">
        <w:rPr>
          <w:sz w:val="28"/>
          <w:szCs w:val="28"/>
          <w:rtl w:val="0"/>
        </w:rPr>
        <w:t xml:space="preserve">Uriel Abate – Marcelo Moreno</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wbqz3vdw8gvx" w:id="5"/>
      <w:bookmarkEnd w:id="5"/>
      <w:r w:rsidDel="00000000" w:rsidR="00000000" w:rsidRPr="00000000">
        <w:rPr>
          <w:rtl w:val="0"/>
        </w:rPr>
        <w:t xml:space="preserve">ÍNDICE:</w:t>
      </w:r>
    </w:p>
    <w:sdt>
      <w:sdtPr>
        <w:id w:val="-440472332"/>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bqz3vdw8gv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3fm3m5u8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de Gestión de Cambios:</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spacing w:after="200" w:lin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spacing w:after="240" w:before="240" w:lineRule="auto"/>
        <w:rPr/>
      </w:pPr>
      <w:bookmarkStart w:colFirst="0" w:colLast="0" w:name="_a13fm3m5u8c8" w:id="6"/>
      <w:bookmarkEnd w:id="6"/>
      <w:r w:rsidDel="00000000" w:rsidR="00000000" w:rsidRPr="00000000">
        <w:rPr>
          <w:rtl w:val="0"/>
        </w:rPr>
        <w:t xml:space="preserve">Cuadro de Gestión de Cambios:</w:t>
      </w:r>
      <w:r w:rsidDel="00000000" w:rsidR="00000000" w:rsidRPr="00000000">
        <w:rPr>
          <w:rtl w:val="0"/>
        </w:rPr>
      </w:r>
    </w:p>
    <w:tbl>
      <w:tblPr>
        <w:tblStyle w:val="Table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1710"/>
        <w:gridCol w:w="1845"/>
        <w:gridCol w:w="2040"/>
        <w:gridCol w:w="3525"/>
        <w:tblGridChange w:id="0">
          <w:tblGrid>
            <w:gridCol w:w="480"/>
            <w:gridCol w:w="1710"/>
            <w:gridCol w:w="1845"/>
            <w:gridCol w:w="2040"/>
            <w:gridCol w:w="3525"/>
          </w:tblGrid>
        </w:tblGridChange>
      </w:tblGrid>
      <w:tr>
        <w:trPr>
          <w:cantSplit w:val="0"/>
          <w:trHeight w:val="805.0944405720447"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Cambio solicitado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Impacto (Bajo / Medio / Alto)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Decisión (Aprobar / Rechazar / Postergar)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Justificación</w:t>
            </w:r>
            <w:r w:rsidDel="00000000" w:rsidR="00000000" w:rsidRPr="00000000">
              <w:rPr>
                <w:rtl w:val="0"/>
              </w:rPr>
            </w:r>
          </w:p>
        </w:tc>
      </w:tr>
      <w:tr>
        <w:trPr>
          <w:cantSplit w:val="0"/>
          <w:trHeight w:val="509.303365651477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Notificaciones y Mensajes</w:t>
            </w:r>
          </w:p>
        </w:tc>
        <w:tc>
          <w:tcPr>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Bajo </w:t>
            </w:r>
          </w:p>
        </w:tc>
        <w:tc>
          <w:tcP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  Postergar             </w:t>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Esta funcionalidad se posterga para la etapa de desarrollo de código debido a la complejidad técnica que implica la integración con APIs externas de mensajería o servicios de servidor de correo. En un Producto Mínimo Viable (MVP) de 15 días, el equipo de </w:t>
            </w:r>
            <w:r w:rsidDel="00000000" w:rsidR="00000000" w:rsidRPr="00000000">
              <w:rPr>
                <w:rtl w:val="0"/>
              </w:rPr>
              <w:t xml:space="preserve">AURACODE</w:t>
            </w:r>
            <w:r w:rsidDel="00000000" w:rsidR="00000000" w:rsidRPr="00000000">
              <w:rPr>
                <w:rtl w:val="0"/>
              </w:rPr>
              <w:t xml:space="preserve"> prioriza la estabilidad de la base de datos de turnos por sobre los sistemas de alerta automatizados.             </w:t>
            </w:r>
          </w:p>
        </w:tc>
      </w:tr>
      <w:tr>
        <w:trPr>
          <w:cantSplit w:val="0"/>
          <w:trHeight w:val="509.303365651477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Perfil Profesional de Cada Empleado</w:t>
            </w:r>
          </w:p>
        </w:tc>
        <w:tc>
          <w:tcPr>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Alto              </w:t>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jc w:val="center"/>
              <w:rPr/>
            </w:pPr>
            <w:r w:rsidDel="00000000" w:rsidR="00000000" w:rsidRPr="00000000">
              <w:rPr>
                <w:rtl w:val="0"/>
              </w:rPr>
              <w:t xml:space="preserve">Postergar</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Aunque es un requerimiento importante, su desarrollo lógico se posterga para centrar los esfuerzos de programación en el motor de reservas. Se mantiene en el diseño del Mockup para asegurar que la arquitectura de la base de datos sea escalable, pero su implementación en código se realizará una vez que el flujo principal de turnos sea funcional. </w:t>
            </w:r>
          </w:p>
        </w:tc>
      </w:tr>
      <w:tr>
        <w:trPr>
          <w:cantSplit w:val="0"/>
          <w:trHeight w:val="509.303365651477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Poder Cancelar, Adelantar o Aceptar Solicitudes</w:t>
            </w:r>
          </w:p>
        </w:tc>
        <w:tc>
          <w:tcP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      </w:t>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Medio                      </w:t>
            </w:r>
          </w:p>
        </w:tc>
        <w:tc>
          <w:tcP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  </w:t>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t xml:space="preserve">Postergar            </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Se decide postergar la lógica de gestión avanzada de solicitudes para evitar cuellos de botella en la programación del backend. La prioridad inicial es el registro básico de citas; las funciones de edición compleja y estados intermedios se desarrollarán tras validar que la conexión entre el frontend y MySQL es estable.     </w:t>
            </w:r>
          </w:p>
        </w:tc>
      </w:tr>
      <w:tr>
        <w:trPr>
          <w:cantSplit w:val="0"/>
          <w:trHeight w:val="509.303365651477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Panel de Administración para Secretaria</w:t>
            </w:r>
          </w:p>
        </w:tc>
        <w:tc>
          <w:tcP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t xml:space="preserve">Alto              </w:t>
            </w:r>
          </w:p>
        </w:tc>
        <w:tc>
          <w:tcP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t xml:space="preserve">Postergar</w:t>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Dado que este módulo representa una alta carga de trabajo en cuanto a lógica de permisos y seguridad, se posterga su programación final. No obstante, se mantiene como prioridad en la fase de diseño UX/UI para garantizar que el personal administrativo pueda visualizar la estructura del sistema antes de su codificación definitiva.            </w:t>
            </w:r>
          </w:p>
        </w:tc>
      </w:tr>
      <w:tr>
        <w:trPr>
          <w:cantSplit w:val="0"/>
          <w:trHeight w:val="509.303365651477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Validación de Datos</w:t>
            </w:r>
          </w:p>
        </w:tc>
        <w:tc>
          <w:tcP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 Medio</w:t>
            </w:r>
          </w:p>
        </w:tc>
        <w:tc>
          <w:tcP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Postergar</w:t>
            </w:r>
          </w:p>
        </w:tc>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Se postergó la implementación de validaciones complejas en tiempo real (como chequeos de formato de correo o DNI mediante expresiones regulares avanzadas) para agilizar las pruebas de inserción de datos. Se implementarán validaciones básicas en el código inicial, dejando las más rigurosas para la fase de pulido del software.</w:t>
            </w:r>
          </w:p>
        </w:tc>
      </w:tr>
      <w:tr>
        <w:trPr>
          <w:cantSplit w:val="0"/>
          <w:trHeight w:val="509.303365651477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App Sencilla</w:t>
            </w:r>
          </w:p>
        </w:tc>
        <w:tc>
          <w:tcPr>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Bajo </w:t>
            </w:r>
          </w:p>
        </w:tc>
        <w:tc>
          <w:tcPr>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t xml:space="preserve">Aprobar</w:t>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Se aprueba de forma inmediata para responder directamente al perfil del usuario final identificado en la entrevista (adultos mayores). El objetivo es reducir la fricción tecnológica mediante una interfaz intuitiva, lo que garantiza una mayor tasa de adopción del sistema por parte de los pacientes de la clínica.</w:t>
            </w:r>
          </w:p>
        </w:tc>
      </w:tr>
      <w:tr>
        <w:trPr>
          <w:cantSplit w:val="0"/>
          <w:trHeight w:val="509.303365651477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Opciones Notables, Profesionales y Limpias</w:t>
            </w:r>
          </w:p>
        </w:tc>
        <w:tc>
          <w:tcPr>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t xml:space="preserve">Bajo</w:t>
            </w:r>
          </w:p>
        </w:tc>
        <w:tc>
          <w:tcPr>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t xml:space="preserve">Aprobar</w:t>
            </w:r>
          </w:p>
        </w:tc>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Este cambio se aprueba para alinear la estética del sitio con la imagen institucional de la Clínica Odontológica Prisma. Un diseño limpio no solo aporta profesionalismo, sino que facilita la lectura y navegación, cumpliendo con los estándares de UX solicitados por los docentes.</w:t>
            </w:r>
          </w:p>
        </w:tc>
      </w:tr>
      <w:tr>
        <w:trPr>
          <w:cantSplit w:val="0"/>
          <w:trHeight w:val="509.303365651477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Historial Clínico del Paciente</w:t>
            </w:r>
          </w:p>
        </w:tc>
        <w:tc>
          <w:tcPr>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Medio</w:t>
            </w:r>
          </w:p>
        </w:tc>
        <w:tc>
          <w:tcPr>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t xml:space="preserve">Postergar</w:t>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Debido a la sensibilidad de los datos médicos y la complejidad que requiere el manejo de expedientes digitales, se posterga su desarrollo técnico. Esto permite que el equipo se enfoque en cumplir con el objetivo principal de la Clínica Prisma: la organización de turnos, evitando distracciones en módulos médicos secundarios en esta primera entrega.</w:t>
            </w:r>
          </w:p>
        </w:tc>
      </w:tr>
      <w:tr>
        <w:trPr>
          <w:cantSplit w:val="0"/>
          <w:trHeight w:val="509.303365651477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No Debe Haber Ventas o Telemedicina</w:t>
            </w:r>
          </w:p>
        </w:tc>
        <w:tc>
          <w:tcPr>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Bajo</w:t>
            </w:r>
          </w:p>
        </w:tc>
        <w:tc>
          <w:tcPr>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rtl w:val="0"/>
              </w:rPr>
              <w:br w:type="textWrapping"/>
              <w:t xml:space="preserve">Aprobado</w:t>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Se aprueba la eliminación de estas funciones para mantener el alcance del proyecto acotado y eficiente. Al no desviar recursos en módulos de e-commerce o videollamadas, el equipo puede asegurar que el sistema de gestión de turnos sea robusto y cumpla con todos los criterios de éxito definidos.</w:t>
            </w:r>
          </w:p>
        </w:tc>
      </w:tr>
      <w:tr>
        <w:trPr>
          <w:cantSplit w:val="0"/>
          <w:trHeight w:val="509.303365651477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Cambio de Colores</w:t>
            </w:r>
          </w:p>
        </w:tc>
        <w:tc>
          <w:tcPr>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rtl w:val="0"/>
              </w:rPr>
              <w:t xml:space="preserve">Bajo</w:t>
            </w:r>
          </w:p>
        </w:tc>
        <w:tc>
          <w:tcPr>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Aprobado</w:t>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Se aprueba la actualización de la paleta cromática para cumplir con la psicología del color aplicada a la salud, donde el azul y el blanco transmiten higiene, confianza y serenidad. Este cambio es de bajo impacto técnico pero de alto impacto visual para la identidad de marca de la clínica.</w:t>
            </w:r>
          </w:p>
        </w:tc>
      </w:tr>
      <w:tr>
        <w:trPr>
          <w:cantSplit w:val="0"/>
          <w:trHeight w:val="509.303365651477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Login de Clientes y Empleados</w:t>
            </w:r>
          </w:p>
        </w:tc>
        <w:tc>
          <w:tcPr>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t xml:space="preserve">Alto</w:t>
            </w:r>
          </w:p>
        </w:tc>
        <w:tc>
          <w:tcPr>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t xml:space="preserve">Aprobado</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Se aprueba como un requisito de seguridad indispensable. Aunque el sistema sea sencillo, la protección de la privacidad del paciente es una prioridad legal y técnica. El desarrollo de un módulo de autenticación básico permitirá asegurar que cada usuario acceda únicamente a su información personal.</w:t>
            </w:r>
          </w:p>
        </w:tc>
      </w:tr>
      <w:tr>
        <w:trPr>
          <w:cantSplit w:val="0"/>
          <w:trHeight w:val="509.303365651477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Responsive: Poder Descargar una Versión de Escritorio y Móvil</w:t>
            </w:r>
          </w:p>
        </w:tc>
        <w:tc>
          <w:tcPr>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t xml:space="preserve">Alto</w:t>
            </w:r>
          </w:p>
        </w:tc>
        <w:tc>
          <w:tcPr>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t xml:space="preserve">Aprobado</w:t>
            </w:r>
          </w:p>
          <w:p w:rsidR="00000000" w:rsidDel="00000000" w:rsidP="00000000" w:rsidRDefault="00000000" w:rsidRPr="00000000" w14:paraId="00000069">
            <w:pPr>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Se aprueba para la fase de diseño UX/UI para asegurar que la interfaz sea accesible tanto en smartphones como en monitores. Se posterga su programación para priorizar el funcionamiento del sistema en el formato móvil (principal), dejando la adaptación fluida de escritorio para una etapa de pulido técnico.</w:t>
            </w:r>
          </w:p>
        </w:tc>
      </w:tr>
    </w:tbl>
    <w:p w:rsidR="00000000" w:rsidDel="00000000" w:rsidP="00000000" w:rsidRDefault="00000000" w:rsidRPr="00000000" w14:paraId="0000006B">
      <w:pPr>
        <w:spacing w:after="240" w:before="240" w:lineRule="auto"/>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0000000000001" w:footer="720.000000000000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28575</wp:posOffset>
          </wp:positionV>
          <wp:extent cx="4834895" cy="869394"/>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0" l="13495" r="9820" t="7246"/>
                  <a:stretch>
                    <a:fillRect/>
                  </a:stretch>
                </pic:blipFill>
                <pic:spPr>
                  <a:xfrm>
                    <a:off x="0" y="0"/>
                    <a:ext cx="4834895" cy="869394"/>
                  </a:xfrm>
                  <a:prstGeom prst="rect"/>
                  <a:ln/>
                </pic:spPr>
              </pic:pic>
            </a:graphicData>
          </a:graphic>
        </wp:anchor>
      </w:drawing>
    </w:r>
  </w:p>
  <w:p w:rsidR="00000000" w:rsidDel="00000000" w:rsidP="00000000" w:rsidRDefault="00000000" w:rsidRPr="00000000" w14:paraId="0000006F">
    <w:pPr>
      <w:jc w:val="right"/>
      <w:rPr>
        <w:b w:val="1"/>
        <w:bCs w:val="1"/>
        <w:sz w:val="30"/>
        <w:szCs w:val="30"/>
      </w:rPr>
    </w:pPr>
    <w:r w:rsidDel="00000000" w:rsidR="00000000" w:rsidRPr="00000000">
      <w:rPr>
        <w:b w:val="1"/>
        <w:bCs w:val="1"/>
        <w:sz w:val="30"/>
        <w:szCs w:val="30"/>
        <w:rtl w:val="0"/>
      </w:rPr>
      <w:t xml:space="preserve">Pág.</w:t>
    </w:r>
    <w:r w:rsidDel="00000000" w:rsidR="00000000" w:rsidRPr="00000000">
      <w:rPr>
        <w:b w:val="1"/>
        <w:bCs w:val="1"/>
        <w:sz w:val="30"/>
        <w:szCs w:val="3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-190499</wp:posOffset>
          </wp:positionV>
          <wp:extent cx="4834895" cy="869394"/>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
                  <a:srcRect b="0" l="13495" r="9820" t="7246"/>
                  <a:stretch>
                    <a:fillRect/>
                  </a:stretch>
                </pic:blipFill>
                <pic:spPr>
                  <a:xfrm>
                    <a:off x="0" y="0"/>
                    <a:ext cx="4834895" cy="86939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drawing>
        <wp:anchor allowOverlap="1" behindDoc="0" distB="0" distT="0" distL="0" distR="0" hidden="0" layoutInCell="1" locked="0" relativeHeight="0" simplePos="0">
          <wp:simplePos x="0" y="0"/>
          <wp:positionH relativeFrom="page">
            <wp:posOffset>-342899</wp:posOffset>
          </wp:positionH>
          <wp:positionV relativeFrom="page">
            <wp:posOffset>4763</wp:posOffset>
          </wp:positionV>
          <wp:extent cx="9039225" cy="442913"/>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039225" cy="442913"/>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drawing>
        <wp:anchor allowOverlap="1" behindDoc="0" distB="0" distT="0" distL="0" distR="0" hidden="0" layoutInCell="1" locked="0" relativeHeight="0" simplePos="0">
          <wp:simplePos x="0" y="0"/>
          <wp:positionH relativeFrom="page">
            <wp:posOffset>-295274</wp:posOffset>
          </wp:positionH>
          <wp:positionV relativeFrom="page">
            <wp:posOffset>-9524</wp:posOffset>
          </wp:positionV>
          <wp:extent cx="9039225" cy="442913"/>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039225" cy="442913"/>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241463</wp:posOffset>
          </wp:positionH>
          <wp:positionV relativeFrom="paragraph">
            <wp:posOffset>-19049</wp:posOffset>
          </wp:positionV>
          <wp:extent cx="5243513" cy="1694604"/>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2"/>
                  <a:srcRect b="38659" l="14075" r="18181" t="28448"/>
                  <a:stretch>
                    <a:fillRect/>
                  </a:stretch>
                </pic:blipFill>
                <pic:spPr>
                  <a:xfrm>
                    <a:off x="0" y="0"/>
                    <a:ext cx="5243513" cy="169460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44"/>
      <w:szCs w:val="44"/>
      <w:u w:val="single"/>
    </w:rPr>
  </w:style>
  <w:style w:type="paragraph" w:styleId="Heading2">
    <w:name w:val="heading 2"/>
    <w:basedOn w:val="Normal"/>
    <w:next w:val="Normal"/>
    <w:pPr>
      <w:keepNext w:val="1"/>
      <w:keepLines w:val="1"/>
      <w:spacing w:after="120" w:before="360" w:lineRule="auto"/>
    </w:pPr>
    <w:rPr>
      <w:b w:val="1"/>
      <w:bCs w:val="1"/>
      <w:sz w:val="32"/>
      <w:szCs w:val="32"/>
      <w:u w:val="single"/>
    </w:rPr>
  </w:style>
  <w:style w:type="paragraph" w:styleId="Heading3">
    <w:name w:val="heading 3"/>
    <w:basedOn w:val="Normal"/>
    <w:next w:val="Normal"/>
    <w:pPr>
      <w:keepNext w:val="1"/>
      <w:keepLines w:val="1"/>
      <w:spacing w:after="80" w:before="320" w:lineRule="auto"/>
    </w:pPr>
    <w:rPr>
      <w:color w:val="434343"/>
      <w:sz w:val="28"/>
      <w:szCs w:val="28"/>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