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2A3" w:rsidRDefault="00800E96" w:rsidP="0058736D">
      <w:pPr>
        <w:rPr>
          <w:sz w:val="28"/>
          <w:szCs w:val="28"/>
        </w:rPr>
      </w:pPr>
      <w:r>
        <w:rPr>
          <w:sz w:val="28"/>
          <w:szCs w:val="28"/>
          <w:highlight w:val="yellow"/>
        </w:rPr>
        <w:t xml:space="preserve">Semana </w:t>
      </w:r>
      <w:r w:rsidR="00004991">
        <w:rPr>
          <w:sz w:val="28"/>
          <w:szCs w:val="28"/>
          <w:highlight w:val="yellow"/>
        </w:rPr>
        <w:t>7</w:t>
      </w:r>
      <w:r w:rsidR="00961504" w:rsidRPr="00C677DE">
        <w:rPr>
          <w:sz w:val="28"/>
          <w:szCs w:val="28"/>
          <w:highlight w:val="yellow"/>
        </w:rPr>
        <w:t>:</w:t>
      </w:r>
      <w:r w:rsidR="00961504" w:rsidRPr="00F013DB">
        <w:rPr>
          <w:sz w:val="28"/>
          <w:szCs w:val="28"/>
        </w:rPr>
        <w:t xml:space="preserve"> </w:t>
      </w:r>
      <w:r w:rsidR="00004991" w:rsidRPr="00004991">
        <w:rPr>
          <w:sz w:val="28"/>
          <w:szCs w:val="28"/>
        </w:rPr>
        <w:t>Fisiopatología de la Presión Arterial.</w:t>
      </w:r>
    </w:p>
    <w:p w:rsidR="00024DD2" w:rsidRDefault="00024DD2" w:rsidP="009A7B56">
      <w:r>
        <w:t>Concepto de presión arterial</w:t>
      </w:r>
    </w:p>
    <w:p w:rsidR="008A3E6E" w:rsidRDefault="008A3E6E" w:rsidP="008A3E6E">
      <w:r w:rsidRPr="008A3E6E">
        <w:t>La presión arterial es la fuerza que ejerce la sangre contra las paredes de las arterias mientras circula por el sistema cardiovascular.</w:t>
      </w:r>
    </w:p>
    <w:p w:rsidR="00024DD2" w:rsidRDefault="00024DD2" w:rsidP="008A3E6E">
      <w:r>
        <w:t xml:space="preserve">Definición de hipertensión arterial </w:t>
      </w:r>
    </w:p>
    <w:p w:rsidR="00024DD2" w:rsidRPr="008A3E6E" w:rsidRDefault="00024DD2" w:rsidP="008A3E6E">
      <w:r>
        <w:t>La HTA se define como una PA elevada de forma mantenida. Las guías norteamericanas, propuestas por el American College of Cardiology, la American Heart Association y una serie de sociedades e instituciones relacionadas (ACC/AHA 2017), han definido HTA como unas cifras de PA iguales</w:t>
      </w:r>
      <w:r w:rsidR="007D3B7B">
        <w:t xml:space="preserve"> o superiores a 130/80 </w:t>
      </w:r>
      <w:r w:rsidR="00680C7C">
        <w:t>mmHg.</w:t>
      </w:r>
      <w:r>
        <w:t xml:space="preserve"> Sin embargo, en Europa las guías ESC/ESH 2018 han mantenido el umbral definitorio de HTA en 140/90 mmHg1</w:t>
      </w:r>
    </w:p>
    <w:p w:rsidR="00D06541" w:rsidRDefault="00D06541" w:rsidP="009A7B56"/>
    <w:p w:rsidR="00D06541" w:rsidRPr="00084336" w:rsidRDefault="00D06541" w:rsidP="009A7B56">
      <w:pPr>
        <w:rPr>
          <w:sz w:val="28"/>
          <w:szCs w:val="28"/>
        </w:rPr>
      </w:pPr>
      <w:r w:rsidRPr="005F3E8F">
        <w:rPr>
          <w:sz w:val="28"/>
          <w:szCs w:val="28"/>
          <w:highlight w:val="yellow"/>
        </w:rPr>
        <w:t xml:space="preserve">Clasificación de la presión arterial </w:t>
      </w:r>
      <w:r w:rsidR="005F3E8F" w:rsidRPr="005F3E8F">
        <w:rPr>
          <w:sz w:val="28"/>
          <w:szCs w:val="28"/>
          <w:highlight w:val="yellow"/>
        </w:rPr>
        <w:t>según la Sociedad Española de Hiertentensión</w:t>
      </w:r>
      <w:r w:rsidR="005F3E8F">
        <w:rPr>
          <w:sz w:val="28"/>
          <w:szCs w:val="28"/>
        </w:rPr>
        <w:t xml:space="preserve"> </w:t>
      </w:r>
      <w:r w:rsidR="005F3E8F" w:rsidRPr="005F3E8F">
        <w:rPr>
          <w:sz w:val="28"/>
          <w:szCs w:val="28"/>
          <w:highlight w:val="yellow"/>
        </w:rPr>
        <w:t>en guía práctica</w:t>
      </w:r>
      <w:r w:rsidR="005F3E8F">
        <w:rPr>
          <w:sz w:val="28"/>
          <w:szCs w:val="28"/>
          <w:highlight w:val="yellow"/>
        </w:rPr>
        <w:t xml:space="preserve"> del</w:t>
      </w:r>
      <w:r w:rsidR="005F3E8F" w:rsidRPr="005F3E8F">
        <w:rPr>
          <w:sz w:val="28"/>
          <w:szCs w:val="28"/>
          <w:highlight w:val="yellow"/>
        </w:rPr>
        <w:t xml:space="preserve"> 2022</w:t>
      </w:r>
    </w:p>
    <w:p w:rsidR="00A44B9D" w:rsidRDefault="00322864" w:rsidP="009A7B56">
      <w:r>
        <w:t>PA óptima</w:t>
      </w:r>
      <w:r w:rsidR="00084336">
        <w:t>:</w:t>
      </w:r>
      <w:r>
        <w:t xml:space="preserve"> &lt; 120 mmHg y &lt; 80 mmHg </w:t>
      </w:r>
    </w:p>
    <w:p w:rsidR="00A44B9D" w:rsidRDefault="00A44B9D" w:rsidP="009A7B56">
      <w:r>
        <w:t xml:space="preserve">PA normal: Presión arterial sistólica entre </w:t>
      </w:r>
      <w:r w:rsidR="00322864">
        <w:t xml:space="preserve">120-129 mmHg </w:t>
      </w:r>
      <w:r>
        <w:t>y Presión arterial diastólica entre 80</w:t>
      </w:r>
      <w:r w:rsidR="00322864">
        <w:t xml:space="preserve">-84 mmHg </w:t>
      </w:r>
    </w:p>
    <w:p w:rsidR="00A44B9D" w:rsidRDefault="00322864" w:rsidP="009A7B56">
      <w:r>
        <w:t>PA normal-alta</w:t>
      </w:r>
      <w:r w:rsidR="00084336">
        <w:t>:</w:t>
      </w:r>
      <w:r>
        <w:t xml:space="preserve"> 130-139 mmHg o 85-89 mmHg</w:t>
      </w:r>
    </w:p>
    <w:p w:rsidR="00A44B9D" w:rsidRDefault="00322864" w:rsidP="009A7B56">
      <w:r>
        <w:t xml:space="preserve"> HTA grado 1</w:t>
      </w:r>
      <w:r w:rsidR="00084336">
        <w:t>:</w:t>
      </w:r>
      <w:r>
        <w:t xml:space="preserve"> 140-159 mmHg o 90-99 mmHg</w:t>
      </w:r>
    </w:p>
    <w:p w:rsidR="00A44B9D" w:rsidRDefault="00322864" w:rsidP="009A7B56">
      <w:r>
        <w:t xml:space="preserve"> HTA grado 2</w:t>
      </w:r>
      <w:r w:rsidR="00084336">
        <w:t>:</w:t>
      </w:r>
      <w:r>
        <w:t xml:space="preserve"> 160-179 mmHg o 100-109 mmHg</w:t>
      </w:r>
    </w:p>
    <w:p w:rsidR="00A44B9D" w:rsidRDefault="00322864" w:rsidP="009A7B56">
      <w:r>
        <w:t xml:space="preserve"> HTA grado 3</w:t>
      </w:r>
      <w:r w:rsidR="00084336">
        <w:t>:</w:t>
      </w:r>
      <w:r>
        <w:t xml:space="preserve"> ≥ 180 mmHg o ≥ 110 mmHg</w:t>
      </w:r>
    </w:p>
    <w:p w:rsidR="00A44B9D" w:rsidRDefault="00322864" w:rsidP="009A7B56">
      <w:r>
        <w:t xml:space="preserve"> HTA sistólica aislada</w:t>
      </w:r>
      <w:r w:rsidR="00084336">
        <w:t>:</w:t>
      </w:r>
      <w:r>
        <w:t xml:space="preserve"> ≥ 140 mmHg y &lt; 90 mmHg</w:t>
      </w:r>
    </w:p>
    <w:p w:rsidR="008F192B" w:rsidRDefault="005F3E8F" w:rsidP="009A7B56">
      <w:r>
        <w:t xml:space="preserve">Fuente: </w:t>
      </w:r>
      <w:hyperlink r:id="rId5" w:history="1">
        <w:r>
          <w:rPr>
            <w:rStyle w:val="Hipervnculo"/>
          </w:rPr>
          <w:t>Guia-Practica-sobre-el-diagnostivo-y-tratamiento-de-la-hipertension-arterial- Sociedad Española.pdf</w:t>
        </w:r>
      </w:hyperlink>
    </w:p>
    <w:p w:rsidR="00272016" w:rsidRDefault="00272016" w:rsidP="009A7B56"/>
    <w:p w:rsidR="009A7B56" w:rsidRPr="00FB4FB0" w:rsidRDefault="00461DAA" w:rsidP="009A7B56">
      <w:pPr>
        <w:rPr>
          <w:sz w:val="28"/>
          <w:szCs w:val="28"/>
        </w:rPr>
      </w:pPr>
      <w:bookmarkStart w:id="0" w:name="_GoBack"/>
      <w:bookmarkEnd w:id="0"/>
      <w:r w:rsidRPr="00FB4FB0">
        <w:rPr>
          <w:sz w:val="28"/>
          <w:szCs w:val="28"/>
          <w:highlight w:val="yellow"/>
        </w:rPr>
        <w:t>Causas</w:t>
      </w:r>
    </w:p>
    <w:p w:rsidR="008F192B" w:rsidRDefault="008F192B" w:rsidP="009A7B56">
      <w:r>
        <w:t>La causa más frecuente de HTA es la HTA esencial o primaria que corresponde aproximadamente al 90-95% de los casos. La HTA secundaria suele detectarse en un 5-10% de los pacientes hipertensos, si bien la prevalencia varía en función de la edad y el context</w:t>
      </w:r>
      <w:r>
        <w:t>o clínico</w:t>
      </w:r>
      <w:r>
        <w:t>. La HTA secundaria, entendida como una HTA ocasionada por una etiología corregible, es mucho menos frecuente en la práctica clínica, ya que con frecuencia el tratamiento de la causa no conlleva la normalización de la PA debido a la alta prevalencia de HTA e</w:t>
      </w:r>
      <w:r>
        <w:t xml:space="preserve">sencial subyacente o a un daño </w:t>
      </w:r>
      <w:r>
        <w:t>vascular ya establecido. Es probable que la prevalencia de HTA secundaria en la práctica clínica diaria, salvo en el caso de la edad pediátrica, sea menor al 5-10% pues los estudios en los que se basan estas cifras analizaron mayoritariamente en cohortes seleccionadas y no en población general hipertensa. La HTA esencial es un trastorno muy heterogéneo de base poligénica en el que influyen múltiples genes</w:t>
      </w:r>
      <w:r>
        <w:t xml:space="preserve"> o combinaciones genéticas</w:t>
      </w:r>
      <w:r>
        <w:t xml:space="preserve">. Se han identificado hasta 120 loci asociados con la regulación de la PA, pero incluso </w:t>
      </w:r>
      <w:r>
        <w:lastRenderedPageBreak/>
        <w:t>analizados conjuntamente, explican una mínima parte de la herencia de la HTA27 . Existen unas formas monogénicas de HTA, infrecuentes, como el síndrome de Liddle o el aldosteronismo corregible mediante glucocorticoides, en las que una única mutación</w:t>
      </w:r>
      <w:r>
        <w:t xml:space="preserve"> genética condiciona la HTA.</w:t>
      </w:r>
      <w:r>
        <w:t xml:space="preserve"> En la HTA esencial, sobre la base poligénica citada, existen una serie de factores adquiridos o ambientales que ejercen un efecto deletéreo para el desarrollo de HTA. Entre estos factores destacan el sobrepeso y la obesidad, el sedentarismo, el contenido elevado en sal de la dieta, la dieta pobre en potasio y la ingesta excesiva de alcohol. Con respecto a la HTA secundaria, las causas se clasifican en frecuentes e infrecuentes. Entre las primeras figuran la enfermedad renal parenquimatosa, la enfermedad renovascular, el hiperaldosteronismo primario, el síndrome de apnea-hipopnea del sueno˜ y la HTA inducida por fármacos o drogas incluido el alcohol. Entre las causas infrecuentes de HTA destacan el feocromocitoma, el síndrome de Cushing, el hipertiroidismo, el hipotiroidismo, el hiperparatiroidismo, la coartación de aorta y varios síndromes de disfunción suprarrenal distintos a los anteriore</w:t>
      </w:r>
      <w:r w:rsidR="00E834D8">
        <w:t>s</w:t>
      </w:r>
      <w:r w:rsidR="00680C7C">
        <w:t>.</w:t>
      </w:r>
    </w:p>
    <w:p w:rsidR="008F192B" w:rsidRPr="002E1C5A" w:rsidRDefault="008F192B" w:rsidP="009A7B56"/>
    <w:sectPr w:rsidR="008F192B" w:rsidRPr="002E1C5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0254"/>
    <w:multiLevelType w:val="multilevel"/>
    <w:tmpl w:val="166E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17B54"/>
    <w:multiLevelType w:val="multilevel"/>
    <w:tmpl w:val="414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740F3"/>
    <w:multiLevelType w:val="multilevel"/>
    <w:tmpl w:val="B90C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631E9"/>
    <w:multiLevelType w:val="multilevel"/>
    <w:tmpl w:val="C3E6E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D33EB"/>
    <w:multiLevelType w:val="multilevel"/>
    <w:tmpl w:val="D43C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B73E7"/>
    <w:multiLevelType w:val="multilevel"/>
    <w:tmpl w:val="7FB4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C6B73"/>
    <w:multiLevelType w:val="multilevel"/>
    <w:tmpl w:val="F5CC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A317B"/>
    <w:multiLevelType w:val="multilevel"/>
    <w:tmpl w:val="D1A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22203"/>
    <w:multiLevelType w:val="hybridMultilevel"/>
    <w:tmpl w:val="FC72676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59CB034B"/>
    <w:multiLevelType w:val="multilevel"/>
    <w:tmpl w:val="1C2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47048"/>
    <w:multiLevelType w:val="multilevel"/>
    <w:tmpl w:val="B00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615BF"/>
    <w:multiLevelType w:val="multilevel"/>
    <w:tmpl w:val="015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96CFA"/>
    <w:multiLevelType w:val="multilevel"/>
    <w:tmpl w:val="0AE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62F6F"/>
    <w:multiLevelType w:val="multilevel"/>
    <w:tmpl w:val="C0C8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5C2E2A"/>
    <w:multiLevelType w:val="multilevel"/>
    <w:tmpl w:val="7D96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71046"/>
    <w:multiLevelType w:val="multilevel"/>
    <w:tmpl w:val="01B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11"/>
  </w:num>
  <w:num w:numId="5">
    <w:abstractNumId w:val="3"/>
  </w:num>
  <w:num w:numId="6">
    <w:abstractNumId w:val="12"/>
  </w:num>
  <w:num w:numId="7">
    <w:abstractNumId w:val="17"/>
  </w:num>
  <w:num w:numId="8">
    <w:abstractNumId w:val="10"/>
  </w:num>
  <w:num w:numId="9">
    <w:abstractNumId w:val="8"/>
  </w:num>
  <w:num w:numId="10">
    <w:abstractNumId w:val="13"/>
  </w:num>
  <w:num w:numId="11">
    <w:abstractNumId w:val="20"/>
  </w:num>
  <w:num w:numId="12">
    <w:abstractNumId w:val="14"/>
  </w:num>
  <w:num w:numId="13">
    <w:abstractNumId w:val="22"/>
  </w:num>
  <w:num w:numId="14">
    <w:abstractNumId w:val="19"/>
  </w:num>
  <w:num w:numId="15">
    <w:abstractNumId w:val="18"/>
  </w:num>
  <w:num w:numId="16">
    <w:abstractNumId w:val="7"/>
  </w:num>
  <w:num w:numId="17">
    <w:abstractNumId w:val="0"/>
  </w:num>
  <w:num w:numId="18">
    <w:abstractNumId w:val="5"/>
  </w:num>
  <w:num w:numId="19">
    <w:abstractNumId w:val="15"/>
  </w:num>
  <w:num w:numId="20">
    <w:abstractNumId w:val="6"/>
  </w:num>
  <w:num w:numId="21">
    <w:abstractNumId w:val="16"/>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9C"/>
    <w:rsid w:val="00004991"/>
    <w:rsid w:val="0001062A"/>
    <w:rsid w:val="00024DD2"/>
    <w:rsid w:val="00052BE5"/>
    <w:rsid w:val="00066380"/>
    <w:rsid w:val="00084336"/>
    <w:rsid w:val="000E0196"/>
    <w:rsid w:val="000F64C0"/>
    <w:rsid w:val="00122680"/>
    <w:rsid w:val="00141F24"/>
    <w:rsid w:val="0015708B"/>
    <w:rsid w:val="001A0CB7"/>
    <w:rsid w:val="001A1662"/>
    <w:rsid w:val="001F5CF9"/>
    <w:rsid w:val="00272016"/>
    <w:rsid w:val="002D387C"/>
    <w:rsid w:val="002E1C5A"/>
    <w:rsid w:val="002F2E88"/>
    <w:rsid w:val="0031044F"/>
    <w:rsid w:val="00322864"/>
    <w:rsid w:val="00380397"/>
    <w:rsid w:val="003B3048"/>
    <w:rsid w:val="003E0140"/>
    <w:rsid w:val="003F71C9"/>
    <w:rsid w:val="004132F4"/>
    <w:rsid w:val="0043101E"/>
    <w:rsid w:val="00461DAA"/>
    <w:rsid w:val="004D490A"/>
    <w:rsid w:val="00532498"/>
    <w:rsid w:val="00555DCE"/>
    <w:rsid w:val="0056110E"/>
    <w:rsid w:val="005650B9"/>
    <w:rsid w:val="005822A3"/>
    <w:rsid w:val="0058736D"/>
    <w:rsid w:val="005F3E8F"/>
    <w:rsid w:val="006207A3"/>
    <w:rsid w:val="00644A45"/>
    <w:rsid w:val="00663C9E"/>
    <w:rsid w:val="00680C7C"/>
    <w:rsid w:val="006D49FD"/>
    <w:rsid w:val="006D736A"/>
    <w:rsid w:val="006F6EC9"/>
    <w:rsid w:val="00711AC6"/>
    <w:rsid w:val="007A7AD9"/>
    <w:rsid w:val="007D3B7B"/>
    <w:rsid w:val="00800E96"/>
    <w:rsid w:val="00813194"/>
    <w:rsid w:val="00895D58"/>
    <w:rsid w:val="008A3E6E"/>
    <w:rsid w:val="008F192B"/>
    <w:rsid w:val="008F4E33"/>
    <w:rsid w:val="00961504"/>
    <w:rsid w:val="009A7B56"/>
    <w:rsid w:val="009B1224"/>
    <w:rsid w:val="009D1571"/>
    <w:rsid w:val="009E7889"/>
    <w:rsid w:val="00A11C96"/>
    <w:rsid w:val="00A25A10"/>
    <w:rsid w:val="00A44B9D"/>
    <w:rsid w:val="00A716A9"/>
    <w:rsid w:val="00AB14F7"/>
    <w:rsid w:val="00AD4546"/>
    <w:rsid w:val="00AF4FE3"/>
    <w:rsid w:val="00B2426D"/>
    <w:rsid w:val="00B31531"/>
    <w:rsid w:val="00B5289C"/>
    <w:rsid w:val="00B56E9D"/>
    <w:rsid w:val="00C12802"/>
    <w:rsid w:val="00C35EB6"/>
    <w:rsid w:val="00C677DE"/>
    <w:rsid w:val="00C74F05"/>
    <w:rsid w:val="00CE0C2B"/>
    <w:rsid w:val="00CF18A0"/>
    <w:rsid w:val="00D06541"/>
    <w:rsid w:val="00D3265A"/>
    <w:rsid w:val="00D632B0"/>
    <w:rsid w:val="00D6469E"/>
    <w:rsid w:val="00D67562"/>
    <w:rsid w:val="00D80417"/>
    <w:rsid w:val="00DA53C9"/>
    <w:rsid w:val="00E23F0C"/>
    <w:rsid w:val="00E2629F"/>
    <w:rsid w:val="00E35988"/>
    <w:rsid w:val="00E46EEE"/>
    <w:rsid w:val="00E61563"/>
    <w:rsid w:val="00E64BB7"/>
    <w:rsid w:val="00E834D8"/>
    <w:rsid w:val="00EC2CD5"/>
    <w:rsid w:val="00ED4CFD"/>
    <w:rsid w:val="00ED55BA"/>
    <w:rsid w:val="00EE585A"/>
    <w:rsid w:val="00F013DB"/>
    <w:rsid w:val="00F50887"/>
    <w:rsid w:val="00F66C0B"/>
    <w:rsid w:val="00FB4FB0"/>
    <w:rsid w:val="00FC002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BF5E"/>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 w:type="paragraph" w:styleId="z-Finaldelformulario">
    <w:name w:val="HTML Bottom of Form"/>
    <w:basedOn w:val="Normal"/>
    <w:next w:val="Normal"/>
    <w:link w:val="z-FinaldelformularioCar"/>
    <w:hidden/>
    <w:uiPriority w:val="99"/>
    <w:semiHidden/>
    <w:unhideWhenUsed/>
    <w:rsid w:val="00F66C0B"/>
    <w:pPr>
      <w:pBdr>
        <w:top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FinaldelformularioCar">
    <w:name w:val="z-Final del formulario Car"/>
    <w:basedOn w:val="Fuentedeprrafopredeter"/>
    <w:link w:val="z-Finaldelformulario"/>
    <w:uiPriority w:val="99"/>
    <w:semiHidden/>
    <w:rsid w:val="00F66C0B"/>
    <w:rPr>
      <w:rFonts w:ascii="Arial" w:eastAsia="Times New Roman" w:hAnsi="Arial" w:cs="Arial"/>
      <w:vanish/>
      <w:sz w:val="16"/>
      <w:szCs w:val="16"/>
      <w:lang w:eastAsia="es-DO"/>
    </w:rPr>
  </w:style>
  <w:style w:type="character" w:customStyle="1" w:styleId="sc-2a2a0c3b-0">
    <w:name w:val="sc-2a2a0c3b-0"/>
    <w:basedOn w:val="Fuentedeprrafopredeter"/>
    <w:rsid w:val="00895D58"/>
  </w:style>
  <w:style w:type="character" w:styleId="Hipervnculo">
    <w:name w:val="Hyperlink"/>
    <w:basedOn w:val="Fuentedeprrafopredeter"/>
    <w:uiPriority w:val="99"/>
    <w:semiHidden/>
    <w:unhideWhenUsed/>
    <w:rsid w:val="005F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282">
      <w:bodyDiv w:val="1"/>
      <w:marLeft w:val="0"/>
      <w:marRight w:val="0"/>
      <w:marTop w:val="0"/>
      <w:marBottom w:val="0"/>
      <w:divBdr>
        <w:top w:val="none" w:sz="0" w:space="0" w:color="auto"/>
        <w:left w:val="none" w:sz="0" w:space="0" w:color="auto"/>
        <w:bottom w:val="none" w:sz="0" w:space="0" w:color="auto"/>
        <w:right w:val="none" w:sz="0" w:space="0" w:color="auto"/>
      </w:divBdr>
    </w:div>
    <w:div w:id="21828423">
      <w:bodyDiv w:val="1"/>
      <w:marLeft w:val="0"/>
      <w:marRight w:val="0"/>
      <w:marTop w:val="0"/>
      <w:marBottom w:val="0"/>
      <w:divBdr>
        <w:top w:val="none" w:sz="0" w:space="0" w:color="auto"/>
        <w:left w:val="none" w:sz="0" w:space="0" w:color="auto"/>
        <w:bottom w:val="none" w:sz="0" w:space="0" w:color="auto"/>
        <w:right w:val="none" w:sz="0" w:space="0" w:color="auto"/>
      </w:divBdr>
    </w:div>
    <w:div w:id="78523754">
      <w:bodyDiv w:val="1"/>
      <w:marLeft w:val="0"/>
      <w:marRight w:val="0"/>
      <w:marTop w:val="0"/>
      <w:marBottom w:val="0"/>
      <w:divBdr>
        <w:top w:val="none" w:sz="0" w:space="0" w:color="auto"/>
        <w:left w:val="none" w:sz="0" w:space="0" w:color="auto"/>
        <w:bottom w:val="none" w:sz="0" w:space="0" w:color="auto"/>
        <w:right w:val="none" w:sz="0" w:space="0" w:color="auto"/>
      </w:divBdr>
      <w:divsChild>
        <w:div w:id="7358580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2827">
              <w:marLeft w:val="0"/>
              <w:marRight w:val="0"/>
              <w:marTop w:val="0"/>
              <w:marBottom w:val="0"/>
              <w:divBdr>
                <w:top w:val="single" w:sz="2" w:space="0" w:color="D9D9E3"/>
                <w:left w:val="single" w:sz="2" w:space="0" w:color="D9D9E3"/>
                <w:bottom w:val="single" w:sz="2" w:space="0" w:color="D9D9E3"/>
                <w:right w:val="single" w:sz="2" w:space="0" w:color="D9D9E3"/>
              </w:divBdr>
              <w:divsChild>
                <w:div w:id="87819301">
                  <w:marLeft w:val="0"/>
                  <w:marRight w:val="0"/>
                  <w:marTop w:val="0"/>
                  <w:marBottom w:val="0"/>
                  <w:divBdr>
                    <w:top w:val="single" w:sz="2" w:space="0" w:color="D9D9E3"/>
                    <w:left w:val="single" w:sz="2" w:space="0" w:color="D9D9E3"/>
                    <w:bottom w:val="single" w:sz="2" w:space="0" w:color="D9D9E3"/>
                    <w:right w:val="single" w:sz="2" w:space="0" w:color="D9D9E3"/>
                  </w:divBdr>
                  <w:divsChild>
                    <w:div w:id="1375691813">
                      <w:marLeft w:val="0"/>
                      <w:marRight w:val="0"/>
                      <w:marTop w:val="0"/>
                      <w:marBottom w:val="0"/>
                      <w:divBdr>
                        <w:top w:val="single" w:sz="2" w:space="0" w:color="D9D9E3"/>
                        <w:left w:val="single" w:sz="2" w:space="0" w:color="D9D9E3"/>
                        <w:bottom w:val="single" w:sz="2" w:space="0" w:color="D9D9E3"/>
                        <w:right w:val="single" w:sz="2" w:space="0" w:color="D9D9E3"/>
                      </w:divBdr>
                      <w:divsChild>
                        <w:div w:id="2133205924">
                          <w:marLeft w:val="0"/>
                          <w:marRight w:val="0"/>
                          <w:marTop w:val="0"/>
                          <w:marBottom w:val="0"/>
                          <w:divBdr>
                            <w:top w:val="single" w:sz="2" w:space="0" w:color="auto"/>
                            <w:left w:val="single" w:sz="2" w:space="0" w:color="auto"/>
                            <w:bottom w:val="single" w:sz="6" w:space="0" w:color="auto"/>
                            <w:right w:val="single" w:sz="2" w:space="0" w:color="auto"/>
                          </w:divBdr>
                          <w:divsChild>
                            <w:div w:id="2515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838056">
                                  <w:marLeft w:val="0"/>
                                  <w:marRight w:val="0"/>
                                  <w:marTop w:val="0"/>
                                  <w:marBottom w:val="0"/>
                                  <w:divBdr>
                                    <w:top w:val="single" w:sz="2" w:space="0" w:color="D9D9E3"/>
                                    <w:left w:val="single" w:sz="2" w:space="0" w:color="D9D9E3"/>
                                    <w:bottom w:val="single" w:sz="2" w:space="0" w:color="D9D9E3"/>
                                    <w:right w:val="single" w:sz="2" w:space="0" w:color="D9D9E3"/>
                                  </w:divBdr>
                                  <w:divsChild>
                                    <w:div w:id="749932165">
                                      <w:marLeft w:val="0"/>
                                      <w:marRight w:val="0"/>
                                      <w:marTop w:val="0"/>
                                      <w:marBottom w:val="0"/>
                                      <w:divBdr>
                                        <w:top w:val="single" w:sz="2" w:space="0" w:color="D9D9E3"/>
                                        <w:left w:val="single" w:sz="2" w:space="0" w:color="D9D9E3"/>
                                        <w:bottom w:val="single" w:sz="2" w:space="0" w:color="D9D9E3"/>
                                        <w:right w:val="single" w:sz="2" w:space="0" w:color="D9D9E3"/>
                                      </w:divBdr>
                                      <w:divsChild>
                                        <w:div w:id="1550798544">
                                          <w:marLeft w:val="0"/>
                                          <w:marRight w:val="0"/>
                                          <w:marTop w:val="0"/>
                                          <w:marBottom w:val="0"/>
                                          <w:divBdr>
                                            <w:top w:val="single" w:sz="2" w:space="0" w:color="D9D9E3"/>
                                            <w:left w:val="single" w:sz="2" w:space="0" w:color="D9D9E3"/>
                                            <w:bottom w:val="single" w:sz="2" w:space="0" w:color="D9D9E3"/>
                                            <w:right w:val="single" w:sz="2" w:space="0" w:color="D9D9E3"/>
                                          </w:divBdr>
                                          <w:divsChild>
                                            <w:div w:id="79136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665600">
          <w:marLeft w:val="0"/>
          <w:marRight w:val="0"/>
          <w:marTop w:val="0"/>
          <w:marBottom w:val="0"/>
          <w:divBdr>
            <w:top w:val="none" w:sz="0" w:space="0" w:color="auto"/>
            <w:left w:val="none" w:sz="0" w:space="0" w:color="auto"/>
            <w:bottom w:val="none" w:sz="0" w:space="0" w:color="auto"/>
            <w:right w:val="none" w:sz="0" w:space="0" w:color="auto"/>
          </w:divBdr>
          <w:divsChild>
            <w:div w:id="455224669">
              <w:marLeft w:val="0"/>
              <w:marRight w:val="0"/>
              <w:marTop w:val="0"/>
              <w:marBottom w:val="0"/>
              <w:divBdr>
                <w:top w:val="single" w:sz="2" w:space="0" w:color="D9D9E3"/>
                <w:left w:val="single" w:sz="2" w:space="0" w:color="D9D9E3"/>
                <w:bottom w:val="single" w:sz="2" w:space="0" w:color="D9D9E3"/>
                <w:right w:val="single" w:sz="2" w:space="0" w:color="D9D9E3"/>
              </w:divBdr>
              <w:divsChild>
                <w:div w:id="594247269">
                  <w:marLeft w:val="0"/>
                  <w:marRight w:val="0"/>
                  <w:marTop w:val="0"/>
                  <w:marBottom w:val="0"/>
                  <w:divBdr>
                    <w:top w:val="single" w:sz="2" w:space="0" w:color="D9D9E3"/>
                    <w:left w:val="single" w:sz="2" w:space="0" w:color="D9D9E3"/>
                    <w:bottom w:val="single" w:sz="2" w:space="0" w:color="D9D9E3"/>
                    <w:right w:val="single" w:sz="2" w:space="0" w:color="D9D9E3"/>
                  </w:divBdr>
                  <w:divsChild>
                    <w:div w:id="2050106715">
                      <w:marLeft w:val="0"/>
                      <w:marRight w:val="0"/>
                      <w:marTop w:val="0"/>
                      <w:marBottom w:val="0"/>
                      <w:divBdr>
                        <w:top w:val="single" w:sz="2" w:space="0" w:color="D9D9E3"/>
                        <w:left w:val="single" w:sz="2" w:space="0" w:color="D9D9E3"/>
                        <w:bottom w:val="single" w:sz="2" w:space="0" w:color="D9D9E3"/>
                        <w:right w:val="single" w:sz="2" w:space="0" w:color="D9D9E3"/>
                      </w:divBdr>
                      <w:divsChild>
                        <w:div w:id="4221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79922">
                  <w:marLeft w:val="0"/>
                  <w:marRight w:val="0"/>
                  <w:marTop w:val="0"/>
                  <w:marBottom w:val="0"/>
                  <w:divBdr>
                    <w:top w:val="none" w:sz="0" w:space="0" w:color="auto"/>
                    <w:left w:val="none" w:sz="0" w:space="0" w:color="auto"/>
                    <w:bottom w:val="none" w:sz="0" w:space="0" w:color="auto"/>
                    <w:right w:val="none" w:sz="0" w:space="0" w:color="auto"/>
                  </w:divBdr>
                </w:div>
              </w:divsChild>
            </w:div>
            <w:div w:id="181051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43407">
      <w:bodyDiv w:val="1"/>
      <w:marLeft w:val="0"/>
      <w:marRight w:val="0"/>
      <w:marTop w:val="0"/>
      <w:marBottom w:val="0"/>
      <w:divBdr>
        <w:top w:val="none" w:sz="0" w:space="0" w:color="auto"/>
        <w:left w:val="none" w:sz="0" w:space="0" w:color="auto"/>
        <w:bottom w:val="none" w:sz="0" w:space="0" w:color="auto"/>
        <w:right w:val="none" w:sz="0" w:space="0" w:color="auto"/>
      </w:divBdr>
      <w:divsChild>
        <w:div w:id="1456556914">
          <w:marLeft w:val="0"/>
          <w:marRight w:val="0"/>
          <w:marTop w:val="0"/>
          <w:marBottom w:val="0"/>
          <w:divBdr>
            <w:top w:val="single" w:sz="2" w:space="0" w:color="D9D9E3"/>
            <w:left w:val="single" w:sz="2" w:space="0" w:color="D9D9E3"/>
            <w:bottom w:val="single" w:sz="2" w:space="0" w:color="D9D9E3"/>
            <w:right w:val="single" w:sz="2" w:space="0" w:color="D9D9E3"/>
          </w:divBdr>
          <w:divsChild>
            <w:div w:id="75324024">
              <w:marLeft w:val="0"/>
              <w:marRight w:val="0"/>
              <w:marTop w:val="0"/>
              <w:marBottom w:val="0"/>
              <w:divBdr>
                <w:top w:val="single" w:sz="2" w:space="0" w:color="D9D9E3"/>
                <w:left w:val="single" w:sz="2" w:space="0" w:color="D9D9E3"/>
                <w:bottom w:val="single" w:sz="2" w:space="0" w:color="D9D9E3"/>
                <w:right w:val="single" w:sz="2" w:space="0" w:color="D9D9E3"/>
              </w:divBdr>
              <w:divsChild>
                <w:div w:id="904606493">
                  <w:marLeft w:val="0"/>
                  <w:marRight w:val="0"/>
                  <w:marTop w:val="0"/>
                  <w:marBottom w:val="0"/>
                  <w:divBdr>
                    <w:top w:val="single" w:sz="2" w:space="0" w:color="D9D9E3"/>
                    <w:left w:val="single" w:sz="2" w:space="0" w:color="D9D9E3"/>
                    <w:bottom w:val="single" w:sz="2" w:space="0" w:color="D9D9E3"/>
                    <w:right w:val="single" w:sz="2" w:space="0" w:color="D9D9E3"/>
                  </w:divBdr>
                  <w:divsChild>
                    <w:div w:id="1235624306">
                      <w:marLeft w:val="0"/>
                      <w:marRight w:val="0"/>
                      <w:marTop w:val="0"/>
                      <w:marBottom w:val="0"/>
                      <w:divBdr>
                        <w:top w:val="single" w:sz="2" w:space="0" w:color="D9D9E3"/>
                        <w:left w:val="single" w:sz="2" w:space="0" w:color="D9D9E3"/>
                        <w:bottom w:val="single" w:sz="2" w:space="0" w:color="D9D9E3"/>
                        <w:right w:val="single" w:sz="2" w:space="0" w:color="D9D9E3"/>
                      </w:divBdr>
                      <w:divsChild>
                        <w:div w:id="1258517200">
                          <w:marLeft w:val="0"/>
                          <w:marRight w:val="0"/>
                          <w:marTop w:val="0"/>
                          <w:marBottom w:val="0"/>
                          <w:divBdr>
                            <w:top w:val="single" w:sz="2" w:space="0" w:color="auto"/>
                            <w:left w:val="single" w:sz="2" w:space="0" w:color="auto"/>
                            <w:bottom w:val="single" w:sz="6" w:space="0" w:color="auto"/>
                            <w:right w:val="single" w:sz="2" w:space="0" w:color="auto"/>
                          </w:divBdr>
                          <w:divsChild>
                            <w:div w:id="194912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809">
                                  <w:marLeft w:val="0"/>
                                  <w:marRight w:val="0"/>
                                  <w:marTop w:val="0"/>
                                  <w:marBottom w:val="0"/>
                                  <w:divBdr>
                                    <w:top w:val="single" w:sz="2" w:space="0" w:color="D9D9E3"/>
                                    <w:left w:val="single" w:sz="2" w:space="0" w:color="D9D9E3"/>
                                    <w:bottom w:val="single" w:sz="2" w:space="0" w:color="D9D9E3"/>
                                    <w:right w:val="single" w:sz="2" w:space="0" w:color="D9D9E3"/>
                                  </w:divBdr>
                                  <w:divsChild>
                                    <w:div w:id="1116875074">
                                      <w:marLeft w:val="0"/>
                                      <w:marRight w:val="0"/>
                                      <w:marTop w:val="0"/>
                                      <w:marBottom w:val="0"/>
                                      <w:divBdr>
                                        <w:top w:val="single" w:sz="2" w:space="0" w:color="D9D9E3"/>
                                        <w:left w:val="single" w:sz="2" w:space="0" w:color="D9D9E3"/>
                                        <w:bottom w:val="single" w:sz="2" w:space="0" w:color="D9D9E3"/>
                                        <w:right w:val="single" w:sz="2" w:space="0" w:color="D9D9E3"/>
                                      </w:divBdr>
                                      <w:divsChild>
                                        <w:div w:id="83276750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037865">
          <w:marLeft w:val="0"/>
          <w:marRight w:val="0"/>
          <w:marTop w:val="0"/>
          <w:marBottom w:val="0"/>
          <w:divBdr>
            <w:top w:val="none" w:sz="0" w:space="0" w:color="auto"/>
            <w:left w:val="none" w:sz="0" w:space="0" w:color="auto"/>
            <w:bottom w:val="none" w:sz="0" w:space="0" w:color="auto"/>
            <w:right w:val="none" w:sz="0" w:space="0" w:color="auto"/>
          </w:divBdr>
          <w:divsChild>
            <w:div w:id="1827743297">
              <w:marLeft w:val="0"/>
              <w:marRight w:val="0"/>
              <w:marTop w:val="0"/>
              <w:marBottom w:val="0"/>
              <w:divBdr>
                <w:top w:val="single" w:sz="2" w:space="0" w:color="D9D9E3"/>
                <w:left w:val="single" w:sz="2" w:space="0" w:color="D9D9E3"/>
                <w:bottom w:val="single" w:sz="2" w:space="0" w:color="D9D9E3"/>
                <w:right w:val="single" w:sz="2" w:space="0" w:color="D9D9E3"/>
              </w:divBdr>
              <w:divsChild>
                <w:div w:id="19274166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769">
                      <w:marLeft w:val="0"/>
                      <w:marRight w:val="0"/>
                      <w:marTop w:val="0"/>
                      <w:marBottom w:val="0"/>
                      <w:divBdr>
                        <w:top w:val="single" w:sz="2" w:space="0" w:color="D9D9E3"/>
                        <w:left w:val="single" w:sz="2" w:space="0" w:color="D9D9E3"/>
                        <w:bottom w:val="single" w:sz="2" w:space="0" w:color="D9D9E3"/>
                        <w:right w:val="single" w:sz="2" w:space="0" w:color="D9D9E3"/>
                      </w:divBdr>
                      <w:divsChild>
                        <w:div w:id="17838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6922">
                  <w:marLeft w:val="0"/>
                  <w:marRight w:val="0"/>
                  <w:marTop w:val="0"/>
                  <w:marBottom w:val="0"/>
                  <w:divBdr>
                    <w:top w:val="none" w:sz="0" w:space="0" w:color="auto"/>
                    <w:left w:val="none" w:sz="0" w:space="0" w:color="auto"/>
                    <w:bottom w:val="none" w:sz="0" w:space="0" w:color="auto"/>
                    <w:right w:val="none" w:sz="0" w:space="0" w:color="auto"/>
                  </w:divBdr>
                </w:div>
              </w:divsChild>
            </w:div>
            <w:div w:id="314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16016">
      <w:bodyDiv w:val="1"/>
      <w:marLeft w:val="0"/>
      <w:marRight w:val="0"/>
      <w:marTop w:val="0"/>
      <w:marBottom w:val="0"/>
      <w:divBdr>
        <w:top w:val="none" w:sz="0" w:space="0" w:color="auto"/>
        <w:left w:val="none" w:sz="0" w:space="0" w:color="auto"/>
        <w:bottom w:val="none" w:sz="0" w:space="0" w:color="auto"/>
        <w:right w:val="none" w:sz="0" w:space="0" w:color="auto"/>
      </w:divBdr>
    </w:div>
    <w:div w:id="278222311">
      <w:bodyDiv w:val="1"/>
      <w:marLeft w:val="0"/>
      <w:marRight w:val="0"/>
      <w:marTop w:val="0"/>
      <w:marBottom w:val="0"/>
      <w:divBdr>
        <w:top w:val="none" w:sz="0" w:space="0" w:color="auto"/>
        <w:left w:val="none" w:sz="0" w:space="0" w:color="auto"/>
        <w:bottom w:val="none" w:sz="0" w:space="0" w:color="auto"/>
        <w:right w:val="none" w:sz="0" w:space="0" w:color="auto"/>
      </w:divBdr>
      <w:divsChild>
        <w:div w:id="1359355169">
          <w:marLeft w:val="547"/>
          <w:marRight w:val="0"/>
          <w:marTop w:val="200"/>
          <w:marBottom w:val="0"/>
          <w:divBdr>
            <w:top w:val="none" w:sz="0" w:space="0" w:color="auto"/>
            <w:left w:val="none" w:sz="0" w:space="0" w:color="auto"/>
            <w:bottom w:val="none" w:sz="0" w:space="0" w:color="auto"/>
            <w:right w:val="none" w:sz="0" w:space="0" w:color="auto"/>
          </w:divBdr>
        </w:div>
        <w:div w:id="1887135525">
          <w:marLeft w:val="547"/>
          <w:marRight w:val="0"/>
          <w:marTop w:val="200"/>
          <w:marBottom w:val="0"/>
          <w:divBdr>
            <w:top w:val="none" w:sz="0" w:space="0" w:color="auto"/>
            <w:left w:val="none" w:sz="0" w:space="0" w:color="auto"/>
            <w:bottom w:val="none" w:sz="0" w:space="0" w:color="auto"/>
            <w:right w:val="none" w:sz="0" w:space="0" w:color="auto"/>
          </w:divBdr>
        </w:div>
        <w:div w:id="2033723986">
          <w:marLeft w:val="547"/>
          <w:marRight w:val="0"/>
          <w:marTop w:val="200"/>
          <w:marBottom w:val="0"/>
          <w:divBdr>
            <w:top w:val="none" w:sz="0" w:space="0" w:color="auto"/>
            <w:left w:val="none" w:sz="0" w:space="0" w:color="auto"/>
            <w:bottom w:val="none" w:sz="0" w:space="0" w:color="auto"/>
            <w:right w:val="none" w:sz="0" w:space="0" w:color="auto"/>
          </w:divBdr>
        </w:div>
        <w:div w:id="763191202">
          <w:marLeft w:val="547"/>
          <w:marRight w:val="0"/>
          <w:marTop w:val="200"/>
          <w:marBottom w:val="0"/>
          <w:divBdr>
            <w:top w:val="none" w:sz="0" w:space="0" w:color="auto"/>
            <w:left w:val="none" w:sz="0" w:space="0" w:color="auto"/>
            <w:bottom w:val="none" w:sz="0" w:space="0" w:color="auto"/>
            <w:right w:val="none" w:sz="0" w:space="0" w:color="auto"/>
          </w:divBdr>
        </w:div>
        <w:div w:id="1401946515">
          <w:marLeft w:val="547"/>
          <w:marRight w:val="0"/>
          <w:marTop w:val="200"/>
          <w:marBottom w:val="0"/>
          <w:divBdr>
            <w:top w:val="none" w:sz="0" w:space="0" w:color="auto"/>
            <w:left w:val="none" w:sz="0" w:space="0" w:color="auto"/>
            <w:bottom w:val="none" w:sz="0" w:space="0" w:color="auto"/>
            <w:right w:val="none" w:sz="0" w:space="0" w:color="auto"/>
          </w:divBdr>
        </w:div>
        <w:div w:id="1597977407">
          <w:marLeft w:val="547"/>
          <w:marRight w:val="0"/>
          <w:marTop w:val="200"/>
          <w:marBottom w:val="0"/>
          <w:divBdr>
            <w:top w:val="none" w:sz="0" w:space="0" w:color="auto"/>
            <w:left w:val="none" w:sz="0" w:space="0" w:color="auto"/>
            <w:bottom w:val="none" w:sz="0" w:space="0" w:color="auto"/>
            <w:right w:val="none" w:sz="0" w:space="0" w:color="auto"/>
          </w:divBdr>
        </w:div>
      </w:divsChild>
    </w:div>
    <w:div w:id="331639743">
      <w:bodyDiv w:val="1"/>
      <w:marLeft w:val="0"/>
      <w:marRight w:val="0"/>
      <w:marTop w:val="0"/>
      <w:marBottom w:val="0"/>
      <w:divBdr>
        <w:top w:val="none" w:sz="0" w:space="0" w:color="auto"/>
        <w:left w:val="none" w:sz="0" w:space="0" w:color="auto"/>
        <w:bottom w:val="none" w:sz="0" w:space="0" w:color="auto"/>
        <w:right w:val="none" w:sz="0" w:space="0" w:color="auto"/>
      </w:divBdr>
      <w:divsChild>
        <w:div w:id="1554348902">
          <w:marLeft w:val="547"/>
          <w:marRight w:val="0"/>
          <w:marTop w:val="200"/>
          <w:marBottom w:val="0"/>
          <w:divBdr>
            <w:top w:val="none" w:sz="0" w:space="0" w:color="auto"/>
            <w:left w:val="none" w:sz="0" w:space="0" w:color="auto"/>
            <w:bottom w:val="none" w:sz="0" w:space="0" w:color="auto"/>
            <w:right w:val="none" w:sz="0" w:space="0" w:color="auto"/>
          </w:divBdr>
        </w:div>
        <w:div w:id="1652831987">
          <w:marLeft w:val="547"/>
          <w:marRight w:val="0"/>
          <w:marTop w:val="200"/>
          <w:marBottom w:val="0"/>
          <w:divBdr>
            <w:top w:val="none" w:sz="0" w:space="0" w:color="auto"/>
            <w:left w:val="none" w:sz="0" w:space="0" w:color="auto"/>
            <w:bottom w:val="none" w:sz="0" w:space="0" w:color="auto"/>
            <w:right w:val="none" w:sz="0" w:space="0" w:color="auto"/>
          </w:divBdr>
        </w:div>
      </w:divsChild>
    </w:div>
    <w:div w:id="344406107">
      <w:bodyDiv w:val="1"/>
      <w:marLeft w:val="0"/>
      <w:marRight w:val="0"/>
      <w:marTop w:val="0"/>
      <w:marBottom w:val="0"/>
      <w:divBdr>
        <w:top w:val="none" w:sz="0" w:space="0" w:color="auto"/>
        <w:left w:val="none" w:sz="0" w:space="0" w:color="auto"/>
        <w:bottom w:val="none" w:sz="0" w:space="0" w:color="auto"/>
        <w:right w:val="none" w:sz="0" w:space="0" w:color="auto"/>
      </w:divBdr>
    </w:div>
    <w:div w:id="441073177">
      <w:bodyDiv w:val="1"/>
      <w:marLeft w:val="0"/>
      <w:marRight w:val="0"/>
      <w:marTop w:val="0"/>
      <w:marBottom w:val="0"/>
      <w:divBdr>
        <w:top w:val="none" w:sz="0" w:space="0" w:color="auto"/>
        <w:left w:val="none" w:sz="0" w:space="0" w:color="auto"/>
        <w:bottom w:val="none" w:sz="0" w:space="0" w:color="auto"/>
        <w:right w:val="none" w:sz="0" w:space="0" w:color="auto"/>
      </w:divBdr>
    </w:div>
    <w:div w:id="467359148">
      <w:bodyDiv w:val="1"/>
      <w:marLeft w:val="0"/>
      <w:marRight w:val="0"/>
      <w:marTop w:val="0"/>
      <w:marBottom w:val="0"/>
      <w:divBdr>
        <w:top w:val="none" w:sz="0" w:space="0" w:color="auto"/>
        <w:left w:val="none" w:sz="0" w:space="0" w:color="auto"/>
        <w:bottom w:val="none" w:sz="0" w:space="0" w:color="auto"/>
        <w:right w:val="none" w:sz="0" w:space="0" w:color="auto"/>
      </w:divBdr>
      <w:divsChild>
        <w:div w:id="1227256501">
          <w:marLeft w:val="547"/>
          <w:marRight w:val="0"/>
          <w:marTop w:val="200"/>
          <w:marBottom w:val="0"/>
          <w:divBdr>
            <w:top w:val="none" w:sz="0" w:space="0" w:color="auto"/>
            <w:left w:val="none" w:sz="0" w:space="0" w:color="auto"/>
            <w:bottom w:val="none" w:sz="0" w:space="0" w:color="auto"/>
            <w:right w:val="none" w:sz="0" w:space="0" w:color="auto"/>
          </w:divBdr>
        </w:div>
        <w:div w:id="664093451">
          <w:marLeft w:val="547"/>
          <w:marRight w:val="0"/>
          <w:marTop w:val="200"/>
          <w:marBottom w:val="0"/>
          <w:divBdr>
            <w:top w:val="none" w:sz="0" w:space="0" w:color="auto"/>
            <w:left w:val="none" w:sz="0" w:space="0" w:color="auto"/>
            <w:bottom w:val="none" w:sz="0" w:space="0" w:color="auto"/>
            <w:right w:val="none" w:sz="0" w:space="0" w:color="auto"/>
          </w:divBdr>
        </w:div>
      </w:divsChild>
    </w:div>
    <w:div w:id="469639288">
      <w:bodyDiv w:val="1"/>
      <w:marLeft w:val="0"/>
      <w:marRight w:val="0"/>
      <w:marTop w:val="0"/>
      <w:marBottom w:val="0"/>
      <w:divBdr>
        <w:top w:val="none" w:sz="0" w:space="0" w:color="auto"/>
        <w:left w:val="none" w:sz="0" w:space="0" w:color="auto"/>
        <w:bottom w:val="none" w:sz="0" w:space="0" w:color="auto"/>
        <w:right w:val="none" w:sz="0" w:space="0" w:color="auto"/>
      </w:divBdr>
    </w:div>
    <w:div w:id="517474327">
      <w:bodyDiv w:val="1"/>
      <w:marLeft w:val="0"/>
      <w:marRight w:val="0"/>
      <w:marTop w:val="0"/>
      <w:marBottom w:val="0"/>
      <w:divBdr>
        <w:top w:val="none" w:sz="0" w:space="0" w:color="auto"/>
        <w:left w:val="none" w:sz="0" w:space="0" w:color="auto"/>
        <w:bottom w:val="none" w:sz="0" w:space="0" w:color="auto"/>
        <w:right w:val="none" w:sz="0" w:space="0" w:color="auto"/>
      </w:divBdr>
    </w:div>
    <w:div w:id="555580334">
      <w:bodyDiv w:val="1"/>
      <w:marLeft w:val="0"/>
      <w:marRight w:val="0"/>
      <w:marTop w:val="0"/>
      <w:marBottom w:val="0"/>
      <w:divBdr>
        <w:top w:val="none" w:sz="0" w:space="0" w:color="auto"/>
        <w:left w:val="none" w:sz="0" w:space="0" w:color="auto"/>
        <w:bottom w:val="none" w:sz="0" w:space="0" w:color="auto"/>
        <w:right w:val="none" w:sz="0" w:space="0" w:color="auto"/>
      </w:divBdr>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04195231">
      <w:bodyDiv w:val="1"/>
      <w:marLeft w:val="0"/>
      <w:marRight w:val="0"/>
      <w:marTop w:val="0"/>
      <w:marBottom w:val="0"/>
      <w:divBdr>
        <w:top w:val="none" w:sz="0" w:space="0" w:color="auto"/>
        <w:left w:val="none" w:sz="0" w:space="0" w:color="auto"/>
        <w:bottom w:val="none" w:sz="0" w:space="0" w:color="auto"/>
        <w:right w:val="none" w:sz="0" w:space="0" w:color="auto"/>
      </w:divBdr>
      <w:divsChild>
        <w:div w:id="1078557303">
          <w:marLeft w:val="547"/>
          <w:marRight w:val="0"/>
          <w:marTop w:val="200"/>
          <w:marBottom w:val="0"/>
          <w:divBdr>
            <w:top w:val="none" w:sz="0" w:space="0" w:color="auto"/>
            <w:left w:val="none" w:sz="0" w:space="0" w:color="auto"/>
            <w:bottom w:val="none" w:sz="0" w:space="0" w:color="auto"/>
            <w:right w:val="none" w:sz="0" w:space="0" w:color="auto"/>
          </w:divBdr>
        </w:div>
        <w:div w:id="1407920846">
          <w:marLeft w:val="547"/>
          <w:marRight w:val="0"/>
          <w:marTop w:val="200"/>
          <w:marBottom w:val="0"/>
          <w:divBdr>
            <w:top w:val="none" w:sz="0" w:space="0" w:color="auto"/>
            <w:left w:val="none" w:sz="0" w:space="0" w:color="auto"/>
            <w:bottom w:val="none" w:sz="0" w:space="0" w:color="auto"/>
            <w:right w:val="none" w:sz="0" w:space="0" w:color="auto"/>
          </w:divBdr>
        </w:div>
      </w:divsChild>
    </w:div>
    <w:div w:id="668213919">
      <w:bodyDiv w:val="1"/>
      <w:marLeft w:val="0"/>
      <w:marRight w:val="0"/>
      <w:marTop w:val="0"/>
      <w:marBottom w:val="0"/>
      <w:divBdr>
        <w:top w:val="none" w:sz="0" w:space="0" w:color="auto"/>
        <w:left w:val="none" w:sz="0" w:space="0" w:color="auto"/>
        <w:bottom w:val="none" w:sz="0" w:space="0" w:color="auto"/>
        <w:right w:val="none" w:sz="0" w:space="0" w:color="auto"/>
      </w:divBdr>
    </w:div>
    <w:div w:id="770584464">
      <w:bodyDiv w:val="1"/>
      <w:marLeft w:val="0"/>
      <w:marRight w:val="0"/>
      <w:marTop w:val="0"/>
      <w:marBottom w:val="0"/>
      <w:divBdr>
        <w:top w:val="none" w:sz="0" w:space="0" w:color="auto"/>
        <w:left w:val="none" w:sz="0" w:space="0" w:color="auto"/>
        <w:bottom w:val="none" w:sz="0" w:space="0" w:color="auto"/>
        <w:right w:val="none" w:sz="0" w:space="0" w:color="auto"/>
      </w:divBdr>
    </w:div>
    <w:div w:id="837505271">
      <w:bodyDiv w:val="1"/>
      <w:marLeft w:val="0"/>
      <w:marRight w:val="0"/>
      <w:marTop w:val="0"/>
      <w:marBottom w:val="0"/>
      <w:divBdr>
        <w:top w:val="none" w:sz="0" w:space="0" w:color="auto"/>
        <w:left w:val="none" w:sz="0" w:space="0" w:color="auto"/>
        <w:bottom w:val="none" w:sz="0" w:space="0" w:color="auto"/>
        <w:right w:val="none" w:sz="0" w:space="0" w:color="auto"/>
      </w:divBdr>
    </w:div>
    <w:div w:id="911621791">
      <w:bodyDiv w:val="1"/>
      <w:marLeft w:val="0"/>
      <w:marRight w:val="0"/>
      <w:marTop w:val="0"/>
      <w:marBottom w:val="0"/>
      <w:divBdr>
        <w:top w:val="none" w:sz="0" w:space="0" w:color="auto"/>
        <w:left w:val="none" w:sz="0" w:space="0" w:color="auto"/>
        <w:bottom w:val="none" w:sz="0" w:space="0" w:color="auto"/>
        <w:right w:val="none" w:sz="0" w:space="0" w:color="auto"/>
      </w:divBdr>
      <w:divsChild>
        <w:div w:id="909775182">
          <w:marLeft w:val="0"/>
          <w:marRight w:val="0"/>
          <w:marTop w:val="0"/>
          <w:marBottom w:val="0"/>
          <w:divBdr>
            <w:top w:val="single" w:sz="2" w:space="0" w:color="D9D9E3"/>
            <w:left w:val="single" w:sz="2" w:space="0" w:color="D9D9E3"/>
            <w:bottom w:val="single" w:sz="2" w:space="0" w:color="D9D9E3"/>
            <w:right w:val="single" w:sz="2" w:space="0" w:color="D9D9E3"/>
          </w:divBdr>
          <w:divsChild>
            <w:div w:id="571820285">
              <w:marLeft w:val="0"/>
              <w:marRight w:val="0"/>
              <w:marTop w:val="0"/>
              <w:marBottom w:val="0"/>
              <w:divBdr>
                <w:top w:val="single" w:sz="2" w:space="0" w:color="D9D9E3"/>
                <w:left w:val="single" w:sz="2" w:space="0" w:color="D9D9E3"/>
                <w:bottom w:val="single" w:sz="2" w:space="0" w:color="D9D9E3"/>
                <w:right w:val="single" w:sz="2" w:space="0" w:color="D9D9E3"/>
              </w:divBdr>
              <w:divsChild>
                <w:div w:id="1341272799">
                  <w:marLeft w:val="0"/>
                  <w:marRight w:val="0"/>
                  <w:marTop w:val="0"/>
                  <w:marBottom w:val="0"/>
                  <w:divBdr>
                    <w:top w:val="single" w:sz="2" w:space="0" w:color="D9D9E3"/>
                    <w:left w:val="single" w:sz="2" w:space="0" w:color="D9D9E3"/>
                    <w:bottom w:val="single" w:sz="2" w:space="0" w:color="D9D9E3"/>
                    <w:right w:val="single" w:sz="2" w:space="0" w:color="D9D9E3"/>
                  </w:divBdr>
                  <w:divsChild>
                    <w:div w:id="1476605731">
                      <w:marLeft w:val="0"/>
                      <w:marRight w:val="0"/>
                      <w:marTop w:val="0"/>
                      <w:marBottom w:val="0"/>
                      <w:divBdr>
                        <w:top w:val="single" w:sz="2" w:space="0" w:color="D9D9E3"/>
                        <w:left w:val="single" w:sz="2" w:space="0" w:color="D9D9E3"/>
                        <w:bottom w:val="single" w:sz="2" w:space="0" w:color="D9D9E3"/>
                        <w:right w:val="single" w:sz="2" w:space="0" w:color="D9D9E3"/>
                      </w:divBdr>
                      <w:divsChild>
                        <w:div w:id="17050195">
                          <w:marLeft w:val="0"/>
                          <w:marRight w:val="0"/>
                          <w:marTop w:val="0"/>
                          <w:marBottom w:val="0"/>
                          <w:divBdr>
                            <w:top w:val="single" w:sz="2" w:space="0" w:color="auto"/>
                            <w:left w:val="single" w:sz="2" w:space="0" w:color="auto"/>
                            <w:bottom w:val="single" w:sz="6" w:space="0" w:color="auto"/>
                            <w:right w:val="single" w:sz="2" w:space="0" w:color="auto"/>
                          </w:divBdr>
                          <w:divsChild>
                            <w:div w:id="198110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8402">
                                  <w:marLeft w:val="0"/>
                                  <w:marRight w:val="0"/>
                                  <w:marTop w:val="0"/>
                                  <w:marBottom w:val="0"/>
                                  <w:divBdr>
                                    <w:top w:val="single" w:sz="2" w:space="0" w:color="D9D9E3"/>
                                    <w:left w:val="single" w:sz="2" w:space="0" w:color="D9D9E3"/>
                                    <w:bottom w:val="single" w:sz="2" w:space="0" w:color="D9D9E3"/>
                                    <w:right w:val="single" w:sz="2" w:space="0" w:color="D9D9E3"/>
                                  </w:divBdr>
                                  <w:divsChild>
                                    <w:div w:id="1330864253">
                                      <w:marLeft w:val="0"/>
                                      <w:marRight w:val="0"/>
                                      <w:marTop w:val="0"/>
                                      <w:marBottom w:val="0"/>
                                      <w:divBdr>
                                        <w:top w:val="single" w:sz="2" w:space="0" w:color="D9D9E3"/>
                                        <w:left w:val="single" w:sz="2" w:space="0" w:color="D9D9E3"/>
                                        <w:bottom w:val="single" w:sz="2" w:space="0" w:color="D9D9E3"/>
                                        <w:right w:val="single" w:sz="2" w:space="0" w:color="D9D9E3"/>
                                      </w:divBdr>
                                      <w:divsChild>
                                        <w:div w:id="1049064078">
                                          <w:marLeft w:val="0"/>
                                          <w:marRight w:val="0"/>
                                          <w:marTop w:val="0"/>
                                          <w:marBottom w:val="0"/>
                                          <w:divBdr>
                                            <w:top w:val="single" w:sz="2" w:space="0" w:color="D9D9E3"/>
                                            <w:left w:val="single" w:sz="2" w:space="0" w:color="D9D9E3"/>
                                            <w:bottom w:val="single" w:sz="2" w:space="0" w:color="D9D9E3"/>
                                            <w:right w:val="single" w:sz="2" w:space="0" w:color="D9D9E3"/>
                                          </w:divBdr>
                                          <w:divsChild>
                                            <w:div w:id="116328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403897">
          <w:marLeft w:val="0"/>
          <w:marRight w:val="0"/>
          <w:marTop w:val="0"/>
          <w:marBottom w:val="0"/>
          <w:divBdr>
            <w:top w:val="none" w:sz="0" w:space="0" w:color="auto"/>
            <w:left w:val="none" w:sz="0" w:space="0" w:color="auto"/>
            <w:bottom w:val="none" w:sz="0" w:space="0" w:color="auto"/>
            <w:right w:val="none" w:sz="0" w:space="0" w:color="auto"/>
          </w:divBdr>
          <w:divsChild>
            <w:div w:id="1080442715">
              <w:marLeft w:val="0"/>
              <w:marRight w:val="0"/>
              <w:marTop w:val="0"/>
              <w:marBottom w:val="0"/>
              <w:divBdr>
                <w:top w:val="single" w:sz="2" w:space="0" w:color="D9D9E3"/>
                <w:left w:val="single" w:sz="2" w:space="0" w:color="D9D9E3"/>
                <w:bottom w:val="single" w:sz="2" w:space="0" w:color="D9D9E3"/>
                <w:right w:val="single" w:sz="2" w:space="0" w:color="D9D9E3"/>
              </w:divBdr>
              <w:divsChild>
                <w:div w:id="1031802295">
                  <w:marLeft w:val="0"/>
                  <w:marRight w:val="0"/>
                  <w:marTop w:val="0"/>
                  <w:marBottom w:val="0"/>
                  <w:divBdr>
                    <w:top w:val="single" w:sz="2" w:space="0" w:color="D9D9E3"/>
                    <w:left w:val="single" w:sz="2" w:space="0" w:color="D9D9E3"/>
                    <w:bottom w:val="single" w:sz="2" w:space="0" w:color="D9D9E3"/>
                    <w:right w:val="single" w:sz="2" w:space="0" w:color="D9D9E3"/>
                  </w:divBdr>
                  <w:divsChild>
                    <w:div w:id="1461143242">
                      <w:marLeft w:val="0"/>
                      <w:marRight w:val="0"/>
                      <w:marTop w:val="0"/>
                      <w:marBottom w:val="0"/>
                      <w:divBdr>
                        <w:top w:val="single" w:sz="2" w:space="0" w:color="D9D9E3"/>
                        <w:left w:val="single" w:sz="2" w:space="0" w:color="D9D9E3"/>
                        <w:bottom w:val="single" w:sz="2" w:space="0" w:color="D9D9E3"/>
                        <w:right w:val="single" w:sz="2" w:space="0" w:color="D9D9E3"/>
                      </w:divBdr>
                      <w:divsChild>
                        <w:div w:id="196438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488541">
                  <w:marLeft w:val="0"/>
                  <w:marRight w:val="0"/>
                  <w:marTop w:val="0"/>
                  <w:marBottom w:val="0"/>
                  <w:divBdr>
                    <w:top w:val="none" w:sz="0" w:space="0" w:color="auto"/>
                    <w:left w:val="none" w:sz="0" w:space="0" w:color="auto"/>
                    <w:bottom w:val="none" w:sz="0" w:space="0" w:color="auto"/>
                    <w:right w:val="none" w:sz="0" w:space="0" w:color="auto"/>
                  </w:divBdr>
                </w:div>
              </w:divsChild>
            </w:div>
            <w:div w:id="68571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019816548">
      <w:bodyDiv w:val="1"/>
      <w:marLeft w:val="0"/>
      <w:marRight w:val="0"/>
      <w:marTop w:val="0"/>
      <w:marBottom w:val="0"/>
      <w:divBdr>
        <w:top w:val="none" w:sz="0" w:space="0" w:color="auto"/>
        <w:left w:val="none" w:sz="0" w:space="0" w:color="auto"/>
        <w:bottom w:val="none" w:sz="0" w:space="0" w:color="auto"/>
        <w:right w:val="none" w:sz="0" w:space="0" w:color="auto"/>
      </w:divBdr>
      <w:divsChild>
        <w:div w:id="265039319">
          <w:marLeft w:val="0"/>
          <w:marRight w:val="0"/>
          <w:marTop w:val="0"/>
          <w:marBottom w:val="0"/>
          <w:divBdr>
            <w:top w:val="none" w:sz="0" w:space="0" w:color="auto"/>
            <w:left w:val="none" w:sz="0" w:space="0" w:color="auto"/>
            <w:bottom w:val="none" w:sz="0" w:space="0" w:color="auto"/>
            <w:right w:val="none" w:sz="0" w:space="0" w:color="auto"/>
          </w:divBdr>
        </w:div>
        <w:div w:id="368574479">
          <w:marLeft w:val="0"/>
          <w:marRight w:val="0"/>
          <w:marTop w:val="0"/>
          <w:marBottom w:val="0"/>
          <w:divBdr>
            <w:top w:val="none" w:sz="0" w:space="0" w:color="auto"/>
            <w:left w:val="none" w:sz="0" w:space="0" w:color="auto"/>
            <w:bottom w:val="none" w:sz="0" w:space="0" w:color="auto"/>
            <w:right w:val="none" w:sz="0" w:space="0" w:color="auto"/>
          </w:divBdr>
        </w:div>
      </w:divsChild>
    </w:div>
    <w:div w:id="1134979065">
      <w:bodyDiv w:val="1"/>
      <w:marLeft w:val="0"/>
      <w:marRight w:val="0"/>
      <w:marTop w:val="0"/>
      <w:marBottom w:val="0"/>
      <w:divBdr>
        <w:top w:val="none" w:sz="0" w:space="0" w:color="auto"/>
        <w:left w:val="none" w:sz="0" w:space="0" w:color="auto"/>
        <w:bottom w:val="none" w:sz="0" w:space="0" w:color="auto"/>
        <w:right w:val="none" w:sz="0" w:space="0" w:color="auto"/>
      </w:divBdr>
    </w:div>
    <w:div w:id="1196425360">
      <w:bodyDiv w:val="1"/>
      <w:marLeft w:val="0"/>
      <w:marRight w:val="0"/>
      <w:marTop w:val="0"/>
      <w:marBottom w:val="0"/>
      <w:divBdr>
        <w:top w:val="none" w:sz="0" w:space="0" w:color="auto"/>
        <w:left w:val="none" w:sz="0" w:space="0" w:color="auto"/>
        <w:bottom w:val="none" w:sz="0" w:space="0" w:color="auto"/>
        <w:right w:val="none" w:sz="0" w:space="0" w:color="auto"/>
      </w:divBdr>
      <w:divsChild>
        <w:div w:id="2121022957">
          <w:marLeft w:val="547"/>
          <w:marRight w:val="0"/>
          <w:marTop w:val="200"/>
          <w:marBottom w:val="0"/>
          <w:divBdr>
            <w:top w:val="none" w:sz="0" w:space="0" w:color="auto"/>
            <w:left w:val="none" w:sz="0" w:space="0" w:color="auto"/>
            <w:bottom w:val="none" w:sz="0" w:space="0" w:color="auto"/>
            <w:right w:val="none" w:sz="0" w:space="0" w:color="auto"/>
          </w:divBdr>
        </w:div>
        <w:div w:id="1726104316">
          <w:marLeft w:val="547"/>
          <w:marRight w:val="0"/>
          <w:marTop w:val="200"/>
          <w:marBottom w:val="0"/>
          <w:divBdr>
            <w:top w:val="none" w:sz="0" w:space="0" w:color="auto"/>
            <w:left w:val="none" w:sz="0" w:space="0" w:color="auto"/>
            <w:bottom w:val="none" w:sz="0" w:space="0" w:color="auto"/>
            <w:right w:val="none" w:sz="0" w:space="0" w:color="auto"/>
          </w:divBdr>
        </w:div>
        <w:div w:id="195196124">
          <w:marLeft w:val="547"/>
          <w:marRight w:val="0"/>
          <w:marTop w:val="200"/>
          <w:marBottom w:val="0"/>
          <w:divBdr>
            <w:top w:val="none" w:sz="0" w:space="0" w:color="auto"/>
            <w:left w:val="none" w:sz="0" w:space="0" w:color="auto"/>
            <w:bottom w:val="none" w:sz="0" w:space="0" w:color="auto"/>
            <w:right w:val="none" w:sz="0" w:space="0" w:color="auto"/>
          </w:divBdr>
        </w:div>
      </w:divsChild>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399599126">
      <w:bodyDiv w:val="1"/>
      <w:marLeft w:val="0"/>
      <w:marRight w:val="0"/>
      <w:marTop w:val="0"/>
      <w:marBottom w:val="0"/>
      <w:divBdr>
        <w:top w:val="none" w:sz="0" w:space="0" w:color="auto"/>
        <w:left w:val="none" w:sz="0" w:space="0" w:color="auto"/>
        <w:bottom w:val="none" w:sz="0" w:space="0" w:color="auto"/>
        <w:right w:val="none" w:sz="0" w:space="0" w:color="auto"/>
      </w:divBdr>
    </w:div>
    <w:div w:id="1429228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3315">
          <w:marLeft w:val="547"/>
          <w:marRight w:val="0"/>
          <w:marTop w:val="200"/>
          <w:marBottom w:val="0"/>
          <w:divBdr>
            <w:top w:val="none" w:sz="0" w:space="0" w:color="auto"/>
            <w:left w:val="none" w:sz="0" w:space="0" w:color="auto"/>
            <w:bottom w:val="none" w:sz="0" w:space="0" w:color="auto"/>
            <w:right w:val="none" w:sz="0" w:space="0" w:color="auto"/>
          </w:divBdr>
        </w:div>
        <w:div w:id="1834638313">
          <w:marLeft w:val="547"/>
          <w:marRight w:val="0"/>
          <w:marTop w:val="200"/>
          <w:marBottom w:val="0"/>
          <w:divBdr>
            <w:top w:val="none" w:sz="0" w:space="0" w:color="auto"/>
            <w:left w:val="none" w:sz="0" w:space="0" w:color="auto"/>
            <w:bottom w:val="none" w:sz="0" w:space="0" w:color="auto"/>
            <w:right w:val="none" w:sz="0" w:space="0" w:color="auto"/>
          </w:divBdr>
        </w:div>
        <w:div w:id="1214923426">
          <w:marLeft w:val="547"/>
          <w:marRight w:val="0"/>
          <w:marTop w:val="200"/>
          <w:marBottom w:val="0"/>
          <w:divBdr>
            <w:top w:val="none" w:sz="0" w:space="0" w:color="auto"/>
            <w:left w:val="none" w:sz="0" w:space="0" w:color="auto"/>
            <w:bottom w:val="none" w:sz="0" w:space="0" w:color="auto"/>
            <w:right w:val="none" w:sz="0" w:space="0" w:color="auto"/>
          </w:divBdr>
        </w:div>
      </w:divsChild>
    </w:div>
    <w:div w:id="1529758606">
      <w:bodyDiv w:val="1"/>
      <w:marLeft w:val="0"/>
      <w:marRight w:val="0"/>
      <w:marTop w:val="0"/>
      <w:marBottom w:val="0"/>
      <w:divBdr>
        <w:top w:val="none" w:sz="0" w:space="0" w:color="auto"/>
        <w:left w:val="none" w:sz="0" w:space="0" w:color="auto"/>
        <w:bottom w:val="none" w:sz="0" w:space="0" w:color="auto"/>
        <w:right w:val="none" w:sz="0" w:space="0" w:color="auto"/>
      </w:divBdr>
      <w:divsChild>
        <w:div w:id="1890803469">
          <w:marLeft w:val="547"/>
          <w:marRight w:val="0"/>
          <w:marTop w:val="200"/>
          <w:marBottom w:val="0"/>
          <w:divBdr>
            <w:top w:val="none" w:sz="0" w:space="0" w:color="auto"/>
            <w:left w:val="none" w:sz="0" w:space="0" w:color="auto"/>
            <w:bottom w:val="none" w:sz="0" w:space="0" w:color="auto"/>
            <w:right w:val="none" w:sz="0" w:space="0" w:color="auto"/>
          </w:divBdr>
        </w:div>
        <w:div w:id="1841387281">
          <w:marLeft w:val="547"/>
          <w:marRight w:val="0"/>
          <w:marTop w:val="200"/>
          <w:marBottom w:val="0"/>
          <w:divBdr>
            <w:top w:val="none" w:sz="0" w:space="0" w:color="auto"/>
            <w:left w:val="none" w:sz="0" w:space="0" w:color="auto"/>
            <w:bottom w:val="none" w:sz="0" w:space="0" w:color="auto"/>
            <w:right w:val="none" w:sz="0" w:space="0" w:color="auto"/>
          </w:divBdr>
        </w:div>
      </w:divsChild>
    </w:div>
    <w:div w:id="1562596724">
      <w:bodyDiv w:val="1"/>
      <w:marLeft w:val="0"/>
      <w:marRight w:val="0"/>
      <w:marTop w:val="0"/>
      <w:marBottom w:val="0"/>
      <w:divBdr>
        <w:top w:val="none" w:sz="0" w:space="0" w:color="auto"/>
        <w:left w:val="none" w:sz="0" w:space="0" w:color="auto"/>
        <w:bottom w:val="none" w:sz="0" w:space="0" w:color="auto"/>
        <w:right w:val="none" w:sz="0" w:space="0" w:color="auto"/>
      </w:divBdr>
    </w:div>
    <w:div w:id="1599948557">
      <w:bodyDiv w:val="1"/>
      <w:marLeft w:val="0"/>
      <w:marRight w:val="0"/>
      <w:marTop w:val="0"/>
      <w:marBottom w:val="0"/>
      <w:divBdr>
        <w:top w:val="none" w:sz="0" w:space="0" w:color="auto"/>
        <w:left w:val="none" w:sz="0" w:space="0" w:color="auto"/>
        <w:bottom w:val="none" w:sz="0" w:space="0" w:color="auto"/>
        <w:right w:val="none" w:sz="0" w:space="0" w:color="auto"/>
      </w:divBdr>
    </w:div>
    <w:div w:id="1723628844">
      <w:bodyDiv w:val="1"/>
      <w:marLeft w:val="0"/>
      <w:marRight w:val="0"/>
      <w:marTop w:val="0"/>
      <w:marBottom w:val="0"/>
      <w:divBdr>
        <w:top w:val="none" w:sz="0" w:space="0" w:color="auto"/>
        <w:left w:val="none" w:sz="0" w:space="0" w:color="auto"/>
        <w:bottom w:val="none" w:sz="0" w:space="0" w:color="auto"/>
        <w:right w:val="none" w:sz="0" w:space="0" w:color="auto"/>
      </w:divBdr>
    </w:div>
    <w:div w:id="1728794161">
      <w:bodyDiv w:val="1"/>
      <w:marLeft w:val="0"/>
      <w:marRight w:val="0"/>
      <w:marTop w:val="0"/>
      <w:marBottom w:val="0"/>
      <w:divBdr>
        <w:top w:val="none" w:sz="0" w:space="0" w:color="auto"/>
        <w:left w:val="none" w:sz="0" w:space="0" w:color="auto"/>
        <w:bottom w:val="none" w:sz="0" w:space="0" w:color="auto"/>
        <w:right w:val="none" w:sz="0" w:space="0" w:color="auto"/>
      </w:divBdr>
    </w:div>
    <w:div w:id="1731149439">
      <w:bodyDiv w:val="1"/>
      <w:marLeft w:val="0"/>
      <w:marRight w:val="0"/>
      <w:marTop w:val="0"/>
      <w:marBottom w:val="0"/>
      <w:divBdr>
        <w:top w:val="none" w:sz="0" w:space="0" w:color="auto"/>
        <w:left w:val="none" w:sz="0" w:space="0" w:color="auto"/>
        <w:bottom w:val="none" w:sz="0" w:space="0" w:color="auto"/>
        <w:right w:val="none" w:sz="0" w:space="0" w:color="auto"/>
      </w:divBdr>
      <w:divsChild>
        <w:div w:id="187259603">
          <w:marLeft w:val="547"/>
          <w:marRight w:val="0"/>
          <w:marTop w:val="200"/>
          <w:marBottom w:val="0"/>
          <w:divBdr>
            <w:top w:val="none" w:sz="0" w:space="0" w:color="auto"/>
            <w:left w:val="none" w:sz="0" w:space="0" w:color="auto"/>
            <w:bottom w:val="none" w:sz="0" w:space="0" w:color="auto"/>
            <w:right w:val="none" w:sz="0" w:space="0" w:color="auto"/>
          </w:divBdr>
        </w:div>
        <w:div w:id="1388381324">
          <w:marLeft w:val="547"/>
          <w:marRight w:val="0"/>
          <w:marTop w:val="200"/>
          <w:marBottom w:val="0"/>
          <w:divBdr>
            <w:top w:val="none" w:sz="0" w:space="0" w:color="auto"/>
            <w:left w:val="none" w:sz="0" w:space="0" w:color="auto"/>
            <w:bottom w:val="none" w:sz="0" w:space="0" w:color="auto"/>
            <w:right w:val="none" w:sz="0" w:space="0" w:color="auto"/>
          </w:divBdr>
        </w:div>
      </w:divsChild>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787888338">
      <w:bodyDiv w:val="1"/>
      <w:marLeft w:val="0"/>
      <w:marRight w:val="0"/>
      <w:marTop w:val="0"/>
      <w:marBottom w:val="0"/>
      <w:divBdr>
        <w:top w:val="none" w:sz="0" w:space="0" w:color="auto"/>
        <w:left w:val="none" w:sz="0" w:space="0" w:color="auto"/>
        <w:bottom w:val="none" w:sz="0" w:space="0" w:color="auto"/>
        <w:right w:val="none" w:sz="0" w:space="0" w:color="auto"/>
      </w:divBdr>
      <w:divsChild>
        <w:div w:id="237206155">
          <w:marLeft w:val="0"/>
          <w:marRight w:val="0"/>
          <w:marTop w:val="0"/>
          <w:marBottom w:val="0"/>
          <w:divBdr>
            <w:top w:val="none" w:sz="0" w:space="0" w:color="auto"/>
            <w:left w:val="none" w:sz="0" w:space="0" w:color="auto"/>
            <w:bottom w:val="none" w:sz="0" w:space="0" w:color="auto"/>
            <w:right w:val="none" w:sz="0" w:space="0" w:color="auto"/>
          </w:divBdr>
        </w:div>
        <w:div w:id="1670130704">
          <w:marLeft w:val="0"/>
          <w:marRight w:val="0"/>
          <w:marTop w:val="0"/>
          <w:marBottom w:val="0"/>
          <w:divBdr>
            <w:top w:val="none" w:sz="0" w:space="0" w:color="auto"/>
            <w:left w:val="none" w:sz="0" w:space="0" w:color="auto"/>
            <w:bottom w:val="none" w:sz="0" w:space="0" w:color="auto"/>
            <w:right w:val="none" w:sz="0" w:space="0" w:color="auto"/>
          </w:divBdr>
        </w:div>
      </w:divsChild>
    </w:div>
    <w:div w:id="1882934411">
      <w:bodyDiv w:val="1"/>
      <w:marLeft w:val="0"/>
      <w:marRight w:val="0"/>
      <w:marTop w:val="0"/>
      <w:marBottom w:val="0"/>
      <w:divBdr>
        <w:top w:val="none" w:sz="0" w:space="0" w:color="auto"/>
        <w:left w:val="none" w:sz="0" w:space="0" w:color="auto"/>
        <w:bottom w:val="none" w:sz="0" w:space="0" w:color="auto"/>
        <w:right w:val="none" w:sz="0" w:space="0" w:color="auto"/>
      </w:divBdr>
    </w:div>
    <w:div w:id="1916743567">
      <w:bodyDiv w:val="1"/>
      <w:marLeft w:val="0"/>
      <w:marRight w:val="0"/>
      <w:marTop w:val="0"/>
      <w:marBottom w:val="0"/>
      <w:divBdr>
        <w:top w:val="none" w:sz="0" w:space="0" w:color="auto"/>
        <w:left w:val="none" w:sz="0" w:space="0" w:color="auto"/>
        <w:bottom w:val="none" w:sz="0" w:space="0" w:color="auto"/>
        <w:right w:val="none" w:sz="0" w:space="0" w:color="auto"/>
      </w:divBdr>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 w:id="20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indiralopez\Downloads\Guia-Practica-sobre-el-diagnostivo-y-tratamiento-de-la-hipertension-arterial-%20Sociedad%20Espa%C3%B1ola.pdf"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Indira Sarahi López Acosta</cp:lastModifiedBy>
  <cp:revision>2</cp:revision>
  <dcterms:created xsi:type="dcterms:W3CDTF">2023-07-12T19:51:00Z</dcterms:created>
  <dcterms:modified xsi:type="dcterms:W3CDTF">2023-07-12T19:51:00Z</dcterms:modified>
</cp:coreProperties>
</file>