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ackground w:color="FFFFFF"/>
  <w:body>
    <w:p>
      <w:pPr/>
    </w:p>
    <w:p>
      <w:pPr>
        <w:divId w:val="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line="390" w:lineRule="atLeast"/>
        <w:jc w:val="both"/>
        <w:rPr>
          <w:vanish w:val="0"/>
        </w:rPr>
      </w:pPr>
      <w:r>
        <w:rPr>
          <w:rFonts w:ascii="arial" w:eastAsia="arial" w:hAnsi="arial" w:cs="arial"/>
          <w:b/>
          <w:i w:val="0"/>
          <w:color w:val="333333"/>
          <w:sz w:val="22"/>
          <w:shd w:val="clear" w:color="auto" w:fill="FFFFFF"/>
        </w:rPr>
        <w:t xml:space="preserve">PLAN OPERATIVO 2025 </w:t>
      </w:r>
    </w:p>
    <w:p>
      <w:pPr>
        <w:divId w:val="8"/>
        <w:shd w:val="clear" w:color="auto" w:fill="FFFFFF"/>
        <w:spacing w:line="390" w:lineRule="atLeast"/>
        <w:jc w:val="both"/>
        <w:rPr>
          <w:vanish w:val="0"/>
        </w:rPr>
      </w:pPr>
      <w:r>
        <w:rPr>
          <w:rFonts w:ascii="arial" w:eastAsia="arial" w:hAnsi="arial" w:cs="arial"/>
          <w:b/>
          <w:i w:val="0"/>
          <w:color w:val="333333"/>
          <w:sz w:val="22"/>
          <w:shd w:val="clear" w:color="auto" w:fill="FFFFFF"/>
        </w:rPr>
        <w:t xml:space="preserve">ESTAMENTO: </w:t>
      </w:r>
      <w:r>
        <w:rPr>
          <w:rFonts w:ascii="arial" w:eastAsia="arial" w:hAnsi="arial" w:cs="arial"/>
          <w:b w:val="0"/>
          <w:i w:val="0"/>
          <w:color w:val="333333"/>
          <w:sz w:val="22"/>
          <w:shd w:val="clear" w:color="auto" w:fill="FFFFFF"/>
        </w:rPr>
        <w:t xml:space="preserve"> DEPARTAMENTO DE INNOVACIÓN</w:t>
      </w:r>
    </w:p>
    <w:tbl>
      <w:tblPr>
        <w:tblW w:w="5000" w:type="pct"/>
        <w:jc w:val="left"/>
        <w:tblInd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  <w:insideH w:val="outset" w:sz="6" w:space="0" w:color="C0C0C0"/>
          <w:insideV w:val="outset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firstRow="0" w:lastRow="0" w:firstColumn="0" w:lastColumn="0" w:noHBand="1" w:noVBand="1"/>
      </w:tblPr>
      <w:tblGrid>
        <w:gridCol w:w="1524"/>
        <w:gridCol w:w="1404"/>
        <w:gridCol w:w="627"/>
        <w:gridCol w:w="1303"/>
        <w:gridCol w:w="1466"/>
        <w:gridCol w:w="1602"/>
        <w:gridCol w:w="188"/>
        <w:gridCol w:w="165"/>
        <w:gridCol w:w="207"/>
        <w:gridCol w:w="176"/>
        <w:gridCol w:w="207"/>
        <w:gridCol w:w="144"/>
        <w:gridCol w:w="144"/>
        <w:gridCol w:w="176"/>
        <w:gridCol w:w="176"/>
        <w:gridCol w:w="197"/>
        <w:gridCol w:w="186"/>
        <w:gridCol w:w="195"/>
      </w:tblGrid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divId w:val="10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EJE:</w:t>
            </w:r>
          </w:p>
          <w:p>
            <w:pPr>
              <w:divId w:val="11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II. Investigación, Innovación y Desarrollo</w:t>
            </w:r>
          </w:p>
        </w:tc>
        <w:tc>
          <w:tcPr>
            <w:tcW w:w="4020" w:type="dxa"/>
            <w:tcBorders>
              <w:top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ESTRATÉGICO</w:t>
            </w:r>
          </w:p>
        </w:tc>
        <w:tc>
          <w:tcPr>
            <w:tcW w:w="1665" w:type="dxa"/>
            <w:gridSpan w:val="16"/>
            <w:tcBorders>
              <w:top w:val="outset" w:sz="6" w:space="0" w:color="C0C0C0"/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I-3. Fomentar el desarrollo de la innovación, la creatividad, la mejora continua y el emprendimiento en beneficio de la comunidad universitaria.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/>
          </w:p>
        </w:tc>
        <w:tc>
          <w:tcPr>
            <w:tcW w:w="4020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LÍNEA DE ACTUACIÓN</w:t>
            </w:r>
          </w:p>
        </w:tc>
        <w:tc>
          <w:tcPr>
            <w:tcW w:w="1665" w:type="dxa"/>
            <w:gridSpan w:val="16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I-3.1. Promoción de la cultura de emprendimiento, innovación y creatividad en toda la comunidad universitaria.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OPERATIVO</w:t>
            </w:r>
          </w:p>
        </w:tc>
        <w:tc>
          <w:tcPr>
            <w:tcW w:w="1665" w:type="dxa"/>
            <w:gridSpan w:val="17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1. Fortalecer competencias relativas a la innovación y gestión de proyectos en la comunidad universitaria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METAS</w:t>
            </w:r>
          </w:p>
        </w:tc>
        <w:tc>
          <w:tcPr>
            <w:tcW w:w="402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ACTIVIDADES</w:t>
            </w:r>
          </w:p>
        </w:tc>
        <w:tc>
          <w:tcPr>
            <w:tcW w:w="48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PESO</w:t>
            </w:r>
          </w:p>
        </w:tc>
        <w:tc>
          <w:tcPr>
            <w:tcW w:w="183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INDICADOR VERIFICABLE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PRESUPUESTO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RESPONSABLES</w:t>
            </w:r>
          </w:p>
        </w:tc>
        <w:tc>
          <w:tcPr>
            <w:tcW w:w="1665" w:type="dxa"/>
            <w:gridSpan w:val="12"/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CRONOGRAMA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W w:w="402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48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83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F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S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O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N</w:t>
            </w:r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1.1. Realizar al menos 8 actividades de formación relativas al Desarrollo y promoción de la Cultura de innovación (entre sede y recintos)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1.1.1. Lanzar la convocatoria o enviar convocatoria a los selccionados)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Listado de inscritos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1.1.2. Identificar el tema de la capacitación o el taller, posibles facilitadores y demás detalle de lugar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Temática definida y el objetivo de la capacitación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1.1.3. Ejecución del taller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curso taller impartido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RD$ 100,000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 Realizar la Jornada de Innovación (De manera híbrida, tanto virtual como presencial)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1.2.1. Determinar la temática del Evento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Temática definida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1.2.2. Contactar y confirmar ponentes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la selección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1.2.3. Crear artes para divulgación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Diseños listos y aprobados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1.2.4. Convocatoria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Listado de inscritos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1.2.5. Ejecución de la Jornada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ejecución del evento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RD$ 70,000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1.3. Lograr al menos 1 participación en Congresos internacionales o nacionales dedicado a temas de Innovación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1.3.1. Identificar congresos de interés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Listado de Opciones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1.3.2. Inscripción en el Congreso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pago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RD$ 50,000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1.3.3. Participación en el Congreso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45%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Evidencias del evento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1.3.4. Crear Memorias de la participación </w:t>
            </w:r>
          </w:p>
        </w:tc>
        <w:tc>
          <w:tcPr>
            <w:tcW w:w="48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Publicación de las experiencias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</w:tbl>
    <w:p>
      <w:pPr>
        <w:rPr>
          <w:vanish/>
        </w:rPr>
      </w:pPr>
    </w:p>
    <w:tbl>
      <w:tblPr>
        <w:tblW w:w="5000" w:type="pct"/>
        <w:jc w:val="left"/>
        <w:tblInd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  <w:insideH w:val="outset" w:sz="6" w:space="0" w:color="C0C0C0"/>
          <w:insideV w:val="outset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firstRow="0" w:lastRow="0" w:firstColumn="0" w:lastColumn="0" w:noHBand="1" w:noVBand="1"/>
      </w:tblPr>
      <w:tblGrid>
        <w:gridCol w:w="1523"/>
        <w:gridCol w:w="1384"/>
        <w:gridCol w:w="618"/>
        <w:gridCol w:w="1408"/>
        <w:gridCol w:w="1445"/>
        <w:gridCol w:w="1579"/>
        <w:gridCol w:w="186"/>
        <w:gridCol w:w="162"/>
        <w:gridCol w:w="204"/>
        <w:gridCol w:w="173"/>
        <w:gridCol w:w="204"/>
        <w:gridCol w:w="142"/>
        <w:gridCol w:w="142"/>
        <w:gridCol w:w="173"/>
        <w:gridCol w:w="173"/>
        <w:gridCol w:w="194"/>
        <w:gridCol w:w="183"/>
        <w:gridCol w:w="194"/>
      </w:tblGrid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divId w:val="28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EJE:</w:t>
            </w:r>
          </w:p>
          <w:p>
            <w:pPr>
              <w:divId w:val="29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VI. Lineamientos Especiales 2024</w:t>
            </w:r>
          </w:p>
        </w:tc>
        <w:tc>
          <w:tcPr>
            <w:tcW w:w="4020" w:type="dxa"/>
            <w:tcBorders>
              <w:top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ESTRATÉGICO</w:t>
            </w:r>
          </w:p>
        </w:tc>
        <w:tc>
          <w:tcPr>
            <w:tcW w:w="1665" w:type="dxa"/>
            <w:gridSpan w:val="16"/>
            <w:tcBorders>
              <w:top w:val="outset" w:sz="6" w:space="0" w:color="C0C0C0"/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E-2. Transformar digitalmente la Universidad.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/>
          </w:p>
        </w:tc>
        <w:tc>
          <w:tcPr>
            <w:tcW w:w="4020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LÍNEA DE ACTUACIÓN</w:t>
            </w:r>
          </w:p>
        </w:tc>
        <w:tc>
          <w:tcPr>
            <w:tcW w:w="1665" w:type="dxa"/>
            <w:gridSpan w:val="16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E-2.1. Virtualización de todos los procesos académicos y administrativos.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OPERATIVO</w:t>
            </w:r>
          </w:p>
        </w:tc>
        <w:tc>
          <w:tcPr>
            <w:tcW w:w="1665" w:type="dxa"/>
            <w:gridSpan w:val="17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2. Automatización del proceso de gestión de Proyectos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METAS</w:t>
            </w:r>
          </w:p>
        </w:tc>
        <w:tc>
          <w:tcPr>
            <w:tcW w:w="402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ACTIVIDADES</w:t>
            </w:r>
          </w:p>
        </w:tc>
        <w:tc>
          <w:tcPr>
            <w:tcW w:w="48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PESO</w:t>
            </w:r>
          </w:p>
        </w:tc>
        <w:tc>
          <w:tcPr>
            <w:tcW w:w="183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INDICADOR VERIFICABLE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PRESUPUESTO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RESPONSABLES</w:t>
            </w:r>
          </w:p>
        </w:tc>
        <w:tc>
          <w:tcPr>
            <w:tcW w:w="1665" w:type="dxa"/>
            <w:gridSpan w:val="12"/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CRONOGRAMA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W w:w="402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48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83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F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S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O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N</w:t>
            </w:r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2.1. Automatización del proceso de gestión de proyectos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2.1.1. Evaluar diferentes herramientas para verificar funcionalidad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Comparación de las herramientas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2.1.2. Presentar análisis de las herramientas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Evidencias de la presentación de las herramientas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2.1.3. Seleccionar la herramienta a utilizar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la selección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2.1.4. Someter a renovación de la licencia del Software Trello o la adquisición de una nueva herramienta (plataforma de gestión de tareas y proyectos) </w:t>
            </w:r>
          </w:p>
        </w:tc>
        <w:tc>
          <w:tcPr>
            <w:tcW w:w="48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30%</w:t>
            </w:r>
          </w:p>
        </w:tc>
        <w:tc>
          <w:tcPr>
            <w:tcW w:w="183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Pago y solución implementada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RD$ 40,000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</w:tbl>
    <w:p>
      <w:pPr>
        <w:rPr>
          <w:vanish/>
        </w:rPr>
      </w:pPr>
    </w:p>
    <w:tbl>
      <w:tblPr>
        <w:tblW w:w="5000" w:type="pct"/>
        <w:jc w:val="left"/>
        <w:tblInd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  <w:insideH w:val="outset" w:sz="6" w:space="0" w:color="C0C0C0"/>
          <w:insideV w:val="outset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firstRow="0" w:lastRow="0" w:firstColumn="0" w:lastColumn="0" w:noHBand="1" w:noVBand="1"/>
      </w:tblPr>
      <w:tblGrid>
        <w:gridCol w:w="1364"/>
        <w:gridCol w:w="1634"/>
        <w:gridCol w:w="602"/>
        <w:gridCol w:w="1462"/>
        <w:gridCol w:w="1409"/>
        <w:gridCol w:w="1539"/>
        <w:gridCol w:w="181"/>
        <w:gridCol w:w="158"/>
        <w:gridCol w:w="198"/>
        <w:gridCol w:w="169"/>
        <w:gridCol w:w="198"/>
        <w:gridCol w:w="138"/>
        <w:gridCol w:w="138"/>
        <w:gridCol w:w="169"/>
        <w:gridCol w:w="169"/>
        <w:gridCol w:w="189"/>
        <w:gridCol w:w="178"/>
        <w:gridCol w:w="192"/>
      </w:tblGrid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divId w:val="36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EJE:</w:t>
            </w:r>
          </w:p>
          <w:p>
            <w:pPr>
              <w:divId w:val="37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II. Investigación, Innovación y Desarrollo</w:t>
            </w:r>
          </w:p>
        </w:tc>
        <w:tc>
          <w:tcPr>
            <w:tcW w:w="4020" w:type="dxa"/>
            <w:tcBorders>
              <w:top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ESTRATÉGICO</w:t>
            </w:r>
          </w:p>
        </w:tc>
        <w:tc>
          <w:tcPr>
            <w:tcW w:w="1665" w:type="dxa"/>
            <w:gridSpan w:val="16"/>
            <w:tcBorders>
              <w:top w:val="outset" w:sz="6" w:space="0" w:color="C0C0C0"/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I-3. Fomentar el desarrollo de la innovación, la creatividad, la mejora continua y el emprendimiento en beneficio de la comunidad universitaria.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/>
          </w:p>
        </w:tc>
        <w:tc>
          <w:tcPr>
            <w:tcW w:w="4020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LÍNEA DE ACTUACIÓN</w:t>
            </w:r>
          </w:p>
        </w:tc>
        <w:tc>
          <w:tcPr>
            <w:tcW w:w="1665" w:type="dxa"/>
            <w:gridSpan w:val="16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I-3.3. Desarrollo de una cultura de trabajo colaborativo y en red para incentivar la innovación en la UAPA.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OPERATIVO</w:t>
            </w:r>
          </w:p>
        </w:tc>
        <w:tc>
          <w:tcPr>
            <w:tcW w:w="1665" w:type="dxa"/>
            <w:gridSpan w:val="17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3. Potencializar el registro de ideas y problemáticas que puedan resultar en proyectos de interdepartamentales que ofrezcan soluciones innovadoras a estas problemáticas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METAS</w:t>
            </w:r>
          </w:p>
        </w:tc>
        <w:tc>
          <w:tcPr>
            <w:tcW w:w="402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ACTIVIDADES</w:t>
            </w:r>
          </w:p>
        </w:tc>
        <w:tc>
          <w:tcPr>
            <w:tcW w:w="48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PESO</w:t>
            </w:r>
          </w:p>
        </w:tc>
        <w:tc>
          <w:tcPr>
            <w:tcW w:w="183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INDICADOR VERIFICABLE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PRESUPUESTO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RESPONSABLES</w:t>
            </w:r>
          </w:p>
        </w:tc>
        <w:tc>
          <w:tcPr>
            <w:tcW w:w="1665" w:type="dxa"/>
            <w:gridSpan w:val="12"/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CRONOGRAMA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W w:w="402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48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83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F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S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O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N</w:t>
            </w:r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3.1. Fortalecer las competencias del personal del departamento de innovación mediante el desarrollo formación en gestión de proyectos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3.1.1. Identificar alternativas de formación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Listado de Opciones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3.1.2. Formalizar inscripción en formación especializada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pago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RD$ 40,000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3.1.3. Desarrollar la formación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45%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Certificado de culminación y fotos de las participaciones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3.1.4. Crear artes para difusión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Diseños listos y aprobados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3.2. Liderar al menos 1 campaña de captación de ideas de innovación agregar lo nuevo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3.2.1. Identificar las áreas o temática de la campaña de captación de ideas, con objetivo y detalles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Temas seleccionado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3.2.2. Crear los diseños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Diseños listos y aprobados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3.2.3. Lanzar la campaña de captación de ideas con un tiempo limitado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Idea registrada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3.2.4. Cierre de la campaña de captación y proceso de evaluación de ideas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Matriz de evaluación realizadas e ideas seleccionadas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3.2.5. Selección de ideas a trabajar en innovación para el próximo año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ideas seleccionadas y premiadas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3.3. Promover, acompañar y liderar la elaboración de al menos un 80% de proyectos de innovación (entre Sede y recintos)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3.3.1. Seleccionar las ideas a trabajarse con el proceso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Idea registrada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3.3.2. Seguimiento y acompañamiento a los líderes de los proyectos y desarrollo de las ideas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las reuniones y avances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3.3.3. Presentar Proyectos de innovación estructurados al consejo de la innovación y seleccionar para implementación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las presentaciones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3.3.4. Entrega de los incentivos a los proyectos y equipos que resulten para implementación </w:t>
            </w:r>
          </w:p>
        </w:tc>
        <w:tc>
          <w:tcPr>
            <w:tcW w:w="48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ejecución del evento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RD$ 1,400,000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</w:tbl>
    <w:p>
      <w:pPr>
        <w:rPr>
          <w:vanish/>
        </w:rPr>
      </w:pPr>
    </w:p>
    <w:tbl>
      <w:tblPr>
        <w:tblW w:w="5000" w:type="pct"/>
        <w:jc w:val="left"/>
        <w:tblInd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  <w:insideH w:val="outset" w:sz="6" w:space="0" w:color="C0C0C0"/>
          <w:insideV w:val="outset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firstRow="0" w:lastRow="0" w:firstColumn="0" w:lastColumn="0" w:noHBand="1" w:noVBand="1"/>
      </w:tblPr>
      <w:tblGrid>
        <w:gridCol w:w="1316"/>
        <w:gridCol w:w="1404"/>
        <w:gridCol w:w="627"/>
        <w:gridCol w:w="1512"/>
        <w:gridCol w:w="1466"/>
        <w:gridCol w:w="1602"/>
        <w:gridCol w:w="188"/>
        <w:gridCol w:w="165"/>
        <w:gridCol w:w="207"/>
        <w:gridCol w:w="176"/>
        <w:gridCol w:w="207"/>
        <w:gridCol w:w="144"/>
        <w:gridCol w:w="144"/>
        <w:gridCol w:w="176"/>
        <w:gridCol w:w="176"/>
        <w:gridCol w:w="197"/>
        <w:gridCol w:w="186"/>
        <w:gridCol w:w="194"/>
      </w:tblGrid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divId w:val="55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EJE:</w:t>
            </w:r>
          </w:p>
          <w:p>
            <w:pPr>
              <w:divId w:val="56"/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V. Lineamientos Especiales 2023</w:t>
            </w:r>
          </w:p>
        </w:tc>
        <w:tc>
          <w:tcPr>
            <w:tcW w:w="4020" w:type="dxa"/>
            <w:tcBorders>
              <w:top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ESTRATÉGICO</w:t>
            </w:r>
          </w:p>
        </w:tc>
        <w:tc>
          <w:tcPr>
            <w:tcW w:w="1665" w:type="dxa"/>
            <w:gridSpan w:val="16"/>
            <w:tcBorders>
              <w:top w:val="outset" w:sz="6" w:space="0" w:color="C0C0C0"/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L-1. Promover la cultura de productividad y eficiencia en la gestión universitaria.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top w:val="outset" w:sz="6" w:space="0" w:color="C0C0C0"/>
              <w:left w:val="outset" w:sz="6" w:space="0" w:color="C0C0C0"/>
            </w:tcBorders>
            <w:shd w:val="clear" w:color="auto" w:fill="F0F2F5"/>
            <w:vAlign w:val="center"/>
          </w:tcPr>
          <w:p>
            <w:pPr/>
          </w:p>
        </w:tc>
        <w:tc>
          <w:tcPr>
            <w:tcW w:w="4020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LÍNEA DE ACTUACIÓN</w:t>
            </w:r>
          </w:p>
        </w:tc>
        <w:tc>
          <w:tcPr>
            <w:tcW w:w="1665" w:type="dxa"/>
            <w:gridSpan w:val="16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L-1.1 Consolidación de evaluación de resultados de procesos sistematizados (políticas, procedimientos, reglamentos).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tcBorders>
              <w:left w:val="outset" w:sz="6" w:space="0" w:color="C0C0C0"/>
            </w:tcBorders>
            <w:shd w:val="clear" w:color="auto" w:fill="F0F2F5"/>
            <w:vAlign w:val="center"/>
          </w:tcPr>
          <w:p>
            <w:pPr>
              <w:shd w:val="clear" w:color="auto" w:fill="F0F2F5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0F2F5"/>
              </w:rPr>
              <w:t xml:space="preserve">OBJETIVO OPERATIVO</w:t>
            </w:r>
          </w:p>
        </w:tc>
        <w:tc>
          <w:tcPr>
            <w:tcW w:w="1665" w:type="dxa"/>
            <w:gridSpan w:val="17"/>
            <w:tcBorders>
              <w:right w:val="outset" w:sz="6" w:space="0" w:color="C0C0C0"/>
            </w:tcBorders>
            <w:shd w:val="clear" w:color="auto" w:fill="F0F2F5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0F2F5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0F2F5"/>
              </w:rPr>
              <w:t xml:space="preserve">4. Estandarizar los procesos y políticas de innovación para contribuir en la mejora de los procesos 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 w:val="restart"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METAS</w:t>
            </w:r>
          </w:p>
        </w:tc>
        <w:tc>
          <w:tcPr>
            <w:tcW w:w="402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ACTIVIDADES</w:t>
            </w:r>
          </w:p>
        </w:tc>
        <w:tc>
          <w:tcPr>
            <w:tcW w:w="48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PESO</w:t>
            </w:r>
          </w:p>
        </w:tc>
        <w:tc>
          <w:tcPr>
            <w:tcW w:w="183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INDICADOR VERIFICABLE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PRESUPUESTO</w:t>
            </w:r>
          </w:p>
        </w:tc>
        <w:tc>
          <w:tcPr>
            <w:tcW w:w="1500" w:type="dxa"/>
            <w:vMerge w:val="restart"/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RESPONSABLES</w:t>
            </w:r>
          </w:p>
        </w:tc>
        <w:tc>
          <w:tcPr>
            <w:tcW w:w="1665" w:type="dxa"/>
            <w:gridSpan w:val="12"/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CRONOGRAMA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2565" w:type="dxa"/>
            <w:vMerge/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W w:w="402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48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83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W w:w="1500" w:type="dxa"/>
            <w:vMerge/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F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M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J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A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S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O</w:t>
            </w:r>
          </w:p>
        </w:tc>
        <w:tc>
          <w:tcPr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N</w:t>
            </w:r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</w:t>
            </w:r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 w:val="restar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4.1. Estandarizar los procesos y políticas de innovación para contribuir en la mejora de los procesos </w:t>
            </w:r>
          </w:p>
        </w:tc>
        <w:tc>
          <w:tcPr>
            <w:tcW w:w="85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4.1.1. Autoevaluar el proceso a actualizar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Ficha de autoevaluación realizada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4.1.2. Solicitar del nuevo documento del proceso a actualizar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15%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 la aprobación del Proceso a actualizar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4.1.3. Participar de las sesiones de trabajo de la actualizacion de proceso </w:t>
            </w:r>
          </w:p>
        </w:tc>
        <w:tc>
          <w:tcPr>
            <w:tcW w:w="4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40%</w:t>
            </w:r>
          </w:p>
        </w:tc>
        <w:tc>
          <w:tcPr>
            <w:tcW w:w="18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Evidencias de las reuniones y avances del documento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DEDEDE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shd w:val="clear" w:color="auto" w:fill="FFFFFF"/>
            <w:vAlign w:val="center"/>
          </w:tcPr>
          <w:p>
            <w:pPr/>
          </w:p>
        </w:tc>
        <w:tc>
          <w:tcPr>
            <w:tcBorders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hRule="auto" w:val="0"/>
          <w:jc w:val="left"/>
          <w:divId w:val="9"/>
        </w:trPr>
        <w:tc>
          <w:tcPr>
            <w:tcW w:w="850" w:type="pct"/>
            <w:vMerge/>
            <w:tcBorders>
              <w:left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/>
          </w:p>
        </w:tc>
        <w:tc>
          <w:tcPr>
            <w:tcW w:w="850" w:type="pct"/>
            <w:tcBorders>
              <w:left w:val="outset" w:sz="6" w:space="0" w:color="C0C0C0"/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4.1.4. Presentación proceso actualizado </w:t>
            </w:r>
          </w:p>
        </w:tc>
        <w:tc>
          <w:tcPr>
            <w:tcW w:w="48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25%</w:t>
            </w:r>
          </w:p>
        </w:tc>
        <w:tc>
          <w:tcPr>
            <w:tcW w:w="183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Evidencia del Proceso aprobado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center"/>
              <w:rPr>
                <w:vanish w:val="0"/>
              </w:rPr>
            </w:pPr>
            <w:r>
              <w:rPr>
                <w:rFonts w:ascii="arial" w:eastAsia="arial" w:hAnsi="arial" w:cs="arial"/>
                <w:b/>
                <w:i w:val="0"/>
                <w:color w:val="333333"/>
                <w:sz w:val="22"/>
                <w:shd w:val="clear" w:color="auto" w:fill="FFFFFF"/>
              </w:rPr>
              <w:t xml:space="preserve">RD$ 0 </w:t>
            </w:r>
          </w:p>
        </w:tc>
        <w:tc>
          <w:tcPr>
            <w:tcW w:w="1500" w:type="dxa"/>
            <w:tcBorders>
              <w:bottom w:val="outset" w:sz="6" w:space="0" w:color="C0C0C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>
            <w:pPr>
              <w:shd w:val="clear" w:color="auto" w:fill="FFFFFF"/>
              <w:spacing w:line="390" w:lineRule="atLeast"/>
              <w:jc w:val="left"/>
              <w:rPr>
                <w:vanish w:val="0"/>
              </w:rPr>
            </w:pPr>
            <w:r>
              <w:rPr>
                <w:rFonts w:ascii="arial" w:eastAsia="arial" w:hAnsi="arial" w:cs="arial"/>
                <w:b w:val="0"/>
                <w:i w:val="0"/>
                <w:color w:val="333333"/>
                <w:sz w:val="22"/>
                <w:shd w:val="clear" w:color="auto" w:fill="FFFFFF"/>
              </w:rPr>
              <w:t xml:space="preserve">Departamento de Innovación </w:t>
            </w:r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DEDEDE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</w:tcPr>
          <w:p>
            <w:pPr/>
          </w:p>
        </w:tc>
      </w:tr>
    </w:tbl>
    <w:p>
      <w:pPr/>
    </w:p>
    <w:sectPr>
      <w:pgSz w:w="11907" w:h="16839" w:orient="portrait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11.25" w:color="auto"/>
        <w:bottom w:val="none" w:sz="0" w:space="0" w:color="auto"/>
        <w:right w:val="none" w:sz="0" w:space="11.25" w:color="auto"/>
      </w:divBdr>
      <w:divsChild>
        <w:div w:id="2">
          <w:marLeft w:val="0"/>
          <w:marRight w:val="0"/>
          <w:marTop w:val="450"/>
          <w:marBottom w:val="450"/>
          <w:divBdr>
            <w:top w:val="none" w:sz="0" w:space="16.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-20"/>
              <w:marBottom w:val="-20"/>
              <w:divBdr>
                <w:top w:val="none" w:sz="0" w:space="15" w:color="auto"/>
                <w:left w:val="none" w:sz="0" w:space="45" w:color="auto"/>
                <w:bottom w:val="none" w:sz="0" w:space="15" w:color="auto"/>
                <w:right w:val="none" w:sz="0" w:space="45" w:color="auto"/>
              </w:divBdr>
              <w:divsChild>
                <w:div w:id="4">
                  <w:marLeft w:val="0"/>
                  <w:marRight w:val="0"/>
                  <w:marTop w:val="336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">
                      <w:marLeft w:val="-225"/>
                      <w:marRight w:val="-225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">
                          <w:marLeft w:val="0"/>
                          <w:marRight w:val="0"/>
                          <w:marTop w:val="-20"/>
                          <w:marBottom w:val="-20"/>
                          <w:divBdr>
                            <w:top w:val="none" w:sz="0" w:space="0" w:color="auto"/>
                            <w:left w:val="none" w:sz="0" w:space="11.25" w:color="auto"/>
                            <w:bottom w:val="none" w:sz="0" w:space="0" w:color="auto"/>
                            <w:right w:val="none" w:sz="0" w:space="11.25" w:color="auto"/>
                          </w:divBdr>
                          <w:divsChild>
                            <w:div w:id="7">
                              <w:marLeft w:val="0"/>
                              <w:marRight w:val="0"/>
                              <w:marTop w:val="-20"/>
                              <w:marBottom w:val="-20"/>
                              <w:divBdr>
                                <w:top w:val="none" w:sz="0" w:space="33.6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">
                              <w:marLeft w:val="0"/>
                              <w:marRight w:val="0"/>
                              <w:marTop w:val="-20"/>
                              <w:marBottom w:val="-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">
                              <w:marLeft w:val="0"/>
                              <w:marRight w:val="0"/>
                              <w:marTop w:val="-20"/>
                              <w:marBottom w:val="-20"/>
                              <w:divBdr>
                                <w:top w:val="none" w:sz="0" w:space="5.6" w:color="auto"/>
                                <w:left w:val="none" w:sz="0" w:space="0" w:color="auto"/>
                                <w:bottom w:val="none" w:sz="0" w:space="16.8" w:color="auto"/>
                                <w:right w:val="none" w:sz="0" w:space="0" w:color="auto"/>
                              </w:divBdr>
                              <w:divsChild>
                                <w:div w:id="1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">
                                  <w:marLeft w:val="0"/>
                                  <w:marRight w:val="0"/>
                                  <w:marTop w:val="-20"/>
                                  <w:marBottom w:val="-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webSettings" Target="webSettings.xml"/><Relationship Id="rId3" Type="http://schemas.openxmlformats.org/officeDocument/2006/relationships/settings" Target="settings.xml"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2024-05-16T15:52:28Z</dcterms:created>
  <dcterms:modified xsi:type="dcterms:W3CDTF">2024-05-16T15:52:28Z</dcterms:modified>
</cp:coreProperties>
</file>