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</w:pPr>
      <w:r>
        <w:t xml:space="preserve">Análisis DAFO y Plan Estratégico – CloudSecure Technologies</w:t>
      </w:r>
    </w:p>
    <w:p>
      <w:pPr>
        <w:spacing w:after="400"/>
      </w:pPr>
      <w:r>
        <w:rPr>
          <w:i/>
          <w:iCs/>
          <w:color w:val="555555"/>
          <w:sz w:val="18"/>
          <w:szCs w:val="18"/>
        </w:rPr>
        <w:t xml:space="preserve">Consejo de Administración – CloudSecure Technologies S.A.</w:t>
      </w:r>
    </w:p>
    <w:p>
      <w:pPr>
        <w:pStyle w:val="Heading1"/>
        <w:spacing w:after="150" w:before="300"/>
      </w:pPr>
      <w:r>
        <w:t xml:space="preserve">Análisis Interno: Fortalezas y Debilidades</w:t>
      </w:r>
    </w:p>
    <w:p>
      <w:pPr>
        <w:spacing w:after="160"/>
        <w:jc w:val="both"/>
      </w:pPr>
      <w:r>
        <w:rPr>
          <w:sz w:val="22"/>
          <w:szCs w:val="22"/>
        </w:rPr>
        <w:t xml:space="preserve">Entre las principales fortalezas de CloudSecure destacan: equipo técnico de alto nivel con una media de 8 años de experiencia en ciberseguridad, cartera de 127 clientes enterprise con una tasa de retención del 93%, plataforma propia con patente de protección registrada en Europa y Estados Unidos, y cultura de innovación reconocida con el Premio INCIBE a la Startup del Año 2023.</w:t>
      </w:r>
    </w:p>
    <w:p>
      <w:pPr>
        <w:spacing w:after="160"/>
        <w:jc w:val="both"/>
      </w:pPr>
      <w:r>
        <w:rPr>
          <w:sz w:val="22"/>
          <w:szCs w:val="22"/>
        </w:rPr>
        <w:t xml:space="preserve">Las debilidades más significativas son la dependencia excesiva de los tres principales clientes (que representan el 41% de los ingresos), la escasez de recursos comerciales para la expansión internacional, y el proceso de ventas excesivamente largo (ciclo medio de 9 meses) que dificulta el crecimiento acelerado.</w:t>
      </w:r>
    </w:p>
    <w:p>
      <w:pPr>
        <w:pStyle w:val="Heading1"/>
        <w:spacing w:after="150" w:before="300"/>
      </w:pPr>
      <w:r>
        <w:t xml:space="preserve">Análisis Externo: Oportunidades y Amenazas</w:t>
      </w:r>
    </w:p>
    <w:p>
      <w:pPr>
        <w:spacing w:after="160"/>
        <w:jc w:val="both"/>
      </w:pPr>
      <w:r>
        <w:rPr>
          <w:sz w:val="22"/>
          <w:szCs w:val="22"/>
        </w:rPr>
        <w:t xml:space="preserve">El mercado de la ciberseguridad cloud en Europa crece a un ritmo del 23% anual y se espera que alcance los 18.000 millones de euros en 2027. La entrada en vigor de NIS2, DORA y el AI Act crea una demanda regulatoria de soluciones de compliance automatizado que CloudSecure puede capitalizar con su oferta actual.</w:t>
      </w:r>
    </w:p>
    <w:p>
      <w:pPr>
        <w:spacing w:after="160"/>
        <w:jc w:val="both"/>
      </w:pPr>
      <w:r>
        <w:rPr>
          <w:sz w:val="22"/>
          <w:szCs w:val="22"/>
        </w:rPr>
        <w:t xml:space="preserve">Las principales amenazas provienen de los hyperscalers (AWS, Azure, Google Cloud), que están expandiendo agresivamente sus portafolios de seguridad nativa, y de la proliferación de startups bien financiadas en el segmento de CNAPP (Cloud-Native Application Protection Platform) con propuestas de valor similares.</w:t>
      </w:r>
    </w:p>
    <w:p>
      <w:pPr>
        <w:pStyle w:val="Heading1"/>
        <w:spacing w:after="150" w:before="300"/>
      </w:pPr>
      <w:r>
        <w:t xml:space="preserve">Líneas Estratégicas 2025-2027</w:t>
      </w:r>
    </w:p>
    <w:p>
      <w:pPr>
        <w:spacing w:after="160"/>
        <w:jc w:val="both"/>
      </w:pPr>
      <w:r>
        <w:rPr>
          <w:sz w:val="22"/>
          <w:szCs w:val="22"/>
        </w:rPr>
        <w:t xml:space="preserve">El plan estratégico para el trienio 2025-2027 se organiza en torno a cuatro líneas de acción: consolidación de la posición de liderazgo en el mercado español (objetivo: alcanzar el 15% de cuota en el segmento de pymes enterprise), expansión a los mercados italiano y portugués mediante alianzas con integradores locales, desarrollo de un módulo de IA para la detección predictiva de amenazas, y transformación del modelo de ingresos hacia el SaaS puro con contratos de mínimo 3 años.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DAFO y Plan Estratégico – CloudSecure Technologies</dc:title>
  <dc:creator>Claude AI - Anthropic</dc:creator>
  <dc:description>Documento generado por Claude (Anthropic AI)</dc:description>
  <cp:lastModifiedBy>Un-named</cp:lastModifiedBy>
  <cp:revision>1</cp:revision>
  <dcterms:created xsi:type="dcterms:W3CDTF">2026-03-27T06:41:22.036Z</dcterms:created>
  <dcterms:modified xsi:type="dcterms:W3CDTF">2026-03-27T06:41:22.036Z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