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Estrategia de Contenidos y SEO para E-commerce de Moda</w:t>
      </w:r>
    </w:p>
    <w:p>
      <w:pPr>
        <w:spacing w:after="400"/>
      </w:pPr>
      <w:r>
        <w:rPr>
          <w:i/>
          <w:iCs/>
          <w:color w:val="555555"/>
          <w:sz w:val="18"/>
          <w:szCs w:val="18"/>
        </w:rPr>
        <w:t xml:space="preserve">Agencia SEO Posiciona – Alicante</w:t>
      </w:r>
    </w:p>
    <w:p>
      <w:pPr>
        <w:pStyle w:val="Heading1"/>
        <w:spacing w:after="150" w:before="300"/>
      </w:pPr>
      <w:r>
        <w:t xml:space="preserve">Análisis del Estado Actual</w:t>
      </w:r>
    </w:p>
    <w:p>
      <w:pPr>
        <w:spacing w:after="160"/>
        <w:jc w:val="both"/>
      </w:pPr>
      <w:r>
        <w:rPr>
          <w:sz w:val="22"/>
          <w:szCs w:val="22"/>
        </w:rPr>
        <w:t xml:space="preserve">La tienda online MODANOVA presenta una visibilidad orgánica considerablemente inferior a su potencial dada la competitividad de los términos objetivo del sector moda. El análisis técnico revela problemas de indexación que afectan al 23% de las URLs del catálogo, una arquitectura de categorías que dificulta la distribución eficiente del pagerank interno, y un contenido de producto mayoritariamente duplicado o insuficiente (menos de 200 palabras en el 78% de las fichas).</w:t>
      </w:r>
    </w:p>
    <w:p>
      <w:pPr>
        <w:spacing w:after="160"/>
        <w:jc w:val="both"/>
      </w:pPr>
      <w:r>
        <w:rPr>
          <w:sz w:val="22"/>
          <w:szCs w:val="22"/>
        </w:rPr>
        <w:t xml:space="preserve">El perfil de enlaces actuales (domain rating 31 según Ahrefs) es el factor que más limita la capacidad del sitio para posicionar términos de alta competencia. La estrategia de link building deberá ser uno de los pilares del plan de acción para los próximos 12 meses.</w:t>
      </w:r>
    </w:p>
    <w:p>
      <w:pPr>
        <w:pStyle w:val="Heading1"/>
        <w:spacing w:after="150" w:before="300"/>
      </w:pPr>
      <w:r>
        <w:t xml:space="preserve">Estrategia de Contenidos</w:t>
      </w:r>
    </w:p>
    <w:p>
      <w:pPr>
        <w:spacing w:after="160"/>
        <w:jc w:val="both"/>
      </w:pPr>
      <w:r>
        <w:rPr>
          <w:sz w:val="22"/>
          <w:szCs w:val="22"/>
        </w:rPr>
        <w:t xml:space="preserve">La estrategia de contenidos se organiza en tres niveles según la intención de búsqueda: contenido transaccional (fichas de producto y páginas de categoría optimizadas para términos de alta intención de compra), contenido de consideración (guías de estilo, comparativas y artículos "cómo combinar" orientados a términos de media intención), y contenido de atracción (tendencias, inspiración y cultura de moda para términos de alta búsqueda y baja conversión directa).</w:t>
      </w:r>
    </w:p>
    <w:p>
      <w:pPr>
        <w:spacing w:after="160"/>
        <w:jc w:val="both"/>
      </w:pPr>
      <w:r>
        <w:rPr>
          <w:sz w:val="22"/>
          <w:szCs w:val="22"/>
        </w:rPr>
        <w:t xml:space="preserve">Se propone la publicación de un mínimo de 8 artículos mensuales en el blog con extensión media de 1.500-2.500 palabras, priorizando los clústeres temáticos identificados mediante el análisis de vacíos de contenido respecto a los competidores directos.</w:t>
      </w:r>
    </w:p>
    <w:p>
      <w:pPr>
        <w:pStyle w:val="Heading1"/>
        <w:spacing w:after="150" w:before="300"/>
      </w:pPr>
      <w:r>
        <w:t xml:space="preserve">KPIs y Proyecciones</w:t>
      </w:r>
    </w:p>
    <w:p>
      <w:pPr>
        <w:spacing w:after="160"/>
        <w:jc w:val="both"/>
      </w:pPr>
      <w:r>
        <w:rPr>
          <w:sz w:val="22"/>
          <w:szCs w:val="22"/>
        </w:rPr>
        <w:t xml:space="preserve">Los indicadores de seguimiento primarios son el tráfico orgánico mensual (objetivo: +65% a 12 meses), las posiciones en el top 10 de Google para los 200 términos objetivo (objetivo: pasar del 18% al 45% actual), la tasa de conversión de tráfico orgánico (objetivo: 1,8% desde el 1,1% actual) y los ingresos atribuidos al canal orgánico (objetivo: +120.000€ anuales incrementales).</w:t>
      </w:r>
    </w:p>
    <w:p>
      <w:pPr>
        <w:spacing w:after="160"/>
        <w:jc w:val="both"/>
      </w:pPr>
      <w:r>
        <w:rPr>
          <w:sz w:val="22"/>
          <w:szCs w:val="22"/>
        </w:rPr>
        <w:t xml:space="preserve">Las proyecciones de ROI para la inversión en SEO y contenidos (presupuesto anual 36.000€) estiman un retorno de 3,3x en el primer año con potencial de escalar a 5,8x en el segundo año, una vez consolidada la autoridad del dominio.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Contenidos y SEO para E-commerce de Moda</dc:title>
  <dc:creator>Claude AI - Anthropic</dc:creator>
  <dc:description>Documento generado por Claude (Anthropic AI)</dc:description>
  <cp:lastModifiedBy>Un-named</cp:lastModifiedBy>
  <cp:revision>1</cp:revision>
  <dcterms:created xsi:type="dcterms:W3CDTF">2026-03-27T06:41:22.258Z</dcterms:created>
  <dcterms:modified xsi:type="dcterms:W3CDTF">2026-03-27T06:41:22.258Z</dcterms:modified>
</cp:coreProperties>
</file>

<file path=docProps/custom.xml><?xml version="1.0" encoding="utf-8"?>
<Properties xmlns="http://schemas.openxmlformats.org/officeDocument/2006/custom-properties" xmlns:vt="http://schemas.openxmlformats.org/officeDocument/2006/docPropsVTypes"/>
</file>