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Title"/>
        <w:spacing w:after="200"/>
      </w:pPr>
      <w:r>
        <w:t xml:space="preserve">Guía para el Inversor: Fondos de Inversión y ETFs para Particulares</w:t>
      </w:r>
    </w:p>
    <w:p>
      <w:pPr>
        <w:spacing w:after="400"/>
      </w:pPr>
      <w:r>
        <w:rPr>
          <w:i/>
          <w:iCs/>
          <w:color w:val="555555"/>
          <w:sz w:val="18"/>
          <w:szCs w:val="18"/>
        </w:rPr>
        <w:t xml:space="preserve">Departamento de Educación Financiera – Banca Mediterránea</w:t>
      </w:r>
    </w:p>
    <w:p>
      <w:pPr>
        <w:pStyle w:val="Heading1"/>
        <w:spacing w:after="150" w:before="300"/>
      </w:pPr>
      <w:r>
        <w:t xml:space="preserve">Conceptos Fundamentales</w:t>
      </w:r>
    </w:p>
    <w:p>
      <w:pPr>
        <w:spacing w:after="160"/>
        <w:jc w:val="both"/>
      </w:pPr>
      <w:r>
        <w:rPr>
          <w:sz w:val="22"/>
          <w:szCs w:val="22"/>
        </w:rPr>
        <w:t xml:space="preserve">Un fondo de inversión es un vehículo de inversión colectiva que aglutina el capital de múltiples inversores para invertirlo conjuntamente en una cartera diversificada de activos financieros (acciones, bonos, activos monetarios, materias primas u otros instrumentos), gestionada por una sociedad gestora profesional. La principal ventaja de los fondos frente a la inversión directa en activos individuales es la diversificación inmediata que ofrecen incluso con cantidades modestas, lo que reduce el riesgo específico de cada emisor.</w:t>
      </w:r>
    </w:p>
    <w:p>
      <w:pPr>
        <w:spacing w:after="160"/>
        <w:jc w:val="both"/>
      </w:pPr>
      <w:r>
        <w:rPr>
          <w:sz w:val="22"/>
          <w:szCs w:val="22"/>
        </w:rPr>
        <w:t xml:space="preserve">Los ETFs (Exchange-Traded Funds) son fondos de inversión que cotizan en bolsa como si fueran acciones, lo que les otorga mayor liquidez y transparencia que los fondos de inversión tradicionales, con la ventaja adicional de comisiones generalmente más reducidas al seguir índices de referencia de forma pasiva.</w:t>
      </w:r>
    </w:p>
    <w:p>
      <w:pPr>
        <w:pStyle w:val="Heading1"/>
        <w:spacing w:after="150" w:before="300"/>
      </w:pPr>
      <w:r>
        <w:t xml:space="preserve">Factores de Selección</w:t>
      </w:r>
    </w:p>
    <w:p>
      <w:pPr>
        <w:spacing w:after="160"/>
        <w:jc w:val="both"/>
      </w:pPr>
      <w:r>
        <w:rPr>
          <w:sz w:val="22"/>
          <w:szCs w:val="22"/>
        </w:rPr>
        <w:t xml:space="preserve">Los criterios más relevantes para la selección de un fondo o ETF son: el objetivo y política de inversión (qué mercados, sectores o factores quiere capturar), el perfil de riesgo del producto y su adecuación al perfil del inversor, el historial de rentabilidad a largo plazo comparado con el índice de referencia y los competidores de la misma categoría, los gastos corrientes o TER (Total Expense Ratio), que tienen un impacto directo y acumulativo en la rentabilidad neta, y la solvencia y reputación de la gestora.</w:t>
      </w:r>
    </w:p>
    <w:p>
      <w:pPr>
        <w:spacing w:after="160"/>
        <w:jc w:val="both"/>
      </w:pPr>
      <w:r>
        <w:rPr>
          <w:sz w:val="22"/>
          <w:szCs w:val="22"/>
        </w:rPr>
        <w:t xml:space="preserve">Es importante recordar que las rentabilidades pasadas no garantizan rentabilidades futuras, y que toda inversión en mercados financieros conlleva riesgos que pueden incluir la pérdida parcial o total del capital invertido.</w:t>
      </w:r>
    </w:p>
    <w:p>
      <w:pPr>
        <w:pStyle w:val="Heading1"/>
        <w:spacing w:after="150" w:before="300"/>
      </w:pPr>
      <w:r>
        <w:t xml:space="preserve">Fiscalidad y Planificación</w:t>
      </w:r>
    </w:p>
    <w:p>
      <w:pPr>
        <w:spacing w:after="160"/>
        <w:jc w:val="both"/>
      </w:pPr>
      <w:r>
        <w:rPr>
          <w:sz w:val="22"/>
          <w:szCs w:val="22"/>
        </w:rPr>
        <w:t xml:space="preserve">En España, los rendimientos obtenidos por fondos de inversión tributan en la base del ahorro del IRPF al tipo del 19% para los primeros 6.000 euros de beneficio, al 21% entre 6.000 y 50.000 euros, al 23% entre 50.000 y 200.000 euros, y al 27% a partir de 200.000 euros. Una ventaja fiscal relevante de los fondos de inversión frente a otros instrumentos es la posibilidad de realizar traspasos entre fondos de la misma gestora o de diferentes gestoras sin tributar en el momento del traspaso, lo que permite ajustar la cartera a lo largo del tiempo sin generar eventos imponibles.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el Inversor: Fondos de Inversión y ETFs para Particulares</dc:title>
  <dc:creator>Claude AI - Anthropic</dc:creator>
  <dc:description>Documento generado por Claude (Anthropic AI)</dc:description>
  <cp:lastModifiedBy>Un-named</cp:lastModifiedBy>
  <cp:revision>1</cp:revision>
  <dcterms:created xsi:type="dcterms:W3CDTF">2026-03-27T06:41:22.336Z</dcterms:created>
  <dcterms:modified xsi:type="dcterms:W3CDTF">2026-03-27T06:41:22.336Z</dcterms:modified>
</cp:coreProperties>
</file>

<file path=docProps/custom.xml><?xml version="1.0" encoding="utf-8"?>
<Properties xmlns="http://schemas.openxmlformats.org/officeDocument/2006/custom-properties" xmlns:vt="http://schemas.openxmlformats.org/officeDocument/2006/docPropsVTypes"/>
</file>