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Style w:val="Title"/>
        <w:spacing w:after="200"/>
      </w:pPr>
      <w:r>
        <w:t xml:space="preserve">Informe de Auditoría de Accesibilidad Web – WCAG 2.1 Nivel AA</w:t>
      </w:r>
    </w:p>
    <w:p>
      <w:pPr>
        <w:spacing w:after="400"/>
      </w:pPr>
      <w:r>
        <w:rPr>
          <w:i/>
          <w:iCs/>
          <w:color w:val="555555"/>
          <w:sz w:val="18"/>
          <w:szCs w:val="18"/>
        </w:rPr>
        <w:t xml:space="preserve">Consultoría de Accesibilidad Digital AccessNow</w:t>
      </w:r>
    </w:p>
    <w:p>
      <w:pPr>
        <w:pStyle w:val="Heading1"/>
        <w:spacing w:after="150" w:before="300"/>
      </w:pPr>
      <w:r>
        <w:t xml:space="preserve">Metodología de la Auditoría</w:t>
      </w:r>
    </w:p>
    <w:p>
      <w:pPr>
        <w:spacing w:after="160"/>
        <w:jc w:val="both"/>
      </w:pPr>
      <w:r>
        <w:rPr>
          <w:sz w:val="22"/>
          <w:szCs w:val="22"/>
        </w:rPr>
        <w:t xml:space="preserve">La presente auditoría de accesibilidad web ha sido realizada sobre el portal corporativo de SERVIGESTIÓN S.A. siguiendo los criterios de éxito del estándar WCAG 2.1 Nivel AA, en cumplimiento con los requisitos establecidos por el Real Decreto 1112/2018 sobre accesibilidad de los sitios web y aplicaciones para dispositivos móviles del sector público.</w:t>
      </w:r>
    </w:p>
    <w:p>
      <w:pPr>
        <w:spacing w:after="160"/>
        <w:jc w:val="both"/>
      </w:pPr>
      <w:r>
        <w:rPr>
          <w:sz w:val="22"/>
          <w:szCs w:val="22"/>
        </w:rPr>
        <w:t xml:space="preserve">El proceso de evaluación ha combinado revisión manual experta, pruebas con tecnologías de apoyo (lectores de pantalla NVDA/JAWS en Windows y VoiceOver en macOS/iOS), evaluación automatizada con axe-core y Lighthouse, y revisión de código fuente. En total se han auditado 47 plantillas distintas representativas del 95% del contenido del portal.</w:t>
      </w:r>
    </w:p>
    <w:p>
      <w:pPr>
        <w:pStyle w:val="Heading1"/>
        <w:spacing w:after="150" w:before="300"/>
      </w:pPr>
      <w:r>
        <w:t xml:space="preserve">Hallazgos Principales</w:t>
      </w:r>
    </w:p>
    <w:p>
      <w:pPr>
        <w:spacing w:after="160"/>
        <w:jc w:val="both"/>
      </w:pPr>
      <w:r>
        <w:rPr>
          <w:sz w:val="22"/>
          <w:szCs w:val="22"/>
        </w:rPr>
        <w:t xml:space="preserve">Se han identificado 127 problemas de accesibilidad, clasificados por nivel de severidad: 23 críticos (impiden el acceso a funcionalidad esencial para usuarios de tecnologías de apoyo), 48 graves (suponen barreras significativas para la navegación), y 56 moderados o menores (afectan negativamente la experiencia pero no impiden el acceso).</w:t>
      </w:r>
    </w:p>
    <w:p>
      <w:pPr>
        <w:spacing w:after="160"/>
        <w:jc w:val="both"/>
      </w:pPr>
      <w:r>
        <w:rPr>
          <w:sz w:val="22"/>
          <w:szCs w:val="22"/>
        </w:rPr>
        <w:t xml:space="preserve">Entre los problemas críticos destacan: 41 formularios sin etiquetas asociadas correctamente (criterio 1.3.1 Información y relaciones), ausencia de alternativa textual en 89 imágenes informativas (criterio 1.1.1 Contenido no textual), 12 componentes interactivos no accesibles mediante teclado (criterio 2.1.1 Teclado), y 7 páginas con insuficiente contraste de color en el texto principal (criterio 1.4.3 Contraste mínimo).</w:t>
      </w:r>
    </w:p>
    <w:p>
      <w:pPr>
        <w:pStyle w:val="Heading1"/>
        <w:spacing w:after="150" w:before="300"/>
      </w:pPr>
      <w:r>
        <w:t xml:space="preserve">Plan de Subsanación</w:t>
      </w:r>
    </w:p>
    <w:p>
      <w:pPr>
        <w:spacing w:after="160"/>
        <w:jc w:val="both"/>
      </w:pPr>
      <w:r>
        <w:rPr>
          <w:sz w:val="22"/>
          <w:szCs w:val="22"/>
        </w:rPr>
        <w:t xml:space="preserve">Se propone un plan de subsanación en tres fases priorizadas por impacto y esfuerzo de implementación: Fase 1 - Problemas críticos (4 semanas, estimación 80 horas de desarrollo), Fase 2 - Problemas graves (8 semanas, estimación 140 horas de desarrollo), Fase 3 - Mejoras y optimizaciones adicionales (12 semanas, estimación 60 horas de desarrollo).</w:t>
      </w:r>
    </w:p>
    <w:p>
      <w:pPr>
        <w:spacing w:after="160"/>
        <w:jc w:val="both"/>
      </w:pPr>
      <w:r>
        <w:rPr>
          <w:sz w:val="22"/>
          <w:szCs w:val="22"/>
        </w:rPr>
        <w:t xml:space="preserve">La corrección de los 23 problemas críticos identificados es un requisito legal ineludible y debe abordarse con carácter urgente para evitar posibles sanciones administrativas y, sobre todo, para garantizar el acceso a los servicios a todos los ciudadanos independientemente de sus capacidades.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Auditoría de Accesibilidad Web – WCAG 2.1 Nivel AA</dc:title>
  <dc:creator>Claude AI - Anthropic</dc:creator>
  <dc:description>Documento generado por Claude (Anthropic AI)</dc:description>
  <cp:lastModifiedBy>Un-named</cp:lastModifiedBy>
  <cp:revision>1</cp:revision>
  <dcterms:created xsi:type="dcterms:W3CDTF">2026-03-27T06:41:22.248Z</dcterms:created>
  <dcterms:modified xsi:type="dcterms:W3CDTF">2026-03-27T06:41:22.249Z</dcterms:modified>
</cp:coreProperties>
</file>

<file path=docProps/custom.xml><?xml version="1.0" encoding="utf-8"?>
<Properties xmlns="http://schemas.openxmlformats.org/officeDocument/2006/custom-properties" xmlns:vt="http://schemas.openxmlformats.org/officeDocument/2006/docPropsVTypes"/>
</file>