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</w:pPr>
      <w:r>
        <w:t xml:space="preserve">Informe de Consultoría: Diagnóstico Organizacional y Hoja de Ruta de Cambio</w:t>
      </w:r>
    </w:p>
    <w:p>
      <w:pPr>
        <w:spacing w:after="400"/>
      </w:pPr>
      <w:r>
        <w:rPr>
          <w:i/>
          <w:iCs/>
          <w:color w:val="555555"/>
          <w:sz w:val="18"/>
          <w:szCs w:val="18"/>
        </w:rPr>
        <w:t xml:space="preserve">Consultoría Estratégica Pivot &amp; Grow – Madrid</w:t>
      </w:r>
    </w:p>
    <w:p>
      <w:pPr>
        <w:pStyle w:val="Heading1"/>
        <w:spacing w:after="150" w:before="300"/>
      </w:pPr>
      <w:r>
        <w:t xml:space="preserve">Resumen Ejecutivo del Diagnóstico</w:t>
      </w:r>
    </w:p>
    <w:p>
      <w:pPr>
        <w:spacing w:after="160"/>
        <w:jc w:val="both"/>
      </w:pPr>
      <w:r>
        <w:rPr>
          <w:sz w:val="22"/>
          <w:szCs w:val="22"/>
        </w:rPr>
        <w:t xml:space="preserve">El diagnóstico organizacional realizado durante las ocho semanas de análisis revela que DISTRIBUIDORA PENINSULAR S.A. se enfrenta a una convergencia de presiones que, de no abordarse de forma coordinada y urgente, comprometerán su posición competitiva en los próximos 18-24 meses. La empresa cuenta con activos fundamentales de primer nivel (red de distribución consolidada, relaciones de largo plazo con proveedores clave, equipo directivo de alto nivel) pero opera con estructuras y procesos diseñados para un contexto de mercado que ha cambiado radicalmente.</w:t>
      </w:r>
    </w:p>
    <w:p>
      <w:pPr>
        <w:spacing w:after="160"/>
        <w:jc w:val="both"/>
      </w:pPr>
      <w:r>
        <w:rPr>
          <w:sz w:val="22"/>
          <w:szCs w:val="22"/>
        </w:rPr>
        <w:t xml:space="preserve">Los tres problemas sistémicos identificados son: fragmentación operacional (12 sistemas de información sin integración que generan duplicidades y errores), cultura de silos que dificulta la colaboración interfuncional y ralentiza la toma de decisiones, y propuesta de valor al cliente que no ha evolucionado al ritmo de las expectativas del mercado.</w:t>
      </w:r>
    </w:p>
    <w:p>
      <w:pPr>
        <w:pStyle w:val="Heading1"/>
        <w:spacing w:after="150" w:before="300"/>
      </w:pPr>
      <w:r>
        <w:t xml:space="preserve">Iniciativas Prioritarias</w:t>
      </w:r>
    </w:p>
    <w:p>
      <w:pPr>
        <w:spacing w:after="160"/>
        <w:jc w:val="both"/>
      </w:pPr>
      <w:r>
        <w:rPr>
          <w:sz w:val="22"/>
          <w:szCs w:val="22"/>
        </w:rPr>
        <w:t xml:space="preserve">El plan de transformación identifica cinco iniciativas críticas organizadas en un horizonte de 24 meses: unificación de la plataforma tecnológica mediante la migración a un ERP en la nube (impacto muy alto, urgencia alta), rediseño del modelo de servicio al cliente con incorporación de canales digitales de autoservicio (impacto alto, urgencia media-alta), programa de desarrollo del liderazgo intermedio para habilitar la nueva cultura de colaboración (impacto medio-alto, urgencia media), optimización de la red logística con incorporación de análisis predictivo (impacto alto, urgencia media) y revisión y actualización de la propuesta de valor por segmentos de cliente (impacto muy alto, urgencia alta).</w:t>
      </w:r>
    </w:p>
    <w:p>
      <w:pPr>
        <w:spacing w:after="160"/>
        <w:jc w:val="both"/>
      </w:pPr>
      <w:r>
        <w:rPr>
          <w:sz w:val="22"/>
          <w:szCs w:val="22"/>
        </w:rPr>
        <w:t xml:space="preserve">La secuencia de implementación debe respetar las interdependencias entre iniciativas: la unificación tecnológica es precondición para la optimización logística y para la capacidad de servicio digital.</w:t>
      </w:r>
    </w:p>
    <w:p>
      <w:pPr>
        <w:pStyle w:val="Heading1"/>
        <w:spacing w:after="150" w:before="300"/>
      </w:pPr>
      <w:r>
        <w:t xml:space="preserve">Inversión y Retorno Esperado</w:t>
      </w:r>
    </w:p>
    <w:p>
      <w:pPr>
        <w:spacing w:after="160"/>
        <w:jc w:val="both"/>
      </w:pPr>
      <w:r>
        <w:rPr>
          <w:sz w:val="22"/>
          <w:szCs w:val="22"/>
        </w:rPr>
        <w:t xml:space="preserve">La inversión total requerida para el programa de transformación asciende a 2,1 millones de euros distribuidos en el período 2025-2026, de los que aproximadamente el 55% corresponde a tecnología e implementación, el 25% a gestión del cambio y formación, y el 20% a honorarios de consultoría y gestión de proyecto.</w:t>
      </w:r>
    </w:p>
    <w:p>
      <w:pPr>
        <w:spacing w:after="160"/>
        <w:jc w:val="both"/>
      </w:pPr>
      <w:r>
        <w:rPr>
          <w:sz w:val="22"/>
          <w:szCs w:val="22"/>
        </w:rPr>
        <w:t xml:space="preserve">Las proyecciones de retorno, basadas en benchmarks de programas similares en empresas distribuidoras de tamaño comparable, estiman una reducción de costes operativos del 12-18% a partir del tercer año, un incremento de los ingresos del 8-15% derivado de la mejora en la propuesta de valor y la capacidad de atender nuevos segmentos, y una mejora del NPS de clientes de los actuales 23 puntos hasta el rango de 45-55 puntos.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Consultoría: Diagnóstico Organizacional y Hoja de Ruta de Cambio</dc:title>
  <dc:creator>Claude AI - Anthropic</dc:creator>
  <dc:description>Documento generado por Claude (Anthropic AI)</dc:description>
  <cp:lastModifiedBy>Un-named</cp:lastModifiedBy>
  <cp:revision>1</cp:revision>
  <dcterms:created xsi:type="dcterms:W3CDTF">2026-03-27T06:41:22.355Z</dcterms:created>
  <dcterms:modified xsi:type="dcterms:W3CDTF">2026-03-27T06:41:22.355Z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