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Plan de Comunicación Corporativa 2025 – Grupo Mediterráneo de Alimentación</w:t>
      </w:r>
    </w:p>
    <w:p>
      <w:pPr>
        <w:spacing w:after="400"/>
      </w:pPr>
      <w:r>
        <w:rPr>
          <w:i/>
          <w:iCs/>
          <w:color w:val="555555"/>
          <w:sz w:val="18"/>
          <w:szCs w:val="18"/>
        </w:rPr>
        <w:t xml:space="preserve">Dirección de Comunicación y Marca – GMA</w:t>
      </w:r>
    </w:p>
    <w:p>
      <w:pPr>
        <w:pStyle w:val="Heading1"/>
        <w:spacing w:after="150" w:before="300"/>
      </w:pPr>
      <w:r>
        <w:t xml:space="preserve">Diagnóstico de Situación</w:t>
      </w:r>
    </w:p>
    <w:p>
      <w:pPr>
        <w:spacing w:after="160"/>
        <w:jc w:val="both"/>
      </w:pPr>
      <w:r>
        <w:rPr>
          <w:sz w:val="22"/>
          <w:szCs w:val="22"/>
        </w:rPr>
        <w:t xml:space="preserve">El Grupo Mediterráneo de Alimentación afronta 2025 en un contexto de presión reputacional derivado de la cobertura mediática de las investigaciones sobre el impacto ambiental del sector cárnico, combinado con una oportunidad de posicionamiento diferencial ligado a su gama de productos ecológicos y de proximidad, que ha crecido un 34% en ventas durante 2024.</w:t>
      </w:r>
    </w:p>
    <w:p>
      <w:pPr>
        <w:spacing w:after="160"/>
        <w:jc w:val="both"/>
      </w:pPr>
      <w:r>
        <w:rPr>
          <w:sz w:val="22"/>
          <w:szCs w:val="22"/>
        </w:rPr>
        <w:t xml:space="preserve">El análisis de sentiment en redes sociales arroja una puntuación neta de +12 puntos, claramente inferior a los +38 de nuestros principales competidores, lo que evidencia la necesidad urgente de una estrategia de comunicación más proactiva y narrativamente coherente.</w:t>
      </w:r>
    </w:p>
    <w:p>
      <w:pPr>
        <w:pStyle w:val="Heading1"/>
        <w:spacing w:after="150" w:before="300"/>
      </w:pPr>
      <w:r>
        <w:t xml:space="preserve">Estrategia y Mensajes Clave</w:t>
      </w:r>
    </w:p>
    <w:p>
      <w:pPr>
        <w:spacing w:after="160"/>
        <w:jc w:val="both"/>
      </w:pPr>
      <w:r>
        <w:rPr>
          <w:sz w:val="22"/>
          <w:szCs w:val="22"/>
        </w:rPr>
        <w:t xml:space="preserve">La estrategia de comunicación para 2025 se articula en torno al concepto paraguas "Raíces para el futuro", que conecta el legado de 60 años de historia familiar de la empresa con su compromiso explícito con la sostenibilidad y la innovación responsable.</w:t>
      </w:r>
    </w:p>
    <w:p>
      <w:pPr>
        <w:spacing w:after="160"/>
        <w:jc w:val="both"/>
      </w:pPr>
      <w:r>
        <w:rPr>
          <w:sz w:val="22"/>
          <w:szCs w:val="22"/>
        </w:rPr>
        <w:t xml:space="preserve">Los tres mensajes arquitecturales que deberán estar presentes en toda la comunicación son: origen y trazabilidad como garantía de calidad, compromiso con el bienestar animal y la reducción de la huella ambiental, y contribución al desarrollo económico de las comunidades rurales de la España mediterránea.</w:t>
      </w:r>
    </w:p>
    <w:p>
      <w:pPr>
        <w:pStyle w:val="Heading1"/>
        <w:spacing w:after="150" w:before="300"/>
      </w:pPr>
      <w:r>
        <w:t xml:space="preserve">Plan de Acción y Presupuesto</w:t>
      </w:r>
    </w:p>
    <w:p>
      <w:pPr>
        <w:spacing w:after="160"/>
        <w:jc w:val="both"/>
      </w:pPr>
      <w:r>
        <w:rPr>
          <w:sz w:val="22"/>
          <w:szCs w:val="22"/>
        </w:rPr>
        <w:t xml:space="preserve">Las actuaciones prioritarias contemplan el lanzamiento de una campaña de branded content en YouTube con 12 episodios documentales sobre los productores proveedores, la renovación del site corporativo con enfoque ESG, un programa de relaciones con medios especializados en alimentación y sostenibilidad, y la implantación de un protocolo de gestión de crisis digitales.</w:t>
      </w:r>
    </w:p>
    <w:p>
      <w:pPr>
        <w:spacing w:after="160"/>
        <w:jc w:val="both"/>
      </w:pPr>
      <w:r>
        <w:rPr>
          <w:sz w:val="22"/>
          <w:szCs w:val="22"/>
        </w:rPr>
        <w:t xml:space="preserve">El presupuesto total asignado es de 380.000 euros, distribuido entre producción de contenidos (35%), medios pagados (28%), relaciones públicas (22%) y tecnología y medición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Comunicación Corporativa 2025 – Grupo Mediterráneo de Alimentación</dc:title>
  <dc:creator>Claude AI - Anthropic</dc:creator>
  <dc:description>Documento generado por Claude (Anthropic AI)</dc:description>
  <cp:lastModifiedBy>Un-named</cp:lastModifiedBy>
  <cp:revision>1</cp:revision>
  <dcterms:created xsi:type="dcterms:W3CDTF">2026-03-27T06:41:22.019Z</dcterms:created>
  <dcterms:modified xsi:type="dcterms:W3CDTF">2026-03-27T06:41:22.019Z</dcterms:modified>
</cp:coreProperties>
</file>

<file path=docProps/custom.xml><?xml version="1.0" encoding="utf-8"?>
<Properties xmlns="http://schemas.openxmlformats.org/officeDocument/2006/custom-properties" xmlns:vt="http://schemas.openxmlformats.org/officeDocument/2006/docPropsVTypes"/>
</file>