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</w:pPr>
      <w:r>
        <w:t xml:space="preserve">Plan de Internacionalización y Exportación – Mercados Francia e Italia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Cámara de Comercio de Alicante – Área de Comercio Exterior</w:t>
      </w:r>
    </w:p>
    <w:p>
      <w:pPr>
        <w:pStyle w:val="Heading1"/>
        <w:spacing w:after="150" w:before="300"/>
      </w:pPr>
      <w:r>
        <w:t xml:space="preserve">Análisis de Mercados Objetivo</w:t>
      </w:r>
    </w:p>
    <w:p>
      <w:pPr>
        <w:spacing w:after="160"/>
        <w:jc w:val="both"/>
      </w:pPr>
      <w:r>
        <w:rPr>
          <w:sz w:val="22"/>
          <w:szCs w:val="22"/>
        </w:rPr>
        <w:t xml:space="preserve">Francia e Italia constituyen los destinos exportadores más naturales para las empresas alicantinas del sector agroalimentario y de bienes de consumo, por la proximidad geográfica, la afinidad cultural mediterránea y la existencia de comunidades de origen español con poder adquisitivo medio-alto particularmente en regiones como Île-de-France, Provenza y Lombardía.</w:t>
      </w:r>
    </w:p>
    <w:p>
      <w:pPr>
        <w:spacing w:after="160"/>
        <w:jc w:val="both"/>
      </w:pPr>
      <w:r>
        <w:rPr>
          <w:sz w:val="22"/>
          <w:szCs w:val="22"/>
        </w:rPr>
        <w:t xml:space="preserve">El mercado francés, con 68 millones de consumidores y un PIB per cápita de 46.000 euros, presenta una demanda creciente de productos gourmet, ecológicos y con denominación de origen protegida que favorece a los exportadores españoles del sector hortofrutícola, vitivinícola y de productos del cerdo ibérico. Italia, con 60 millones de habitantes, presenta rasgos similares con la particularidad de una distribución aún más fragmentada, con mayor peso del comercio especializado frente a la gran distribución.</w:t>
      </w:r>
    </w:p>
    <w:p>
      <w:pPr>
        <w:pStyle w:val="Heading1"/>
        <w:spacing w:after="150" w:before="300"/>
      </w:pPr>
      <w:r>
        <w:t xml:space="preserve">Estrategia de Entrada y Canales de Distribución</w:t>
      </w:r>
    </w:p>
    <w:p>
      <w:pPr>
        <w:spacing w:after="160"/>
        <w:jc w:val="both"/>
      </w:pPr>
      <w:r>
        <w:rPr>
          <w:sz w:val="22"/>
          <w:szCs w:val="22"/>
        </w:rPr>
        <w:t xml:space="preserve">Se recomienda una estrategia de entrada indirecta en la fase inicial (12-18 meses), apoyándose en importadores-distribuidores ya establecidos con experiencia en el segmento de productos españoles. La selección del partner local es el factor más determinante del éxito: debe tener red de clientes cualificada en el canal objetivo (restauración, gourmet o gran distribución según el producto), capacidad logística adecuada al volumen inicial previsto y alineamiento con el posicionamiento de marca que se quiere construir.</w:t>
      </w:r>
    </w:p>
    <w:p>
      <w:pPr>
        <w:spacing w:after="160"/>
        <w:jc w:val="both"/>
      </w:pPr>
      <w:r>
        <w:rPr>
          <w:sz w:val="22"/>
          <w:szCs w:val="22"/>
        </w:rPr>
        <w:t xml:space="preserve">La participación en ferias sectoriales específicas (Anuga, SIAL París, Tuttofood Milán) es la vía más efectiva para el primer contacto con potenciales distribuidores y para el testeo de la receptividad del mercado al producto.</w:t>
      </w:r>
    </w:p>
    <w:p>
      <w:pPr>
        <w:pStyle w:val="Heading1"/>
        <w:spacing w:after="150" w:before="300"/>
      </w:pPr>
      <w:r>
        <w:t xml:space="preserve">Marco Legal y Financiación</w:t>
      </w:r>
    </w:p>
    <w:p>
      <w:pPr>
        <w:spacing w:after="160"/>
        <w:jc w:val="both"/>
      </w:pPr>
      <w:r>
        <w:rPr>
          <w:sz w:val="22"/>
          <w:szCs w:val="22"/>
        </w:rPr>
        <w:t xml:space="preserve">Las exportaciones dentro del mercado único europeo no requieren aranceles pero sí el cumplimiento de la normativa de etiquetado en lengua del país destino, los requisitos sanitarios y fitosanitarios de la UE y, para determinadas categorías de producto, el registro en el sistema RASFF y las certificaciones de calidad exigidas por los distribuidores de referencia.</w:t>
      </w:r>
    </w:p>
    <w:p>
      <w:pPr>
        <w:spacing w:after="160"/>
        <w:jc w:val="both"/>
      </w:pPr>
      <w:r>
        <w:rPr>
          <w:sz w:val="22"/>
          <w:szCs w:val="22"/>
        </w:rPr>
        <w:t xml:space="preserve">Los instrumentos de financiación disponibles para las empresas que inician su proceso de internacionalización incluyen las subvenciones del ICEX para la participación en ferias internacionales (hasta 7.000 euros por empresa y evento), los préstamos FIEM para proyectos de inversión en el exterior y las líneas de financiación del IVACE para pymes valencianas con proyectos de internacionalización.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Internacionalización y Exportación – Mercados Francia e Italia</dc:title>
  <dc:creator>Claude AI - Anthropic</dc:creator>
  <dc:description>Documento generado por Claude (Anthropic AI)</dc:description>
  <cp:lastModifiedBy>Un-named</cp:lastModifiedBy>
  <cp:revision>1</cp:revision>
  <dcterms:created xsi:type="dcterms:W3CDTF">2026-03-27T06:41:22.278Z</dcterms:created>
  <dcterms:modified xsi:type="dcterms:W3CDTF">2026-03-27T06:41:22.278Z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